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8D57" w14:textId="77777777" w:rsidR="00912C14" w:rsidRPr="00C162B8" w:rsidRDefault="00912C14" w:rsidP="00912C14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C162B8">
        <w:rPr>
          <w:rFonts w:ascii="Arial" w:eastAsia="Times New Roman" w:hAnsi="Arial" w:cs="Arial"/>
          <w:sz w:val="18"/>
          <w:szCs w:val="18"/>
        </w:rPr>
        <w:t>Describe briefly what you plan to do during the next reporting period to accomplish the goals and objectives. </w:t>
      </w:r>
    </w:p>
    <w:p w14:paraId="68BC4588" w14:textId="77777777" w:rsidR="00D23B6E" w:rsidRDefault="00912C14">
      <w:r>
        <w:t xml:space="preserve">During the next reporting period we will finish writing and analysis of current projects and work to get them in the publication pipeline. </w:t>
      </w:r>
    </w:p>
    <w:p w14:paraId="7A313FCA" w14:textId="77777777" w:rsidR="00D23B6E" w:rsidRDefault="00D23B6E"/>
    <w:p w14:paraId="1D378155" w14:textId="1475DC21" w:rsidR="00D23B6E" w:rsidRDefault="00D23B6E">
      <w:r>
        <w:t>Currently, there are four papers in review that will be published in the next 12 months:</w:t>
      </w:r>
    </w:p>
    <w:p w14:paraId="088A913E" w14:textId="77777777" w:rsidR="00D23B6E" w:rsidRDefault="00D23B6E"/>
    <w:p w14:paraId="0D654652" w14:textId="1F8F5853" w:rsidR="00D23B6E" w:rsidRPr="00606416" w:rsidRDefault="00D23B6E" w:rsidP="00606416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4"/>
        </w:rPr>
      </w:pPr>
      <w:r w:rsidRPr="00606416">
        <w:rPr>
          <w:rFonts w:cstheme="minorHAnsi"/>
          <w:bCs/>
          <w:color w:val="000000" w:themeColor="text1"/>
        </w:rPr>
        <w:t xml:space="preserve">Wang Y, Kapun M, Waidele L, Kuenzel S, </w:t>
      </w:r>
      <w:r w:rsidRPr="00606416">
        <w:rPr>
          <w:rFonts w:cstheme="minorHAnsi"/>
          <w:b/>
          <w:bCs/>
          <w:color w:val="000000" w:themeColor="text1"/>
        </w:rPr>
        <w:t>Bergland AO</w:t>
      </w:r>
      <w:r w:rsidRPr="00606416">
        <w:rPr>
          <w:rFonts w:cstheme="minorHAnsi"/>
          <w:bCs/>
          <w:color w:val="000000" w:themeColor="text1"/>
        </w:rPr>
        <w:t xml:space="preserve">, Staubach F. Continent-wide structure of bacterial microbiomes of European Drosophila melanogaster suggests host-control. In review at </w:t>
      </w:r>
      <w:r w:rsidRPr="00606416">
        <w:rPr>
          <w:rFonts w:cstheme="minorHAnsi"/>
          <w:bCs/>
          <w:color w:val="000000" w:themeColor="text1"/>
          <w:u w:val="single"/>
        </w:rPr>
        <w:t>The ISME Journal</w:t>
      </w:r>
      <w:r w:rsidRPr="00606416">
        <w:rPr>
          <w:rFonts w:cstheme="minorHAnsi"/>
          <w:bCs/>
          <w:color w:val="000000" w:themeColor="text1"/>
        </w:rPr>
        <w:t xml:space="preserve">. bioRxiv: 527531 </w:t>
      </w:r>
    </w:p>
    <w:p w14:paraId="3D31F8AF" w14:textId="77777777" w:rsidR="00D23B6E" w:rsidRPr="00B12BFF" w:rsidRDefault="00D23B6E" w:rsidP="00D23B6E">
      <w:pPr>
        <w:ind w:left="720"/>
        <w:rPr>
          <w:rFonts w:cstheme="minorHAnsi"/>
          <w:bCs/>
          <w:color w:val="000000" w:themeColor="text1"/>
        </w:rPr>
      </w:pPr>
    </w:p>
    <w:p w14:paraId="01476EA4" w14:textId="03EF9B0D" w:rsidR="00D23B6E" w:rsidRPr="00606416" w:rsidRDefault="00D23B6E" w:rsidP="00606416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highlight w:val="lightGray"/>
        </w:rPr>
      </w:pPr>
      <w:r w:rsidRPr="00606416">
        <w:rPr>
          <w:rFonts w:cstheme="minorHAnsi"/>
          <w:color w:val="000000" w:themeColor="text1"/>
        </w:rPr>
        <w:t xml:space="preserve">Machado* H, </w:t>
      </w:r>
      <w:r w:rsidRPr="00606416">
        <w:rPr>
          <w:rFonts w:cstheme="minorHAnsi"/>
          <w:b/>
          <w:color w:val="000000" w:themeColor="text1"/>
        </w:rPr>
        <w:t>Bergland AO*,</w:t>
      </w:r>
      <w:r w:rsidRPr="00606416">
        <w:rPr>
          <w:rFonts w:cstheme="minorHAnsi"/>
          <w:color w:val="000000" w:themeColor="text1"/>
        </w:rPr>
        <w:t xml:space="preserve"> Taylor R, Tilk S, Behrman E, Dyer K, </w:t>
      </w:r>
      <w:r w:rsidRPr="00606416">
        <w:rPr>
          <w:rFonts w:cstheme="minorHAnsi"/>
          <w:i/>
          <w:color w:val="000000" w:themeColor="text1"/>
        </w:rPr>
        <w:t xml:space="preserve">et </w:t>
      </w:r>
      <w:r w:rsidRPr="00606416">
        <w:rPr>
          <w:rFonts w:cstheme="minorHAnsi"/>
          <w:color w:val="000000" w:themeColor="text1"/>
        </w:rPr>
        <w:t xml:space="preserve">al. 2018. Broad geographic sampling reveals predictable and pervasive seasonal adaptation in Drosophila. In revision at </w:t>
      </w:r>
      <w:r w:rsidRPr="00606416">
        <w:rPr>
          <w:rFonts w:cstheme="minorHAnsi"/>
          <w:color w:val="000000" w:themeColor="text1"/>
          <w:u w:val="single"/>
        </w:rPr>
        <w:t>eLife</w:t>
      </w:r>
      <w:r w:rsidRPr="00606416">
        <w:rPr>
          <w:rFonts w:cstheme="minorHAnsi"/>
          <w:color w:val="000000" w:themeColor="text1"/>
        </w:rPr>
        <w:t>. bioRxiv: 337543</w:t>
      </w:r>
      <w:r w:rsidRPr="00606416">
        <w:rPr>
          <w:rFonts w:cstheme="minorHAnsi"/>
          <w:color w:val="000000" w:themeColor="text1"/>
        </w:rPr>
        <w:t>.</w:t>
      </w:r>
    </w:p>
    <w:p w14:paraId="39FC1B24" w14:textId="77777777" w:rsidR="00D23B6E" w:rsidRDefault="00D23B6E" w:rsidP="00D23B6E">
      <w:pPr>
        <w:ind w:left="720"/>
        <w:rPr>
          <w:rFonts w:cstheme="minorHAnsi"/>
          <w:bCs/>
          <w:color w:val="000000" w:themeColor="text1"/>
          <w:highlight w:val="lightGray"/>
        </w:rPr>
      </w:pPr>
    </w:p>
    <w:p w14:paraId="2AADAFB7" w14:textId="77777777" w:rsidR="00D23B6E" w:rsidRPr="00B12BFF" w:rsidRDefault="00D23B6E" w:rsidP="00D23B6E">
      <w:pPr>
        <w:ind w:left="720"/>
        <w:rPr>
          <w:rFonts w:cstheme="minorHAnsi"/>
          <w:bCs/>
          <w:color w:val="000000" w:themeColor="text1"/>
          <w:sz w:val="4"/>
        </w:rPr>
      </w:pPr>
    </w:p>
    <w:p w14:paraId="04ABE3E7" w14:textId="1EEA08CB" w:rsidR="00D23B6E" w:rsidRPr="00606416" w:rsidRDefault="00D23B6E" w:rsidP="00606416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highlight w:val="lightGray"/>
        </w:rPr>
      </w:pPr>
      <w:r w:rsidRPr="00606416">
        <w:rPr>
          <w:rFonts w:cstheme="minorHAnsi"/>
          <w:color w:val="000000" w:themeColor="text1"/>
        </w:rPr>
        <w:t xml:space="preserve">Kapun M, Aduriz MGB, Staubach F, Vieira J, Obbard D, Goubert C, </w:t>
      </w:r>
      <w:r w:rsidRPr="00606416">
        <w:rPr>
          <w:rFonts w:cstheme="minorHAnsi"/>
          <w:i/>
          <w:color w:val="000000" w:themeColor="text1"/>
        </w:rPr>
        <w:t>et</w:t>
      </w:r>
      <w:r w:rsidRPr="00606416">
        <w:rPr>
          <w:rFonts w:cstheme="minorHAnsi"/>
          <w:color w:val="000000" w:themeColor="text1"/>
        </w:rPr>
        <w:t xml:space="preserve"> </w:t>
      </w:r>
      <w:r w:rsidRPr="00606416">
        <w:rPr>
          <w:rFonts w:cstheme="minorHAnsi"/>
          <w:b/>
          <w:color w:val="000000" w:themeColor="text1"/>
        </w:rPr>
        <w:t>Bergland AO</w:t>
      </w:r>
      <w:r w:rsidRPr="00606416">
        <w:rPr>
          <w:rFonts w:cstheme="minorHAnsi"/>
          <w:color w:val="000000" w:themeColor="text1"/>
        </w:rPr>
        <w:t xml:space="preserve"> </w:t>
      </w:r>
      <w:r w:rsidRPr="00606416">
        <w:rPr>
          <w:rFonts w:cstheme="minorHAnsi"/>
          <w:i/>
          <w:color w:val="000000" w:themeColor="text1"/>
        </w:rPr>
        <w:t>et al</w:t>
      </w:r>
      <w:r w:rsidRPr="00606416">
        <w:rPr>
          <w:rFonts w:cstheme="minorHAnsi"/>
          <w:color w:val="000000" w:themeColor="text1"/>
        </w:rPr>
        <w:t xml:space="preserve">. 2018. Genomic analysis of European Drosophila populations reveals longitudinal structure and continent-wide selection. In revision at </w:t>
      </w:r>
      <w:r w:rsidRPr="00606416">
        <w:rPr>
          <w:rFonts w:cstheme="minorHAnsi"/>
          <w:color w:val="000000" w:themeColor="text1"/>
          <w:u w:val="single"/>
        </w:rPr>
        <w:t>eLife</w:t>
      </w:r>
      <w:r w:rsidRPr="00606416">
        <w:rPr>
          <w:rFonts w:cstheme="minorHAnsi"/>
          <w:color w:val="000000" w:themeColor="text1"/>
        </w:rPr>
        <w:t xml:space="preserve">. bioRxiv, 313759 </w:t>
      </w:r>
    </w:p>
    <w:p w14:paraId="71C186A2" w14:textId="77777777" w:rsidR="00D23B6E" w:rsidRDefault="00D23B6E" w:rsidP="00D23B6E">
      <w:pPr>
        <w:ind w:left="720"/>
        <w:rPr>
          <w:rFonts w:cstheme="minorHAnsi"/>
          <w:bCs/>
          <w:color w:val="000000" w:themeColor="text1"/>
        </w:rPr>
      </w:pPr>
    </w:p>
    <w:p w14:paraId="7031A828" w14:textId="73940792" w:rsidR="00D23B6E" w:rsidRDefault="00D23B6E" w:rsidP="00606416">
      <w:pPr>
        <w:pStyle w:val="ListParagraph"/>
        <w:numPr>
          <w:ilvl w:val="0"/>
          <w:numId w:val="3"/>
        </w:numPr>
      </w:pPr>
      <w:r w:rsidRPr="00606416">
        <w:rPr>
          <w:rFonts w:cstheme="minorHAnsi"/>
          <w:bCs/>
          <w:color w:val="000000" w:themeColor="text1"/>
        </w:rPr>
        <w:t>Fu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Z, Meier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AR, Epstein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 xml:space="preserve">B, </w:t>
      </w:r>
      <w:r w:rsidRPr="00606416">
        <w:rPr>
          <w:rFonts w:cstheme="minorHAnsi"/>
          <w:b/>
          <w:bCs/>
          <w:color w:val="000000" w:themeColor="text1"/>
        </w:rPr>
        <w:t>Bergland</w:t>
      </w:r>
      <w:r w:rsidRPr="00606416">
        <w:rPr>
          <w:rFonts w:cstheme="minorHAnsi"/>
          <w:b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/>
          <w:bCs/>
          <w:color w:val="000000" w:themeColor="text1"/>
        </w:rPr>
        <w:t>AO</w:t>
      </w:r>
      <w:r w:rsidRPr="00606416">
        <w:rPr>
          <w:rFonts w:cstheme="minorHAnsi"/>
          <w:bCs/>
          <w:color w:val="000000" w:themeColor="text1"/>
        </w:rPr>
        <w:t xml:space="preserve">, </w:t>
      </w:r>
      <w:r w:rsidRPr="00606416">
        <w:rPr>
          <w:rFonts w:cstheme="minorHAnsi"/>
          <w:color w:val="000000" w:themeColor="text1"/>
        </w:rPr>
        <w:t>Carrillo</w:t>
      </w:r>
      <w:r w:rsidRPr="00606416">
        <w:rPr>
          <w:rFonts w:cstheme="minorHAnsi"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color w:val="000000" w:themeColor="text1"/>
        </w:rPr>
        <w:t>CC,</w:t>
      </w:r>
      <w:r w:rsidRPr="00606416">
        <w:rPr>
          <w:rFonts w:cstheme="minorHAnsi"/>
          <w:bCs/>
          <w:color w:val="000000" w:themeColor="text1"/>
        </w:rPr>
        <w:t xml:space="preserve"> Cooper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RW, Crowder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DW, Horton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 </w:t>
      </w:r>
      <w:r w:rsidRPr="00606416">
        <w:rPr>
          <w:rFonts w:cstheme="minorHAnsi"/>
          <w:bCs/>
          <w:color w:val="000000" w:themeColor="text1"/>
        </w:rPr>
        <w:t>DR, Jensen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AS, Kelley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JL, Rashed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A, Reitz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SR, Rondon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SI, Thinakaran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J, Wenninger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>EJ, Wohleb</w:t>
      </w:r>
      <w:r w:rsidRPr="00606416">
        <w:rPr>
          <w:rFonts w:cstheme="minorHAnsi"/>
          <w:bCs/>
          <w:color w:val="000000" w:themeColor="text1"/>
          <w:vertAlign w:val="superscript"/>
        </w:rPr>
        <w:t xml:space="preserve"> </w:t>
      </w:r>
      <w:r w:rsidRPr="00606416">
        <w:rPr>
          <w:rFonts w:cstheme="minorHAnsi"/>
          <w:bCs/>
          <w:color w:val="000000" w:themeColor="text1"/>
        </w:rPr>
        <w:t xml:space="preserve">CH, Snyder WE. </w:t>
      </w:r>
      <w:r w:rsidRPr="00606416">
        <w:rPr>
          <w:rFonts w:cstheme="minorHAnsi"/>
          <w:bCs/>
          <w:i/>
          <w:iCs/>
          <w:color w:val="000000" w:themeColor="text1"/>
          <w:shd w:val="clear" w:color="auto" w:fill="FFFFFF"/>
        </w:rPr>
        <w:t xml:space="preserve">Wolbachia </w:t>
      </w:r>
      <w:r w:rsidRPr="00606416">
        <w:rPr>
          <w:rFonts w:cstheme="minorHAnsi"/>
          <w:bCs/>
          <w:iCs/>
          <w:color w:val="000000" w:themeColor="text1"/>
          <w:shd w:val="clear" w:color="auto" w:fill="FFFFFF"/>
        </w:rPr>
        <w:t xml:space="preserve">drives the genetic integration of vector populations. In review at </w:t>
      </w:r>
      <w:r w:rsidRPr="00606416">
        <w:rPr>
          <w:rFonts w:cstheme="minorHAnsi"/>
          <w:bCs/>
          <w:iCs/>
          <w:color w:val="000000" w:themeColor="text1"/>
          <w:u w:val="single"/>
          <w:shd w:val="clear" w:color="auto" w:fill="FFFFFF"/>
        </w:rPr>
        <w:t>Molecular Ecology</w:t>
      </w:r>
      <w:r w:rsidRPr="00606416">
        <w:rPr>
          <w:rFonts w:cstheme="minorHAnsi"/>
          <w:b/>
          <w:bCs/>
          <w:iCs/>
          <w:color w:val="000000" w:themeColor="text1"/>
          <w:u w:val="single"/>
          <w:shd w:val="clear" w:color="auto" w:fill="FFFFFF"/>
        </w:rPr>
        <w:t>.</w:t>
      </w:r>
    </w:p>
    <w:p w14:paraId="67DFBEA7" w14:textId="77777777" w:rsidR="00D23B6E" w:rsidRDefault="00D23B6E"/>
    <w:p w14:paraId="2812AD78" w14:textId="756968A0" w:rsidR="003C5116" w:rsidRDefault="00912C14">
      <w:r>
        <w:t>As it currently stands, there are 7 ongoing papers which will be far along in the publication process in the next year:</w:t>
      </w:r>
    </w:p>
    <w:p w14:paraId="51B45549" w14:textId="77777777" w:rsidR="00912C14" w:rsidRDefault="00912C14"/>
    <w:p w14:paraId="006CB24B" w14:textId="1D4B9DA0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rFonts w:cstheme="minorHAnsi"/>
          <w:color w:val="000000" w:themeColor="text1"/>
        </w:rPr>
        <w:t xml:space="preserve">Weller CA &amp; </w:t>
      </w:r>
      <w:r w:rsidRPr="00B12BFF">
        <w:rPr>
          <w:rFonts w:cstheme="minorHAnsi"/>
          <w:b/>
          <w:color w:val="000000" w:themeColor="text1"/>
        </w:rPr>
        <w:t>Bergland AO</w:t>
      </w:r>
      <w:r w:rsidRPr="00B12BFF">
        <w:rPr>
          <w:rFonts w:cstheme="minorHAnsi"/>
          <w:color w:val="000000" w:themeColor="text1"/>
        </w:rPr>
        <w:t xml:space="preserve">. Accurate, ultra-low coverage genome reconstruction and association studies in Hybrid Swarm mapping populations. To be submitted to </w:t>
      </w:r>
      <w:r w:rsidRPr="00B12BFF">
        <w:rPr>
          <w:rFonts w:cstheme="minorHAnsi"/>
          <w:color w:val="000000" w:themeColor="text1"/>
          <w:u w:val="single"/>
        </w:rPr>
        <w:t>Genetics</w:t>
      </w:r>
    </w:p>
    <w:p w14:paraId="78EABBC5" w14:textId="0F4BCEC7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Kapun M, </w:t>
      </w:r>
      <w:r w:rsidRPr="00B12BFF">
        <w:rPr>
          <w:rFonts w:cstheme="minorHAnsi"/>
          <w:bCs/>
          <w:i/>
          <w:color w:val="000000" w:themeColor="text1"/>
          <w:shd w:val="clear" w:color="auto" w:fill="FFFFFF"/>
        </w:rPr>
        <w:t>et al. et</w:t>
      </w: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 (&gt;20 consortium authros), Petrov D, Schmidt, PS, Gonzalez, J, Flatt T, </w:t>
      </w:r>
      <w:r w:rsidRPr="00B12BFF">
        <w:rPr>
          <w:rFonts w:cstheme="minorHAnsi"/>
          <w:b/>
          <w:bCs/>
          <w:color w:val="000000" w:themeColor="text1"/>
          <w:shd w:val="clear" w:color="auto" w:fill="FFFFFF"/>
        </w:rPr>
        <w:t>Bergland AO</w:t>
      </w: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. Genome-wide estimates of allele frequencies from over 250 population samples across two continents. To be submitted to </w:t>
      </w:r>
      <w:r w:rsidRPr="00B12BFF">
        <w:rPr>
          <w:rFonts w:cstheme="minorHAnsi"/>
          <w:bCs/>
          <w:color w:val="000000" w:themeColor="text1"/>
          <w:u w:val="single"/>
          <w:shd w:val="clear" w:color="auto" w:fill="FFFFFF"/>
        </w:rPr>
        <w:t>Scientific Data</w:t>
      </w:r>
    </w:p>
    <w:p w14:paraId="6A487252" w14:textId="20967757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Yu Y &amp; </w:t>
      </w:r>
      <w:r w:rsidRPr="00B12BFF">
        <w:rPr>
          <w:rFonts w:cstheme="minorHAnsi"/>
          <w:b/>
          <w:bCs/>
          <w:color w:val="000000" w:themeColor="text1"/>
          <w:shd w:val="clear" w:color="auto" w:fill="FFFFFF"/>
        </w:rPr>
        <w:t xml:space="preserve">Bergland AO. </w:t>
      </w:r>
      <w:r w:rsidRPr="00B12BFF">
        <w:rPr>
          <w:color w:val="000000" w:themeColor="text1"/>
        </w:rPr>
        <w:t xml:space="preserve">A meta-analysis suggests distinct genetic architectures underlying clinal and seasonal adaptation in </w:t>
      </w:r>
      <w:r w:rsidRPr="00B12BFF">
        <w:rPr>
          <w:i/>
          <w:color w:val="000000" w:themeColor="text1"/>
        </w:rPr>
        <w:t>D. melanogaster</w:t>
      </w:r>
      <w:r w:rsidRPr="00B12BFF">
        <w:rPr>
          <w:color w:val="000000" w:themeColor="text1"/>
        </w:rPr>
        <w:t xml:space="preserve">. To be submitted to </w:t>
      </w:r>
      <w:r w:rsidRPr="00B12BFF">
        <w:rPr>
          <w:color w:val="000000" w:themeColor="text1"/>
          <w:u w:val="single"/>
        </w:rPr>
        <w:t>Molecular Ecology</w:t>
      </w:r>
    </w:p>
    <w:p w14:paraId="476D1501" w14:textId="4BC00746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color w:val="000000" w:themeColor="text1"/>
        </w:rPr>
        <w:t xml:space="preserve">Becker D, Edwards A, Porter R, </w:t>
      </w:r>
      <w:r w:rsidRPr="00B12BFF">
        <w:rPr>
          <w:b/>
          <w:color w:val="000000" w:themeColor="text1"/>
        </w:rPr>
        <w:t>Bergland AO</w:t>
      </w:r>
      <w:r w:rsidRPr="00B12BFF">
        <w:rPr>
          <w:color w:val="000000" w:themeColor="text1"/>
        </w:rPr>
        <w:t xml:space="preserve">. </w:t>
      </w:r>
      <w:r w:rsidRPr="00B12BFF">
        <w:rPr>
          <w:i/>
          <w:color w:val="000000" w:themeColor="text1"/>
        </w:rPr>
        <w:t xml:space="preserve">DAPTCHA – </w:t>
      </w:r>
      <w:r w:rsidRPr="00B12BFF">
        <w:rPr>
          <w:color w:val="000000" w:themeColor="text1"/>
        </w:rPr>
        <w:t xml:space="preserve">semi-automated imagae analysis of predation response for daphnids. To be submitted to </w:t>
      </w:r>
      <w:r w:rsidRPr="00B12BFF">
        <w:rPr>
          <w:color w:val="000000" w:themeColor="text1"/>
          <w:u w:val="single"/>
        </w:rPr>
        <w:t>Methods in Ecology and Evolution</w:t>
      </w:r>
    </w:p>
    <w:p w14:paraId="20E3EE56" w14:textId="38B13E84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Stone H, Erickson P, </w:t>
      </w:r>
      <w:r w:rsidRPr="00B12BFF">
        <w:rPr>
          <w:rFonts w:cstheme="minorHAnsi"/>
          <w:b/>
          <w:bCs/>
          <w:color w:val="000000" w:themeColor="text1"/>
          <w:shd w:val="clear" w:color="auto" w:fill="FFFFFF"/>
        </w:rPr>
        <w:t>Bergland AO</w:t>
      </w:r>
      <w:r w:rsidRPr="00B12BFF">
        <w:rPr>
          <w:rFonts w:cstheme="minorHAnsi"/>
          <w:bCs/>
          <w:color w:val="000000" w:themeColor="text1"/>
          <w:shd w:val="clear" w:color="auto" w:fill="FFFFFF"/>
        </w:rPr>
        <w:t xml:space="preserve">. </w:t>
      </w:r>
      <w:r w:rsidRPr="00B12BFF">
        <w:rPr>
          <w:color w:val="000000" w:themeColor="text1"/>
        </w:rPr>
        <w:t xml:space="preserve">Environment, but not thermosensation, influences cold hardening in </w:t>
      </w:r>
      <w:r w:rsidRPr="00B12BFF">
        <w:rPr>
          <w:i/>
          <w:color w:val="000000" w:themeColor="text1"/>
        </w:rPr>
        <w:t xml:space="preserve">Drosophila melanogaster. </w:t>
      </w:r>
      <w:r w:rsidRPr="00B12BFF">
        <w:rPr>
          <w:color w:val="000000" w:themeColor="text1"/>
        </w:rPr>
        <w:t xml:space="preserve">To be submitted to </w:t>
      </w:r>
      <w:r w:rsidRPr="00B12BFF">
        <w:rPr>
          <w:color w:val="000000" w:themeColor="text1"/>
          <w:u w:val="single"/>
        </w:rPr>
        <w:t>Ecology and Evolution</w:t>
      </w:r>
    </w:p>
    <w:p w14:paraId="02B80EB2" w14:textId="2E881C1D" w:rsidR="00912C14" w:rsidRPr="00912C14" w:rsidRDefault="00912C14" w:rsidP="00912C14">
      <w:pPr>
        <w:pStyle w:val="ListParagraph"/>
        <w:numPr>
          <w:ilvl w:val="0"/>
          <w:numId w:val="1"/>
        </w:numPr>
      </w:pPr>
      <w:r w:rsidRPr="00B12BFF">
        <w:rPr>
          <w:rFonts w:ascii="Calibri" w:eastAsia="Calibri" w:hAnsi="Calibri" w:cs="Calibri"/>
          <w:color w:val="000000" w:themeColor="text1"/>
          <w:lang w:val="en-GB"/>
        </w:rPr>
        <w:t xml:space="preserve">Waldvogel A-M, Feldmeyer B, Exposito-Alonso M, Bataillon T, </w:t>
      </w:r>
      <w:r w:rsidRPr="00B12BFF">
        <w:rPr>
          <w:rFonts w:ascii="Calibri" w:eastAsia="Calibri" w:hAnsi="Calibri" w:cs="Calibri"/>
          <w:b/>
          <w:color w:val="000000" w:themeColor="text1"/>
          <w:lang w:val="en-GB"/>
        </w:rPr>
        <w:t>Bergland AO</w:t>
      </w:r>
      <w:r w:rsidRPr="00B12BFF">
        <w:rPr>
          <w:rFonts w:ascii="Calibri" w:eastAsia="Calibri" w:hAnsi="Calibri" w:cs="Calibri"/>
          <w:color w:val="000000" w:themeColor="text1"/>
          <w:lang w:val="en-GB"/>
        </w:rPr>
        <w:t xml:space="preserve">, Flatt T, Guillaume F, Kofler R, Mock T, Rellstab C, Rolshausen G, Savolainen O, Schmid K, </w:t>
      </w:r>
      <w:r w:rsidRPr="00B12BFF">
        <w:rPr>
          <w:rFonts w:ascii="Calibri" w:eastAsia="Calibri" w:hAnsi="Calibri" w:cs="Calibri"/>
          <w:color w:val="000000" w:themeColor="text1"/>
          <w:lang w:val="en-GB"/>
        </w:rPr>
        <w:lastRenderedPageBreak/>
        <w:t xml:space="preserve">Schmitt I, Pfenninger M. Evolutionary genomics improves predictions of species responses to climate change. To be submitted to </w:t>
      </w:r>
      <w:r w:rsidRPr="00B12BFF">
        <w:rPr>
          <w:rFonts w:ascii="Calibri" w:eastAsia="Calibri" w:hAnsi="Calibri" w:cs="Calibri"/>
          <w:color w:val="000000" w:themeColor="text1"/>
          <w:u w:val="single"/>
          <w:lang w:val="en-GB"/>
        </w:rPr>
        <w:t>Evolution Letters.</w:t>
      </w:r>
    </w:p>
    <w:p w14:paraId="36AB4EB7" w14:textId="665B276D" w:rsidR="00912C14" w:rsidRPr="00912C14" w:rsidRDefault="00912C14" w:rsidP="00912C14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Erickson PA, Weller CA, </w:t>
      </w:r>
      <w:r w:rsidRPr="00912C14">
        <w:rPr>
          <w:rFonts w:ascii="Calibri" w:eastAsia="Calibri" w:hAnsi="Calibri" w:cs="Calibri"/>
          <w:b/>
          <w:color w:val="000000" w:themeColor="text1"/>
          <w:lang w:val="en-GB"/>
        </w:rPr>
        <w:t>Bergland AO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. The genetic basis of natural variation in diapause in </w:t>
      </w:r>
      <w:r>
        <w:rPr>
          <w:rFonts w:ascii="Calibri" w:eastAsia="Calibri" w:hAnsi="Calibri" w:cs="Calibri"/>
          <w:i/>
          <w:color w:val="000000" w:themeColor="text1"/>
          <w:lang w:val="en-GB"/>
        </w:rPr>
        <w:t>Drosophila melanogaster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. To be submitted to </w:t>
      </w:r>
      <w:r>
        <w:rPr>
          <w:rFonts w:ascii="Calibri" w:eastAsia="Calibri" w:hAnsi="Calibri" w:cs="Calibri"/>
          <w:color w:val="000000" w:themeColor="text1"/>
          <w:u w:val="single"/>
          <w:lang w:val="en-GB"/>
        </w:rPr>
        <w:t>PloS Genetics</w:t>
      </w:r>
      <w:r>
        <w:rPr>
          <w:rFonts w:ascii="Calibri" w:eastAsia="Calibri" w:hAnsi="Calibri" w:cs="Calibri"/>
          <w:b/>
          <w:color w:val="000000" w:themeColor="text1"/>
          <w:u w:val="single"/>
          <w:lang w:val="en-GB"/>
        </w:rPr>
        <w:t>.</w:t>
      </w:r>
    </w:p>
    <w:p w14:paraId="52046C58" w14:textId="5C4A4219" w:rsidR="00912C14" w:rsidRDefault="00912C14" w:rsidP="00912C14">
      <w:pPr>
        <w:rPr>
          <w:sz w:val="20"/>
        </w:rPr>
      </w:pPr>
    </w:p>
    <w:p w14:paraId="57BC47B2" w14:textId="46F2B44A" w:rsidR="00912C14" w:rsidRDefault="00912C14" w:rsidP="00D23B6E">
      <w:pPr>
        <w:rPr>
          <w:sz w:val="20"/>
        </w:rPr>
      </w:pPr>
      <w:r>
        <w:rPr>
          <w:sz w:val="20"/>
        </w:rPr>
        <w:t xml:space="preserve">There are also 3 other projects will </w:t>
      </w:r>
      <w:r w:rsidR="00DD3909">
        <w:rPr>
          <w:sz w:val="20"/>
        </w:rPr>
        <w:t>also</w:t>
      </w:r>
      <w:r>
        <w:rPr>
          <w:sz w:val="20"/>
        </w:rPr>
        <w:t xml:space="preserve"> receive extra attention this next year as we work to finalize </w:t>
      </w:r>
      <w:r w:rsidR="00DD3909">
        <w:rPr>
          <w:sz w:val="20"/>
        </w:rPr>
        <w:t>these analyses</w:t>
      </w:r>
      <w:r w:rsidR="00351419">
        <w:rPr>
          <w:sz w:val="20"/>
        </w:rPr>
        <w:t xml:space="preserve"> and craft the story in preparation for manuscript submission within the next 18 months.</w:t>
      </w:r>
      <w:r w:rsidR="00D23B6E">
        <w:rPr>
          <w:sz w:val="20"/>
        </w:rPr>
        <w:t xml:space="preserve"> These projects are as follows:</w:t>
      </w:r>
    </w:p>
    <w:p w14:paraId="67FB60A2" w14:textId="704577C2" w:rsidR="00D23B6E" w:rsidRDefault="00D23B6E" w:rsidP="00D23B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Black A, Bergland AO. Fine-scaled population structure in Drosophila melanogaster. </w:t>
      </w:r>
    </w:p>
    <w:p w14:paraId="32FAB060" w14:textId="7A7455BF" w:rsidR="00D23B6E" w:rsidRPr="00D23B6E" w:rsidRDefault="00D23B6E" w:rsidP="00D23B6E">
      <w:pPr>
        <w:pStyle w:val="ListParagraph"/>
        <w:numPr>
          <w:ilvl w:val="0"/>
          <w:numId w:val="2"/>
        </w:numPr>
        <w:rPr>
          <w:sz w:val="20"/>
        </w:rPr>
      </w:pPr>
      <w:r w:rsidRPr="00D23B6E">
        <w:rPr>
          <w:color w:val="000000" w:themeColor="text1"/>
        </w:rPr>
        <w:t xml:space="preserve">Becker D, Edwards A, </w:t>
      </w:r>
      <w:r w:rsidRPr="00D23B6E">
        <w:rPr>
          <w:color w:val="000000" w:themeColor="text1"/>
        </w:rPr>
        <w:t xml:space="preserve">Barnard-Kubow K, </w:t>
      </w:r>
      <w:r w:rsidRPr="00D23B6E">
        <w:rPr>
          <w:color w:val="000000" w:themeColor="text1"/>
        </w:rPr>
        <w:t xml:space="preserve">Porter R, </w:t>
      </w:r>
      <w:r w:rsidRPr="00D23B6E">
        <w:rPr>
          <w:color w:val="000000" w:themeColor="text1"/>
        </w:rPr>
        <w:t xml:space="preserve">Beckerman A, </w:t>
      </w:r>
      <w:r w:rsidRPr="00D23B6E">
        <w:rPr>
          <w:b/>
          <w:color w:val="000000" w:themeColor="text1"/>
        </w:rPr>
        <w:t>Bergland AO</w:t>
      </w:r>
      <w:r w:rsidRPr="00D23B6E">
        <w:rPr>
          <w:b/>
          <w:color w:val="000000" w:themeColor="text1"/>
        </w:rPr>
        <w:t xml:space="preserve">. </w:t>
      </w:r>
      <w:r>
        <w:rPr>
          <w:color w:val="000000" w:themeColor="text1"/>
        </w:rPr>
        <w:t>Local adaptation and the maintenance of vairation in predator resp in Daphnia pulex</w:t>
      </w:r>
      <w:r w:rsidRPr="00D23B6E">
        <w:rPr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</w:p>
    <w:p w14:paraId="5EAA3010" w14:textId="11BD4074" w:rsidR="00D23B6E" w:rsidRPr="00D23B6E" w:rsidRDefault="00D23B6E" w:rsidP="00D23B6E">
      <w:pPr>
        <w:pStyle w:val="ListParagraph"/>
        <w:numPr>
          <w:ilvl w:val="0"/>
          <w:numId w:val="2"/>
        </w:numPr>
        <w:rPr>
          <w:sz w:val="20"/>
        </w:rPr>
      </w:pPr>
      <w:r w:rsidRPr="00D23B6E">
        <w:rPr>
          <w:color w:val="000000" w:themeColor="text1"/>
        </w:rPr>
        <w:t>Barnard-Kubow K</w:t>
      </w:r>
      <w:r>
        <w:rPr>
          <w:color w:val="000000" w:themeColor="text1"/>
        </w:rPr>
        <w:t xml:space="preserve">, </w:t>
      </w:r>
      <w:r w:rsidRPr="00D23B6E">
        <w:rPr>
          <w:color w:val="000000" w:themeColor="text1"/>
        </w:rPr>
        <w:t>Becker D,</w:t>
      </w:r>
      <w:r>
        <w:rPr>
          <w:color w:val="000000" w:themeColor="text1"/>
        </w:rPr>
        <w:t xml:space="preserve"> </w:t>
      </w:r>
      <w:r w:rsidRPr="00D23B6E">
        <w:rPr>
          <w:color w:val="000000" w:themeColor="text1"/>
        </w:rPr>
        <w:t xml:space="preserve">Porter R, Beckerman A, </w:t>
      </w:r>
      <w:r w:rsidRPr="00D23B6E">
        <w:rPr>
          <w:b/>
          <w:color w:val="000000" w:themeColor="text1"/>
        </w:rPr>
        <w:t xml:space="preserve">Bergland AO. </w:t>
      </w:r>
      <w:r w:rsidRPr="00D23B6E">
        <w:rPr>
          <w:color w:val="000000" w:themeColor="text1"/>
        </w:rPr>
        <w:t>The evolutionary history of sexual polymorphism</w:t>
      </w:r>
      <w:r w:rsidRPr="00D23B6E">
        <w:rPr>
          <w:color w:val="000000" w:themeColor="text1"/>
        </w:rPr>
        <w:t xml:space="preserve"> </w:t>
      </w:r>
      <w:r>
        <w:rPr>
          <w:color w:val="000000" w:themeColor="text1"/>
        </w:rPr>
        <w:t>in Daphnia pulex</w:t>
      </w:r>
      <w:r w:rsidRPr="00D23B6E">
        <w:rPr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</w:p>
    <w:p w14:paraId="77F1E893" w14:textId="717D1F46" w:rsidR="00D23B6E" w:rsidRPr="00D23B6E" w:rsidRDefault="00D23B6E" w:rsidP="00927C50">
      <w:pPr>
        <w:pStyle w:val="ListParagraph"/>
        <w:ind w:left="1080"/>
        <w:rPr>
          <w:sz w:val="20"/>
        </w:rPr>
      </w:pPr>
      <w:bookmarkStart w:id="0" w:name="_GoBack"/>
      <w:bookmarkEnd w:id="0"/>
    </w:p>
    <w:sectPr w:rsidR="00D23B6E" w:rsidRPr="00D23B6E" w:rsidSect="00F3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63C3"/>
    <w:multiLevelType w:val="hybridMultilevel"/>
    <w:tmpl w:val="4C60614E"/>
    <w:lvl w:ilvl="0" w:tplc="B34CF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B744B"/>
    <w:multiLevelType w:val="hybridMultilevel"/>
    <w:tmpl w:val="DB8E852A"/>
    <w:lvl w:ilvl="0" w:tplc="B728EE9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40CEF"/>
    <w:multiLevelType w:val="hybridMultilevel"/>
    <w:tmpl w:val="CA023BE4"/>
    <w:lvl w:ilvl="0" w:tplc="F3BE8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14"/>
    <w:rsid w:val="00351419"/>
    <w:rsid w:val="003C5116"/>
    <w:rsid w:val="00606416"/>
    <w:rsid w:val="00912C14"/>
    <w:rsid w:val="00927C50"/>
    <w:rsid w:val="00D23B6E"/>
    <w:rsid w:val="00DD3909"/>
    <w:rsid w:val="00E56161"/>
    <w:rsid w:val="00F374A9"/>
    <w:rsid w:val="00FA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EAF2B"/>
  <w15:chartTrackingRefBased/>
  <w15:docId w15:val="{43079342-DFF5-2D48-9796-ADF4D02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2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 Begrland</dc:creator>
  <cp:keywords/>
  <dc:description/>
  <cp:lastModifiedBy>Alan O Begrland</cp:lastModifiedBy>
  <cp:revision>5</cp:revision>
  <dcterms:created xsi:type="dcterms:W3CDTF">2019-04-08T14:30:00Z</dcterms:created>
  <dcterms:modified xsi:type="dcterms:W3CDTF">2019-04-08T14:51:00Z</dcterms:modified>
</cp:coreProperties>
</file>