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Equipment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Bergland lab has one large workstation computer sufficient to perform the analyses described in this proposal.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Bergland land has access to UVA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Shared Genomics facility which houses PCR thermocyclers and other necessary molecular lab equipment.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Sequencing equipment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Biology Dept at UVA has an Illumina MiSeq, Roche 454, and ABI capillary sequencer. We will also outsource much of our sequencing needs.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