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B821" w14:textId="77777777" w:rsidR="00A4356F" w:rsidRPr="00CD01E8" w:rsidRDefault="006266AF">
      <w:pPr>
        <w:pStyle w:val="Body"/>
        <w:rPr>
          <w:rFonts w:ascii="Arial" w:hAnsi="Arial" w:cs="Arial"/>
          <w:b/>
          <w:bCs/>
        </w:rPr>
      </w:pPr>
      <w:r>
        <w:rPr>
          <w:b/>
          <w:bCs/>
        </w:rPr>
        <w:t>Equipment</w:t>
      </w:r>
    </w:p>
    <w:p w14:paraId="1FC2BF7B" w14:textId="77777777" w:rsidR="00A4356F" w:rsidRPr="00CD01E8" w:rsidRDefault="00A4356F">
      <w:pPr>
        <w:pStyle w:val="Body"/>
        <w:rPr>
          <w:rFonts w:ascii="Arial" w:hAnsi="Arial" w:cs="Arial"/>
          <w:b/>
          <w:bCs/>
        </w:rPr>
      </w:pPr>
    </w:p>
    <w:p w14:paraId="7D8B8CA5" w14:textId="30B9A0E8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  <w:r w:rsidRPr="00DB1D5B">
        <w:rPr>
          <w:rFonts w:ascii="Arial" w:hAnsi="Arial" w:cs="Arial"/>
          <w:u w:val="single"/>
        </w:rPr>
        <w:t>Computing resources</w:t>
      </w:r>
      <w:r w:rsidRPr="00DB1D5B">
        <w:rPr>
          <w:rFonts w:ascii="Arial" w:hAnsi="Arial" w:cs="Arial"/>
        </w:rPr>
        <w:t xml:space="preserve">: The University of Virginia maintains a large shared computing cluster with 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>8,000 cores and 8PB of various storage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>. The Bergland lab currently leases 20Tb of backed-up storage. The Bergland lab also maintains a 24-core workstation for smaller scale analyses.</w:t>
      </w:r>
    </w:p>
    <w:p w14:paraId="5C5EA697" w14:textId="3629E58B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</w:p>
    <w:p w14:paraId="0057D48D" w14:textId="4ACCC415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  <w:r w:rsidRPr="00DB1D5B">
        <w:rPr>
          <w:rFonts w:ascii="Arial" w:eastAsia="Times New Roman" w:hAnsi="Arial" w:cs="Arial"/>
          <w:color w:val="292B2C"/>
          <w:u w:val="single"/>
          <w:bdr w:val="none" w:sz="0" w:space="0" w:color="auto"/>
          <w:shd w:val="clear" w:color="auto" w:fill="FFFFFF"/>
        </w:rPr>
        <w:t>Environment controlled rooms</w:t>
      </w:r>
      <w:r w:rsidRPr="00DB1D5B">
        <w:rPr>
          <w:rFonts w:ascii="Arial" w:eastAsia="Times New Roman" w:hAnsi="Arial" w:cs="Arial"/>
          <w:b/>
          <w:bCs/>
          <w:color w:val="292B2C"/>
          <w:u w:val="single"/>
          <w:bdr w:val="none" w:sz="0" w:space="0" w:color="auto"/>
          <w:shd w:val="clear" w:color="auto" w:fill="FFFFFF"/>
        </w:rPr>
        <w:t>: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 xml:space="preserve"> The Bergland lab maintains two 8x8x8 walk-in Environmental Growth Chambers (EGCs). These chambers are capable of temperature, light, and humidity control. One is equipped with 40 small chambers, sufficient to hold 8 1L jars (for daphnia) or 100 fly vials. These small chambers were built and designed by the Bergland lab and offer additional independent control of light and temperature.</w:t>
      </w:r>
    </w:p>
    <w:p w14:paraId="2C8B484D" w14:textId="279760A1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</w:p>
    <w:p w14:paraId="7562C33F" w14:textId="3923350A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  <w:r w:rsidRPr="00DB1D5B">
        <w:rPr>
          <w:rFonts w:ascii="Arial" w:eastAsia="Times New Roman" w:hAnsi="Arial" w:cs="Arial"/>
          <w:color w:val="292B2C"/>
          <w:u w:val="single"/>
          <w:bdr w:val="none" w:sz="0" w:space="0" w:color="auto"/>
          <w:shd w:val="clear" w:color="auto" w:fill="FFFFFF"/>
        </w:rPr>
        <w:t>Percival growth chambers: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 xml:space="preserve"> The Bergland lab maintains 4 Percival chambers (two double door, and 2 single door). One single door unit is designed for Drosophila use and has phenolic coated </w:t>
      </w:r>
      <w:r w:rsidR="00210497"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>coils and humidity control. The others are used for Daphnia culture.</w:t>
      </w:r>
    </w:p>
    <w:p w14:paraId="16B6959B" w14:textId="75960E08" w:rsidR="00210497" w:rsidRPr="00DB1D5B" w:rsidRDefault="00210497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</w:p>
    <w:p w14:paraId="18A547FD" w14:textId="3307CC75" w:rsidR="00210497" w:rsidRPr="00DB1D5B" w:rsidRDefault="00210497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  <w:r w:rsidRPr="00DB1D5B">
        <w:rPr>
          <w:rFonts w:ascii="Arial" w:eastAsia="Times New Roman" w:hAnsi="Arial" w:cs="Arial"/>
          <w:color w:val="292B2C"/>
          <w:u w:val="single"/>
          <w:bdr w:val="none" w:sz="0" w:space="0" w:color="auto"/>
          <w:shd w:val="clear" w:color="auto" w:fill="FFFFFF"/>
        </w:rPr>
        <w:t>Laminar Flow hood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>: We maintain a Laminar Flow hood for algae culture work.</w:t>
      </w:r>
    </w:p>
    <w:p w14:paraId="579696A7" w14:textId="77777777" w:rsidR="00447A23" w:rsidRPr="00DB1D5B" w:rsidRDefault="00447A23" w:rsidP="00447A23">
      <w:pPr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</w:pPr>
    </w:p>
    <w:p w14:paraId="140F5CBA" w14:textId="0999F88F" w:rsidR="00A4356F" w:rsidRPr="00DB1D5B" w:rsidRDefault="00447A23" w:rsidP="00447A23">
      <w:pPr>
        <w:rPr>
          <w:rFonts w:ascii="Arial" w:hAnsi="Arial" w:cs="Arial"/>
        </w:rPr>
      </w:pPr>
      <w:r w:rsidRPr="00DB1D5B">
        <w:rPr>
          <w:rFonts w:ascii="Arial" w:eastAsia="Times New Roman" w:hAnsi="Arial" w:cs="Arial"/>
          <w:color w:val="292B2C"/>
          <w:u w:val="single"/>
          <w:bdr w:val="none" w:sz="0" w:space="0" w:color="auto"/>
          <w:shd w:val="clear" w:color="auto" w:fill="FFFFFF"/>
        </w:rPr>
        <w:t>Molecular facilities</w:t>
      </w:r>
      <w:r w:rsidRPr="00DB1D5B">
        <w:rPr>
          <w:rFonts w:ascii="Arial" w:eastAsia="Times New Roman" w:hAnsi="Arial" w:cs="Arial"/>
          <w:color w:val="292B2C"/>
          <w:bdr w:val="none" w:sz="0" w:space="0" w:color="auto"/>
          <w:shd w:val="clear" w:color="auto" w:fill="FFFFFF"/>
        </w:rPr>
        <w:t xml:space="preserve">: </w:t>
      </w:r>
      <w:r w:rsidR="006266AF" w:rsidRPr="00DB1D5B">
        <w:rPr>
          <w:rFonts w:ascii="Arial" w:hAnsi="Arial" w:cs="Arial"/>
        </w:rPr>
        <w:t>The Bergland land has access to UVA</w:t>
      </w:r>
      <w:r w:rsidR="006266AF" w:rsidRPr="00DB1D5B">
        <w:rPr>
          <w:rFonts w:ascii="Arial" w:hAnsi="Arial" w:cs="Arial"/>
        </w:rPr>
        <w:t>’</w:t>
      </w:r>
      <w:r w:rsidR="006266AF" w:rsidRPr="00DB1D5B">
        <w:rPr>
          <w:rFonts w:ascii="Arial" w:hAnsi="Arial" w:cs="Arial"/>
        </w:rPr>
        <w:t xml:space="preserve">s Shared Genomics facility which houses PCR thermocyclers and other necessary </w:t>
      </w:r>
      <w:r w:rsidR="006266AF" w:rsidRPr="00DB1D5B">
        <w:rPr>
          <w:rFonts w:ascii="Arial" w:hAnsi="Arial" w:cs="Arial"/>
        </w:rPr>
        <w:t>molecular lab equipment.</w:t>
      </w:r>
    </w:p>
    <w:p w14:paraId="72E1317B" w14:textId="443429FA" w:rsidR="00447A23" w:rsidRPr="00DB1D5B" w:rsidRDefault="00447A23" w:rsidP="00447A23">
      <w:pPr>
        <w:rPr>
          <w:rFonts w:ascii="Arial" w:hAnsi="Arial" w:cs="Arial"/>
        </w:rPr>
      </w:pPr>
    </w:p>
    <w:p w14:paraId="610B1857" w14:textId="7CAB1A0D" w:rsidR="00447A23" w:rsidRPr="00DB1D5B" w:rsidRDefault="00447A23" w:rsidP="00447A23">
      <w:pPr>
        <w:rPr>
          <w:rFonts w:ascii="Arial" w:eastAsia="Times New Roman" w:hAnsi="Arial" w:cs="Arial"/>
          <w:color w:val="000000"/>
          <w:bdr w:val="none" w:sz="0" w:space="0" w:color="auto"/>
        </w:rPr>
      </w:pPr>
      <w:r w:rsidRPr="00DB1D5B">
        <w:rPr>
          <w:rFonts w:ascii="Arial" w:hAnsi="Arial" w:cs="Arial"/>
          <w:u w:val="single"/>
        </w:rPr>
        <w:t>Daphnia aquaculture</w:t>
      </w:r>
      <w:r w:rsidRPr="00DB1D5B">
        <w:rPr>
          <w:rFonts w:ascii="Arial" w:hAnsi="Arial" w:cs="Arial"/>
        </w:rPr>
        <w:t xml:space="preserve">: The Bergland lab maintains an </w:t>
      </w:r>
      <w:proofErr w:type="spellStart"/>
      <w:r w:rsidRPr="00DB1D5B">
        <w:rPr>
          <w:rFonts w:ascii="Arial" w:hAnsi="Arial" w:cs="Arial"/>
        </w:rPr>
        <w:t>Aquaneering</w:t>
      </w:r>
      <w:proofErr w:type="spellEnd"/>
      <w:r w:rsidRPr="00DB1D5B">
        <w:rPr>
          <w:rFonts w:ascii="Arial" w:hAnsi="Arial" w:cs="Arial"/>
        </w:rPr>
        <w:t xml:space="preserve"> flow-through system for Daphnia culture. Currently, we are utilizing a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s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ix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s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helf </w:t>
      </w:r>
      <w:proofErr w:type="spellStart"/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s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tand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a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lone</w:t>
      </w:r>
      <w:proofErr w:type="spellEnd"/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si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ngle-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s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ided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>rack, with the option to expand to 6 double wide racks if necessary.</w:t>
      </w:r>
    </w:p>
    <w:p w14:paraId="4B135EDB" w14:textId="412AD465" w:rsidR="00447A23" w:rsidRPr="00DB1D5B" w:rsidRDefault="00447A23" w:rsidP="00447A23">
      <w:pPr>
        <w:rPr>
          <w:rFonts w:ascii="Arial" w:eastAsia="Times New Roman" w:hAnsi="Arial" w:cs="Arial"/>
          <w:color w:val="000000"/>
          <w:bdr w:val="none" w:sz="0" w:space="0" w:color="auto"/>
        </w:rPr>
      </w:pPr>
    </w:p>
    <w:p w14:paraId="2323028E" w14:textId="7776E74B" w:rsidR="00447A23" w:rsidRPr="00DB1D5B" w:rsidRDefault="00447A23" w:rsidP="00447A23">
      <w:pPr>
        <w:rPr>
          <w:rFonts w:ascii="Arial" w:eastAsia="Times New Roman" w:hAnsi="Arial" w:cs="Arial"/>
          <w:u w:val="single"/>
          <w:bdr w:val="none" w:sz="0" w:space="0" w:color="auto"/>
        </w:rPr>
      </w:pPr>
      <w:r w:rsidRPr="00DB1D5B">
        <w:rPr>
          <w:rFonts w:ascii="Arial" w:eastAsia="Times New Roman" w:hAnsi="Arial" w:cs="Arial"/>
          <w:color w:val="000000"/>
          <w:u w:val="single"/>
          <w:bdr w:val="none" w:sz="0" w:space="0" w:color="auto"/>
        </w:rPr>
        <w:t xml:space="preserve">Outdoor mesocosm facility: </w:t>
      </w:r>
      <w:r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The Bergland lab has built and maintains 36 caged peach trees at our experimental orchard at Morven Estates. Cages are built out of </w:t>
      </w:r>
      <w:r w:rsidR="00CD01E8" w:rsidRPr="00DB1D5B">
        <w:rPr>
          <w:rFonts w:ascii="Arial" w:eastAsia="Times New Roman" w:hAnsi="Arial" w:cs="Arial"/>
          <w:color w:val="000000"/>
          <w:bdr w:val="none" w:sz="0" w:space="0" w:color="auto"/>
        </w:rPr>
        <w:t xml:space="preserve">UV resistant </w:t>
      </w:r>
      <w:proofErr w:type="spellStart"/>
      <w:r w:rsidR="00CD01E8" w:rsidRPr="00DB1D5B">
        <w:rPr>
          <w:rFonts w:ascii="Arial" w:eastAsia="Times New Roman" w:hAnsi="Arial" w:cs="Arial"/>
          <w:color w:val="000000"/>
          <w:bdr w:val="none" w:sz="0" w:space="0" w:color="auto"/>
        </w:rPr>
        <w:t>Luminite</w:t>
      </w:r>
      <w:proofErr w:type="spellEnd"/>
      <w:r w:rsidR="00CD01E8" w:rsidRPr="00DB1D5B">
        <w:rPr>
          <w:rFonts w:ascii="Arial" w:eastAsia="Times New Roman" w:hAnsi="Arial" w:cs="Arial"/>
          <w:color w:val="000000"/>
          <w:bdr w:val="none" w:sz="0" w:space="0" w:color="auto"/>
        </w:rPr>
        <w:t>, preventing major movement of Drosophila.</w:t>
      </w:r>
    </w:p>
    <w:p w14:paraId="6E828088" w14:textId="77777777" w:rsidR="00A4356F" w:rsidRPr="00DB1D5B" w:rsidRDefault="00A4356F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1F89E236" w14:textId="232C2DB9" w:rsidR="00A4356F" w:rsidRPr="00DB1D5B" w:rsidRDefault="00CD01E8">
      <w:pPr>
        <w:pStyle w:val="Body"/>
        <w:rPr>
          <w:rFonts w:ascii="Arial" w:hAnsi="Arial" w:cs="Arial"/>
          <w:sz w:val="24"/>
          <w:szCs w:val="24"/>
        </w:rPr>
      </w:pPr>
      <w:r w:rsidRPr="00DB1D5B">
        <w:rPr>
          <w:rFonts w:ascii="Arial" w:hAnsi="Arial" w:cs="Arial"/>
          <w:sz w:val="24"/>
          <w:szCs w:val="24"/>
          <w:u w:val="single"/>
        </w:rPr>
        <w:t>UVA Genomics core</w:t>
      </w:r>
      <w:r w:rsidRPr="00DB1D5B">
        <w:rPr>
          <w:rFonts w:ascii="Arial" w:hAnsi="Arial" w:cs="Arial"/>
          <w:sz w:val="24"/>
          <w:szCs w:val="24"/>
        </w:rPr>
        <w:t xml:space="preserve">. </w:t>
      </w:r>
      <w:r w:rsidR="006266AF" w:rsidRPr="00DB1D5B">
        <w:rPr>
          <w:rFonts w:ascii="Arial" w:hAnsi="Arial" w:cs="Arial"/>
          <w:sz w:val="24"/>
          <w:szCs w:val="24"/>
        </w:rPr>
        <w:t xml:space="preserve">The Biology Dept at UVA has an Illumina </w:t>
      </w:r>
      <w:proofErr w:type="spellStart"/>
      <w:r w:rsidR="006266AF" w:rsidRPr="00DB1D5B">
        <w:rPr>
          <w:rFonts w:ascii="Arial" w:hAnsi="Arial" w:cs="Arial"/>
          <w:sz w:val="24"/>
          <w:szCs w:val="24"/>
        </w:rPr>
        <w:t>MiSeq</w:t>
      </w:r>
      <w:proofErr w:type="spellEnd"/>
      <w:r w:rsidR="006266AF" w:rsidRPr="00DB1D5B">
        <w:rPr>
          <w:rFonts w:ascii="Arial" w:hAnsi="Arial" w:cs="Arial"/>
          <w:sz w:val="24"/>
          <w:szCs w:val="24"/>
        </w:rPr>
        <w:t xml:space="preserve">, Roche 454, and ABI capillary sequencer. We will also outsource much of our sequencing needs. </w:t>
      </w:r>
    </w:p>
    <w:sectPr w:rsidR="00A4356F" w:rsidRPr="00DB1D5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4A70" w14:textId="77777777" w:rsidR="006266AF" w:rsidRDefault="006266AF">
      <w:r>
        <w:separator/>
      </w:r>
    </w:p>
  </w:endnote>
  <w:endnote w:type="continuationSeparator" w:id="0">
    <w:p w14:paraId="7ECB9A0F" w14:textId="77777777" w:rsidR="006266AF" w:rsidRDefault="0062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176A5" w14:textId="77777777" w:rsidR="00A4356F" w:rsidRDefault="00A435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C525" w14:textId="77777777" w:rsidR="006266AF" w:rsidRDefault="006266AF">
      <w:r>
        <w:separator/>
      </w:r>
    </w:p>
  </w:footnote>
  <w:footnote w:type="continuationSeparator" w:id="0">
    <w:p w14:paraId="4EADB120" w14:textId="77777777" w:rsidR="006266AF" w:rsidRDefault="00626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84752" w14:textId="77777777" w:rsidR="00A4356F" w:rsidRDefault="00A435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6F"/>
    <w:rsid w:val="00210497"/>
    <w:rsid w:val="00447A23"/>
    <w:rsid w:val="006266AF"/>
    <w:rsid w:val="006600D1"/>
    <w:rsid w:val="00A4356F"/>
    <w:rsid w:val="00CD01E8"/>
    <w:rsid w:val="00D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476F0"/>
  <w15:docId w15:val="{9C38B026-656C-4B40-A631-9FCCCB93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apple-tab-span">
    <w:name w:val="apple-tab-span"/>
    <w:basedOn w:val="DefaultParagraphFont"/>
    <w:rsid w:val="004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Bergland, Alan Olav (aob2x)</cp:lastModifiedBy>
  <cp:revision>6</cp:revision>
  <dcterms:created xsi:type="dcterms:W3CDTF">2020-06-17T12:11:00Z</dcterms:created>
  <dcterms:modified xsi:type="dcterms:W3CDTF">2020-06-17T12:28:00Z</dcterms:modified>
</cp:coreProperties>
</file>