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6509" w14:textId="64651B1C" w:rsidR="00980509" w:rsidRPr="003E2E8E" w:rsidRDefault="00822D0C" w:rsidP="000B74FD">
      <w:pPr>
        <w:spacing w:after="100"/>
        <w:rPr>
          <w:rFonts w:ascii="Arial" w:hAnsi="Arial" w:cs="Arial"/>
          <w:b/>
          <w:bCs/>
          <w:sz w:val="22"/>
          <w:szCs w:val="22"/>
        </w:rPr>
      </w:pPr>
      <w:r w:rsidRPr="003E2E8E">
        <w:rPr>
          <w:rFonts w:ascii="Arial" w:hAnsi="Arial" w:cs="Arial"/>
          <w:b/>
          <w:bCs/>
          <w:sz w:val="22"/>
          <w:szCs w:val="22"/>
        </w:rPr>
        <w:t>Progress report publication list:</w:t>
      </w:r>
    </w:p>
    <w:p w14:paraId="66EB024A" w14:textId="77777777" w:rsidR="00735571" w:rsidRPr="00735571" w:rsidRDefault="00980509" w:rsidP="000B74FD">
      <w:pPr>
        <w:pStyle w:val="ListParagraph"/>
        <w:numPr>
          <w:ilvl w:val="0"/>
          <w:numId w:val="1"/>
        </w:numPr>
        <w:tabs>
          <w:tab w:val="left" w:pos="360"/>
          <w:tab w:val="left" w:pos="996"/>
        </w:tabs>
        <w:spacing w:after="100"/>
        <w:rPr>
          <w:rFonts w:ascii="Arial" w:hAnsi="Arial" w:cs="Arial"/>
          <w:bCs/>
          <w:i/>
          <w:iCs/>
          <w:sz w:val="22"/>
          <w:szCs w:val="22"/>
        </w:rPr>
      </w:pPr>
      <w:r w:rsidRPr="003E2E8E">
        <w:rPr>
          <w:rFonts w:ascii="Arial" w:hAnsi="Arial" w:cs="Arial"/>
          <w:bCs/>
          <w:sz w:val="22"/>
          <w:szCs w:val="22"/>
        </w:rPr>
        <w:t>Erickson PA, Weller CA, Song DY</w:t>
      </w:r>
      <w:r w:rsidRPr="003E2E8E">
        <w:rPr>
          <w:rFonts w:ascii="Arial" w:eastAsia="MS Mincho" w:hAnsi="Arial" w:cs="Arial"/>
          <w:bCs/>
          <w:sz w:val="22"/>
          <w:szCs w:val="22"/>
          <w:vertAlign w:val="superscript"/>
        </w:rPr>
        <w:t>†</w:t>
      </w:r>
      <w:r w:rsidRPr="003E2E8E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3E2E8E">
        <w:rPr>
          <w:rFonts w:ascii="Arial" w:hAnsi="Arial" w:cs="Arial"/>
          <w:bCs/>
          <w:sz w:val="22"/>
          <w:szCs w:val="22"/>
        </w:rPr>
        <w:t>Bangerter</w:t>
      </w:r>
      <w:proofErr w:type="spellEnd"/>
      <w:r w:rsidRPr="003E2E8E">
        <w:rPr>
          <w:rFonts w:ascii="Arial" w:hAnsi="Arial" w:cs="Arial"/>
          <w:bCs/>
          <w:sz w:val="22"/>
          <w:szCs w:val="22"/>
        </w:rPr>
        <w:t xml:space="preserve">-Black A, Schmidt PS, </w:t>
      </w:r>
      <w:r w:rsidRPr="003E2E8E">
        <w:rPr>
          <w:rFonts w:ascii="Arial" w:hAnsi="Arial" w:cs="Arial"/>
          <w:b/>
          <w:sz w:val="22"/>
          <w:szCs w:val="22"/>
        </w:rPr>
        <w:t>Bergland AO</w:t>
      </w:r>
      <w:r w:rsidRPr="003E2E8E">
        <w:rPr>
          <w:rFonts w:ascii="Arial" w:hAnsi="Arial" w:cs="Arial"/>
          <w:bCs/>
          <w:sz w:val="22"/>
          <w:szCs w:val="22"/>
        </w:rPr>
        <w:t xml:space="preserve">. Unique genetic signatures of local adaptation over space and time for diapause, an ecologically relevant complex trait, in Drosophila melanogaster. </w:t>
      </w:r>
    </w:p>
    <w:p w14:paraId="4EC9A3B0" w14:textId="6F9D45F1" w:rsidR="00980509" w:rsidRPr="003E2E8E" w:rsidRDefault="00735571" w:rsidP="00735571">
      <w:pPr>
        <w:pStyle w:val="ListParagraph"/>
        <w:tabs>
          <w:tab w:val="left" w:pos="360"/>
          <w:tab w:val="left" w:pos="996"/>
        </w:tabs>
        <w:spacing w:after="100"/>
        <w:ind w:left="360"/>
        <w:rPr>
          <w:rFonts w:ascii="Arial" w:hAnsi="Arial" w:cs="Arial"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bioRxiv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: </w:t>
      </w:r>
      <w:r w:rsidRPr="00AC6E54">
        <w:rPr>
          <w:rFonts w:ascii="Arial" w:hAnsi="Arial" w:cs="Arial"/>
          <w:bCs/>
          <w:i/>
          <w:iCs/>
          <w:color w:val="0070C0"/>
          <w:sz w:val="22"/>
          <w:szCs w:val="22"/>
          <w:u w:val="single"/>
        </w:rPr>
        <w:t>https://www.biorxiv.org/content/10.1101/2020.05.06.081281v1</w:t>
      </w:r>
      <w:r w:rsidR="00980509" w:rsidRPr="00AC6E54">
        <w:rPr>
          <w:rFonts w:ascii="Arial" w:hAnsi="Arial" w:cs="Arial"/>
          <w:bCs/>
          <w:i/>
          <w:iCs/>
          <w:color w:val="0070C0"/>
          <w:sz w:val="22"/>
          <w:szCs w:val="22"/>
        </w:rPr>
        <w:t xml:space="preserve"> </w:t>
      </w:r>
    </w:p>
    <w:p w14:paraId="618C804F" w14:textId="77777777" w:rsidR="00A46246" w:rsidRPr="003E2E8E" w:rsidRDefault="00A46246" w:rsidP="000E311C">
      <w:pPr>
        <w:pStyle w:val="NormalWeb"/>
        <w:shd w:val="clear" w:color="auto" w:fill="FFFFFF"/>
        <w:spacing w:before="0" w:beforeAutospacing="0" w:afterAutospacing="0"/>
        <w:ind w:left="630"/>
        <w:rPr>
          <w:rFonts w:ascii="Arial" w:hAnsi="Arial" w:cs="Arial"/>
          <w:sz w:val="22"/>
          <w:szCs w:val="22"/>
        </w:rPr>
      </w:pPr>
      <w:r w:rsidRPr="003E2E8E">
        <w:rPr>
          <w:rFonts w:ascii="Arial" w:hAnsi="Arial" w:cs="Arial"/>
          <w:bCs/>
          <w:i/>
          <w:iCs/>
          <w:sz w:val="22"/>
          <w:szCs w:val="22"/>
        </w:rPr>
        <w:t xml:space="preserve">• </w:t>
      </w:r>
      <w:r w:rsidRPr="003E2E8E">
        <w:rPr>
          <w:rFonts w:ascii="Arial" w:hAnsi="Arial" w:cs="Arial"/>
          <w:sz w:val="22"/>
          <w:szCs w:val="22"/>
        </w:rPr>
        <w:t>This work was funded by award #61-1673 from the Jane Coffin Childs Memorial Fund for Medical Research PAE. These funds paid for PAE’s salary and benefits.</w:t>
      </w:r>
    </w:p>
    <w:p w14:paraId="3C51F4BD" w14:textId="5D87614A" w:rsidR="00A46246" w:rsidRPr="003E2E8E" w:rsidRDefault="00A46246" w:rsidP="000E311C">
      <w:pPr>
        <w:pStyle w:val="NormalWeb"/>
        <w:shd w:val="clear" w:color="auto" w:fill="FFFFFF"/>
        <w:spacing w:before="0" w:beforeAutospacing="0" w:afterAutospacing="0"/>
        <w:ind w:left="630"/>
        <w:rPr>
          <w:rFonts w:ascii="Arial" w:hAnsi="Arial" w:cs="Arial"/>
          <w:sz w:val="22"/>
          <w:szCs w:val="22"/>
        </w:rPr>
      </w:pPr>
      <w:r w:rsidRPr="003E2E8E">
        <w:rPr>
          <w:rFonts w:ascii="Arial" w:hAnsi="Arial" w:cs="Arial"/>
          <w:sz w:val="22"/>
          <w:szCs w:val="22"/>
        </w:rPr>
        <w:t xml:space="preserve">• This work was supported by NIH R35 GM119686 to AOB. These funds paid for </w:t>
      </w:r>
      <w:r w:rsidR="00AF3193" w:rsidRPr="003E2E8E">
        <w:rPr>
          <w:rFonts w:ascii="Arial" w:hAnsi="Arial" w:cs="Arial"/>
          <w:sz w:val="22"/>
          <w:szCs w:val="22"/>
        </w:rPr>
        <w:t xml:space="preserve">library prep, </w:t>
      </w:r>
      <w:r w:rsidRPr="003E2E8E">
        <w:rPr>
          <w:rFonts w:ascii="Arial" w:hAnsi="Arial" w:cs="Arial"/>
          <w:sz w:val="22"/>
          <w:szCs w:val="22"/>
        </w:rPr>
        <w:t>sequencing</w:t>
      </w:r>
      <w:r w:rsidR="00AF3193" w:rsidRPr="003E2E8E">
        <w:rPr>
          <w:rFonts w:ascii="Arial" w:hAnsi="Arial" w:cs="Arial"/>
          <w:sz w:val="22"/>
          <w:szCs w:val="22"/>
        </w:rPr>
        <w:t xml:space="preserve">, </w:t>
      </w:r>
      <w:r w:rsidR="00D4489B" w:rsidRPr="003E2E8E">
        <w:rPr>
          <w:rFonts w:ascii="Arial" w:hAnsi="Arial" w:cs="Arial"/>
          <w:sz w:val="22"/>
          <w:szCs w:val="22"/>
        </w:rPr>
        <w:t xml:space="preserve">the </w:t>
      </w:r>
      <w:r w:rsidR="00AF3193" w:rsidRPr="003E2E8E">
        <w:rPr>
          <w:rFonts w:ascii="Arial" w:hAnsi="Arial" w:cs="Arial"/>
          <w:sz w:val="22"/>
          <w:szCs w:val="22"/>
        </w:rPr>
        <w:t>development of environmental chambers</w:t>
      </w:r>
      <w:r w:rsidR="00D4489B" w:rsidRPr="003E2E8E">
        <w:rPr>
          <w:rFonts w:ascii="Arial" w:hAnsi="Arial" w:cs="Arial"/>
          <w:sz w:val="22"/>
          <w:szCs w:val="22"/>
        </w:rPr>
        <w:t>, undergraduate support, fly consumables, development of experimental orchard, and summer support to AOB.</w:t>
      </w:r>
    </w:p>
    <w:p w14:paraId="49A80589" w14:textId="77777777" w:rsidR="00980509" w:rsidRPr="003E2E8E" w:rsidRDefault="00980509" w:rsidP="000E311C">
      <w:pPr>
        <w:tabs>
          <w:tab w:val="left" w:pos="360"/>
          <w:tab w:val="left" w:pos="996"/>
        </w:tabs>
        <w:spacing w:after="100"/>
        <w:ind w:left="630"/>
        <w:rPr>
          <w:rFonts w:ascii="Arial" w:hAnsi="Arial" w:cs="Arial"/>
          <w:bCs/>
          <w:color w:val="C45911" w:themeColor="accent2" w:themeShade="BF"/>
          <w:sz w:val="22"/>
          <w:szCs w:val="22"/>
        </w:rPr>
      </w:pPr>
    </w:p>
    <w:p w14:paraId="431DBEB9" w14:textId="77777777" w:rsidR="00735571" w:rsidRDefault="00980509" w:rsidP="00710883">
      <w:pPr>
        <w:pStyle w:val="ListParagraph"/>
        <w:numPr>
          <w:ilvl w:val="0"/>
          <w:numId w:val="1"/>
        </w:numPr>
        <w:tabs>
          <w:tab w:val="left" w:pos="360"/>
          <w:tab w:val="left" w:pos="996"/>
        </w:tabs>
        <w:spacing w:after="100"/>
        <w:rPr>
          <w:rFonts w:ascii="Arial" w:hAnsi="Arial" w:cs="Arial"/>
          <w:bCs/>
          <w:sz w:val="22"/>
          <w:szCs w:val="22"/>
        </w:rPr>
      </w:pPr>
      <w:r w:rsidRPr="00710883">
        <w:rPr>
          <w:rFonts w:ascii="Arial" w:hAnsi="Arial" w:cs="Arial"/>
          <w:bCs/>
          <w:sz w:val="22"/>
          <w:szCs w:val="22"/>
        </w:rPr>
        <w:t>Weller CA &amp;</w:t>
      </w:r>
      <w:r w:rsidRPr="00710883">
        <w:rPr>
          <w:rFonts w:ascii="Arial" w:hAnsi="Arial" w:cs="Arial"/>
          <w:b/>
          <w:sz w:val="22"/>
          <w:szCs w:val="22"/>
        </w:rPr>
        <w:t xml:space="preserve"> Bergland AO</w:t>
      </w:r>
      <w:r w:rsidRPr="00710883">
        <w:rPr>
          <w:rFonts w:ascii="Arial" w:hAnsi="Arial" w:cs="Arial"/>
          <w:bCs/>
          <w:sz w:val="22"/>
          <w:szCs w:val="22"/>
        </w:rPr>
        <w:t>. Accurate, ultra-low coverage genome reconstruction and</w:t>
      </w:r>
      <w:r w:rsidR="000B74FD" w:rsidRPr="00710883">
        <w:rPr>
          <w:rFonts w:ascii="Arial" w:hAnsi="Arial" w:cs="Arial"/>
          <w:bCs/>
          <w:sz w:val="22"/>
          <w:szCs w:val="22"/>
        </w:rPr>
        <w:t xml:space="preserve"> </w:t>
      </w:r>
      <w:r w:rsidRPr="00710883">
        <w:rPr>
          <w:rFonts w:ascii="Arial" w:hAnsi="Arial" w:cs="Arial"/>
          <w:bCs/>
          <w:sz w:val="22"/>
          <w:szCs w:val="22"/>
        </w:rPr>
        <w:t>association studies in Hybrid Swarm mapping populations.</w:t>
      </w:r>
      <w:r w:rsidR="00735571">
        <w:rPr>
          <w:rFonts w:ascii="Arial" w:hAnsi="Arial" w:cs="Arial"/>
          <w:bCs/>
          <w:sz w:val="22"/>
          <w:szCs w:val="22"/>
        </w:rPr>
        <w:t xml:space="preserve"> </w:t>
      </w:r>
    </w:p>
    <w:p w14:paraId="5BD658E3" w14:textId="21EAADE4" w:rsidR="00980509" w:rsidRPr="00710883" w:rsidRDefault="00735571" w:rsidP="00735571">
      <w:pPr>
        <w:pStyle w:val="ListParagraph"/>
        <w:tabs>
          <w:tab w:val="left" w:pos="360"/>
          <w:tab w:val="left" w:pos="996"/>
        </w:tabs>
        <w:spacing w:after="100"/>
        <w:ind w:left="360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bioRxiv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: </w:t>
      </w:r>
      <w:r w:rsidRPr="00AC6E54">
        <w:rPr>
          <w:rFonts w:ascii="Arial" w:hAnsi="Arial" w:cs="Arial"/>
          <w:bCs/>
          <w:i/>
          <w:iCs/>
          <w:color w:val="0070C0"/>
          <w:sz w:val="22"/>
          <w:szCs w:val="22"/>
          <w:u w:val="single"/>
        </w:rPr>
        <w:t>https://www.biorxiv.org/content/10.1101/671925v2</w:t>
      </w:r>
      <w:r w:rsidR="00A46246" w:rsidRPr="00710883">
        <w:rPr>
          <w:rFonts w:ascii="Arial" w:hAnsi="Arial" w:cs="Arial"/>
          <w:bCs/>
          <w:i/>
          <w:iCs/>
          <w:sz w:val="22"/>
          <w:szCs w:val="22"/>
        </w:rPr>
        <w:t xml:space="preserve"> </w:t>
      </w:r>
    </w:p>
    <w:p w14:paraId="395875A4" w14:textId="1B279D42" w:rsidR="00D4489B" w:rsidRPr="003E2E8E" w:rsidRDefault="00D4489B" w:rsidP="000E311C">
      <w:pPr>
        <w:pStyle w:val="NormalWeb"/>
        <w:shd w:val="clear" w:color="auto" w:fill="FFFFFF"/>
        <w:spacing w:before="0" w:beforeAutospacing="0" w:afterAutospacing="0"/>
        <w:ind w:left="630"/>
        <w:rPr>
          <w:rFonts w:ascii="Arial" w:hAnsi="Arial" w:cs="Arial"/>
          <w:sz w:val="22"/>
          <w:szCs w:val="22"/>
        </w:rPr>
      </w:pPr>
      <w:r w:rsidRPr="003E2E8E">
        <w:rPr>
          <w:rFonts w:ascii="Arial" w:hAnsi="Arial" w:cs="Arial"/>
          <w:sz w:val="22"/>
          <w:szCs w:val="22"/>
        </w:rPr>
        <w:t>• This work was supported by NIH R35 GM119686 to AOB. These funds paid for summer support to AOB</w:t>
      </w:r>
      <w:r w:rsidR="009B4FD6">
        <w:rPr>
          <w:rFonts w:ascii="Arial" w:hAnsi="Arial" w:cs="Arial"/>
          <w:sz w:val="22"/>
          <w:szCs w:val="22"/>
        </w:rPr>
        <w:t>, and GRA support for CAW.</w:t>
      </w:r>
    </w:p>
    <w:p w14:paraId="139E420C" w14:textId="77777777" w:rsidR="00D4489B" w:rsidRPr="003E2E8E" w:rsidRDefault="00D4489B" w:rsidP="000E311C">
      <w:pPr>
        <w:tabs>
          <w:tab w:val="left" w:pos="360"/>
          <w:tab w:val="left" w:pos="720"/>
        </w:tabs>
        <w:spacing w:after="100"/>
        <w:ind w:left="630"/>
        <w:rPr>
          <w:rFonts w:ascii="Arial" w:hAnsi="Arial" w:cs="Arial"/>
          <w:bCs/>
          <w:i/>
          <w:iCs/>
          <w:sz w:val="22"/>
          <w:szCs w:val="22"/>
        </w:rPr>
      </w:pPr>
    </w:p>
    <w:p w14:paraId="6CDC30B3" w14:textId="1119DD1E" w:rsidR="00980509" w:rsidRPr="00710883" w:rsidRDefault="00980509" w:rsidP="00710883">
      <w:pPr>
        <w:pStyle w:val="ListParagraph"/>
        <w:numPr>
          <w:ilvl w:val="0"/>
          <w:numId w:val="1"/>
        </w:numPr>
        <w:tabs>
          <w:tab w:val="left" w:pos="360"/>
          <w:tab w:val="left" w:pos="996"/>
        </w:tabs>
        <w:spacing w:after="100"/>
        <w:rPr>
          <w:rFonts w:ascii="Arial" w:hAnsi="Arial" w:cs="Arial"/>
          <w:b/>
          <w:sz w:val="22"/>
          <w:szCs w:val="22"/>
        </w:rPr>
      </w:pPr>
      <w:r w:rsidRPr="00710883">
        <w:rPr>
          <w:rFonts w:ascii="Arial" w:hAnsi="Arial" w:cs="Arial"/>
          <w:color w:val="000000" w:themeColor="text1"/>
          <w:sz w:val="22"/>
          <w:szCs w:val="22"/>
        </w:rPr>
        <w:t xml:space="preserve">Machado* H, </w:t>
      </w:r>
      <w:r w:rsidRPr="00710883">
        <w:rPr>
          <w:rFonts w:ascii="Arial" w:hAnsi="Arial" w:cs="Arial"/>
          <w:b/>
          <w:color w:val="000000" w:themeColor="text1"/>
          <w:sz w:val="22"/>
          <w:szCs w:val="22"/>
        </w:rPr>
        <w:t>Bergland AO*,</w:t>
      </w:r>
      <w:r w:rsidRPr="00710883">
        <w:rPr>
          <w:rFonts w:ascii="Arial" w:hAnsi="Arial" w:cs="Arial"/>
          <w:color w:val="000000" w:themeColor="text1"/>
          <w:sz w:val="22"/>
          <w:szCs w:val="22"/>
        </w:rPr>
        <w:t xml:space="preserve"> Taylor R, </w:t>
      </w:r>
      <w:proofErr w:type="spellStart"/>
      <w:r w:rsidRPr="00710883">
        <w:rPr>
          <w:rFonts w:ascii="Arial" w:hAnsi="Arial" w:cs="Arial"/>
          <w:color w:val="000000" w:themeColor="text1"/>
          <w:sz w:val="22"/>
          <w:szCs w:val="22"/>
        </w:rPr>
        <w:t>Tilk</w:t>
      </w:r>
      <w:proofErr w:type="spellEnd"/>
      <w:r w:rsidRPr="00710883">
        <w:rPr>
          <w:rFonts w:ascii="Arial" w:hAnsi="Arial" w:cs="Arial"/>
          <w:color w:val="000000" w:themeColor="text1"/>
          <w:sz w:val="22"/>
          <w:szCs w:val="22"/>
        </w:rPr>
        <w:t xml:space="preserve"> S, Behrman E, Dyer K, </w:t>
      </w:r>
      <w:r w:rsidRPr="00710883">
        <w:rPr>
          <w:rFonts w:ascii="Arial" w:hAnsi="Arial" w:cs="Arial"/>
          <w:i/>
          <w:color w:val="000000" w:themeColor="text1"/>
          <w:sz w:val="22"/>
          <w:szCs w:val="22"/>
        </w:rPr>
        <w:t xml:space="preserve">et </w:t>
      </w:r>
      <w:r w:rsidRPr="00710883">
        <w:rPr>
          <w:rFonts w:ascii="Arial" w:hAnsi="Arial" w:cs="Arial"/>
          <w:color w:val="000000" w:themeColor="text1"/>
          <w:sz w:val="22"/>
          <w:szCs w:val="22"/>
        </w:rPr>
        <w:t>al. 2018. Broad</w:t>
      </w:r>
      <w:r w:rsidR="000B74FD" w:rsidRPr="00710883">
        <w:rPr>
          <w:rFonts w:ascii="Arial" w:hAnsi="Arial" w:cs="Arial"/>
          <w:color w:val="000000" w:themeColor="text1"/>
          <w:sz w:val="22"/>
          <w:szCs w:val="22"/>
        </w:rPr>
        <w:t xml:space="preserve"> g</w:t>
      </w:r>
      <w:r w:rsidRPr="00710883">
        <w:rPr>
          <w:rFonts w:ascii="Arial" w:hAnsi="Arial" w:cs="Arial"/>
          <w:color w:val="000000" w:themeColor="text1"/>
          <w:sz w:val="22"/>
          <w:szCs w:val="22"/>
        </w:rPr>
        <w:t>eographic</w:t>
      </w:r>
      <w:r w:rsidR="00A46246" w:rsidRPr="0071088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10883">
        <w:rPr>
          <w:rFonts w:ascii="Arial" w:hAnsi="Arial" w:cs="Arial"/>
          <w:color w:val="000000" w:themeColor="text1"/>
          <w:sz w:val="22"/>
          <w:szCs w:val="22"/>
        </w:rPr>
        <w:t xml:space="preserve">sampling reveals predictable and pervasive seasonal adaptation in Drosophila. </w:t>
      </w:r>
      <w:proofErr w:type="spellStart"/>
      <w:r w:rsidR="00A46246" w:rsidRPr="00710883">
        <w:rPr>
          <w:rFonts w:ascii="Arial" w:hAnsi="Arial" w:cs="Arial"/>
          <w:i/>
          <w:iCs/>
          <w:color w:val="000000" w:themeColor="text1"/>
          <w:sz w:val="22"/>
          <w:szCs w:val="22"/>
        </w:rPr>
        <w:t>bioRxiv</w:t>
      </w:r>
      <w:proofErr w:type="spellEnd"/>
      <w:r w:rsidR="00A46246" w:rsidRPr="00710883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: </w:t>
      </w:r>
      <w:hyperlink r:id="rId5" w:history="1">
        <w:r w:rsidR="00A46246" w:rsidRPr="00710883">
          <w:rPr>
            <w:rStyle w:val="Hyperlink"/>
            <w:rFonts w:ascii="Arial" w:hAnsi="Arial" w:cs="Arial"/>
            <w:sz w:val="22"/>
            <w:szCs w:val="22"/>
          </w:rPr>
          <w:t>https://www.biorxiv.org/content/10.1101/337543v2</w:t>
        </w:r>
      </w:hyperlink>
    </w:p>
    <w:p w14:paraId="3CD3455D" w14:textId="77777777" w:rsidR="00D4489B" w:rsidRPr="003E2E8E" w:rsidRDefault="00D4489B" w:rsidP="000E311C">
      <w:pPr>
        <w:pStyle w:val="NormalWeb"/>
        <w:shd w:val="clear" w:color="auto" w:fill="FFFFFF"/>
        <w:spacing w:before="0" w:beforeAutospacing="0" w:afterAutospacing="0"/>
        <w:ind w:left="630"/>
        <w:rPr>
          <w:rFonts w:ascii="Arial" w:hAnsi="Arial" w:cs="Arial"/>
          <w:sz w:val="22"/>
          <w:szCs w:val="22"/>
        </w:rPr>
      </w:pPr>
      <w:r w:rsidRPr="003E2E8E">
        <w:rPr>
          <w:rFonts w:ascii="Arial" w:hAnsi="Arial" w:cs="Arial"/>
          <w:sz w:val="22"/>
          <w:szCs w:val="22"/>
        </w:rPr>
        <w:t>• This work was supported by NIH R35 GM119686 to AOB. These funds paid for summer support to AOB.</w:t>
      </w:r>
    </w:p>
    <w:p w14:paraId="56452662" w14:textId="77777777" w:rsidR="00980509" w:rsidRPr="003E2E8E" w:rsidRDefault="00980509" w:rsidP="000E311C">
      <w:pPr>
        <w:tabs>
          <w:tab w:val="left" w:pos="360"/>
          <w:tab w:val="left" w:pos="996"/>
        </w:tabs>
        <w:spacing w:after="100"/>
        <w:ind w:left="630"/>
        <w:rPr>
          <w:rFonts w:ascii="Arial" w:hAnsi="Arial" w:cs="Arial"/>
          <w:b/>
          <w:sz w:val="22"/>
          <w:szCs w:val="22"/>
        </w:rPr>
      </w:pPr>
    </w:p>
    <w:p w14:paraId="337EC499" w14:textId="12966ED2" w:rsidR="00822D0C" w:rsidRPr="00710883" w:rsidRDefault="00A46246" w:rsidP="00710883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sz w:val="22"/>
          <w:szCs w:val="22"/>
        </w:rPr>
      </w:pPr>
      <w:r w:rsidRPr="00710883">
        <w:rPr>
          <w:rFonts w:ascii="Arial" w:hAnsi="Arial" w:cs="Arial"/>
          <w:sz w:val="22"/>
          <w:szCs w:val="22"/>
        </w:rPr>
        <w:t xml:space="preserve">Stone HM, Erickson PA, </w:t>
      </w:r>
      <w:r w:rsidRPr="00710883">
        <w:rPr>
          <w:rFonts w:ascii="Arial" w:hAnsi="Arial" w:cs="Arial"/>
          <w:b/>
          <w:bCs/>
          <w:sz w:val="22"/>
          <w:szCs w:val="22"/>
        </w:rPr>
        <w:t>Bergland AO</w:t>
      </w:r>
      <w:r w:rsidRPr="00710883">
        <w:rPr>
          <w:rFonts w:ascii="Arial" w:hAnsi="Arial" w:cs="Arial"/>
          <w:sz w:val="22"/>
          <w:szCs w:val="22"/>
        </w:rPr>
        <w:t xml:space="preserve">. Phenotypic plasticity, but not adaptive tracking, underlies seasonal variation in post-cold hardening freeze tolerance of Drosophila melanogaster. </w:t>
      </w:r>
      <w:r w:rsidRPr="00E65E1F">
        <w:rPr>
          <w:rFonts w:ascii="Arial" w:hAnsi="Arial" w:cs="Arial"/>
          <w:color w:val="0070C0"/>
          <w:sz w:val="22"/>
          <w:szCs w:val="22"/>
          <w:u w:val="single"/>
        </w:rPr>
        <w:t>PMCID: PMC6972814</w:t>
      </w:r>
      <w:r w:rsidRPr="00710883">
        <w:rPr>
          <w:rFonts w:ascii="Arial" w:hAnsi="Arial" w:cs="Arial"/>
          <w:sz w:val="22"/>
          <w:szCs w:val="22"/>
        </w:rPr>
        <w:t>.</w:t>
      </w:r>
    </w:p>
    <w:p w14:paraId="1018C57F" w14:textId="32B06500" w:rsidR="00D4489B" w:rsidRPr="003E2E8E" w:rsidRDefault="00D4489B" w:rsidP="000E311C">
      <w:pPr>
        <w:pStyle w:val="NormalWeb"/>
        <w:shd w:val="clear" w:color="auto" w:fill="FFFFFF"/>
        <w:spacing w:before="0" w:beforeAutospacing="0" w:afterAutospacing="0"/>
        <w:ind w:left="630"/>
        <w:rPr>
          <w:rFonts w:ascii="Arial" w:hAnsi="Arial" w:cs="Arial"/>
          <w:sz w:val="22"/>
          <w:szCs w:val="22"/>
        </w:rPr>
      </w:pPr>
      <w:r w:rsidRPr="003E2E8E">
        <w:rPr>
          <w:rFonts w:ascii="Arial" w:hAnsi="Arial" w:cs="Arial"/>
          <w:sz w:val="22"/>
          <w:szCs w:val="22"/>
        </w:rPr>
        <w:t>• This work was supported by NIH R35 GM119686 to AOB. These funds paid for equipment, fly consumables, and summer support to HMS.</w:t>
      </w:r>
    </w:p>
    <w:p w14:paraId="3EBD1848" w14:textId="77777777" w:rsidR="00D4489B" w:rsidRPr="003E2E8E" w:rsidRDefault="00D4489B" w:rsidP="000E311C">
      <w:pPr>
        <w:pStyle w:val="NormalWeb"/>
        <w:shd w:val="clear" w:color="auto" w:fill="FFFFFF"/>
        <w:spacing w:before="0" w:beforeAutospacing="0" w:afterAutospacing="0"/>
        <w:ind w:left="630"/>
        <w:rPr>
          <w:rFonts w:ascii="Arial" w:hAnsi="Arial" w:cs="Arial"/>
          <w:sz w:val="22"/>
          <w:szCs w:val="22"/>
        </w:rPr>
      </w:pPr>
      <w:r w:rsidRPr="003E2E8E">
        <w:rPr>
          <w:rFonts w:ascii="Arial" w:hAnsi="Arial" w:cs="Arial"/>
          <w:sz w:val="22"/>
          <w:szCs w:val="22"/>
        </w:rPr>
        <w:t>• This work was funded by award #61-1673 from the Jane Coffin Childs Memorial Fund for Medical Research PAE. These funds paid for PAE’s salary and benefits.</w:t>
      </w:r>
    </w:p>
    <w:p w14:paraId="341F7DA7" w14:textId="7C469214" w:rsidR="00D4489B" w:rsidRPr="003E2E8E" w:rsidRDefault="00D4489B" w:rsidP="000E311C">
      <w:pPr>
        <w:pStyle w:val="NormalWeb"/>
        <w:shd w:val="clear" w:color="auto" w:fill="FFFFFF"/>
        <w:spacing w:before="0" w:beforeAutospacing="0" w:afterAutospacing="0"/>
        <w:ind w:left="630"/>
        <w:rPr>
          <w:rFonts w:ascii="Arial" w:hAnsi="Arial" w:cs="Arial"/>
          <w:sz w:val="22"/>
          <w:szCs w:val="22"/>
        </w:rPr>
      </w:pPr>
      <w:r w:rsidRPr="003E2E8E">
        <w:rPr>
          <w:rFonts w:ascii="Arial" w:hAnsi="Arial" w:cs="Arial"/>
          <w:sz w:val="22"/>
          <w:szCs w:val="22"/>
        </w:rPr>
        <w:t xml:space="preserve">• This work was supported by a University of Virginia Harrison Award to HMS. These funds paid for summer support to HMS as well as some equipment for freeze tolerance assays. </w:t>
      </w:r>
    </w:p>
    <w:p w14:paraId="08DF2487" w14:textId="7389170C" w:rsidR="00822D0C" w:rsidRPr="003E2E8E" w:rsidRDefault="00822D0C" w:rsidP="000E311C">
      <w:pPr>
        <w:spacing w:after="100"/>
        <w:ind w:left="630"/>
        <w:rPr>
          <w:rFonts w:ascii="Arial" w:hAnsi="Arial" w:cs="Arial"/>
          <w:sz w:val="22"/>
          <w:szCs w:val="22"/>
        </w:rPr>
      </w:pPr>
    </w:p>
    <w:p w14:paraId="7E98314C" w14:textId="77777777" w:rsidR="00822D0C" w:rsidRPr="003E2E8E" w:rsidRDefault="00822D0C" w:rsidP="000B74FD">
      <w:pPr>
        <w:spacing w:after="100"/>
        <w:rPr>
          <w:rFonts w:ascii="Arial" w:hAnsi="Arial" w:cs="Arial"/>
          <w:sz w:val="22"/>
          <w:szCs w:val="22"/>
        </w:rPr>
      </w:pPr>
    </w:p>
    <w:sectPr w:rsidR="00822D0C" w:rsidRPr="003E2E8E" w:rsidSect="002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20AAA"/>
    <w:multiLevelType w:val="hybridMultilevel"/>
    <w:tmpl w:val="D18A2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0C"/>
    <w:rsid w:val="000B74FD"/>
    <w:rsid w:val="000E311C"/>
    <w:rsid w:val="001A756D"/>
    <w:rsid w:val="002D395A"/>
    <w:rsid w:val="003E2E8E"/>
    <w:rsid w:val="00710883"/>
    <w:rsid w:val="00735571"/>
    <w:rsid w:val="00822D0C"/>
    <w:rsid w:val="00980509"/>
    <w:rsid w:val="009B4FD6"/>
    <w:rsid w:val="00A46246"/>
    <w:rsid w:val="00AC6E54"/>
    <w:rsid w:val="00AF3193"/>
    <w:rsid w:val="00D4489B"/>
    <w:rsid w:val="00DD4537"/>
    <w:rsid w:val="00E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209EF"/>
  <w15:chartTrackingRefBased/>
  <w15:docId w15:val="{CA2B06BC-FCE7-CF4E-A3B9-7B3EB97F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2D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46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F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orxiv.org/content/10.1101/337543v2.abst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13</cp:revision>
  <dcterms:created xsi:type="dcterms:W3CDTF">2020-05-05T20:14:00Z</dcterms:created>
  <dcterms:modified xsi:type="dcterms:W3CDTF">2020-06-16T13:04:00Z</dcterms:modified>
</cp:coreProperties>
</file>