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de servicios 2027</w:t>
      </w:r>
    </w:p>
    <w:p>
      <w:pPr>
        <w:pStyle w:val="Subtitle"/>
      </w:pPr>
      <w:r>
        <w:t>Programas, cobertura y canales de atención</w:t>
      </w:r>
    </w:p>
    <w:p>
      <w:pPr>
        <w:pStyle w:val="Heading1"/>
      </w:pPr>
      <w:r>
        <w:t>Quiénes somos</w:t>
      </w:r>
    </w:p>
    <w:p>
      <w:r>
        <w:t>Somos un equipo interdisciplinario que acompaña a comunidades en tres regiones del país. Nuestro trabajo combina atención directa, formación y acompañamiento de largo plazo, siempre con información clara y procesos sencillos.</w:t>
      </w:r>
    </w:p>
    <w:p>
      <w:r>
        <w:t xml:space="preserve">Desde 2019 hemos atendido a más de </w:t>
      </w:r>
      <w:r>
        <w:rPr>
          <w:b/>
        </w:rPr>
        <w:t>60.000 personas</w:t>
      </w:r>
      <w:r>
        <w:t xml:space="preserve">, con un enfoque territorial y </w:t>
      </w:r>
      <w:r>
        <w:rPr>
          <w:i/>
        </w:rPr>
        <w:t>centrado en las personas</w:t>
      </w:r>
      <w:r>
        <w:t>. Este catálogo resume la oferta vigente y cómo acceder a ella.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Jornada de atención en la región Norte, marzo de 2026.</w:t>
      </w:r>
    </w:p>
    <w:p>
      <w:pPr>
        <w:pStyle w:val="Heading1"/>
      </w:pPr>
      <w:r>
        <w:t>Programas</w:t>
      </w:r>
    </w:p>
    <w:p>
      <w:r>
        <w:t>Cada programa tiene un objetivo, una población y unos canales de acceso definidos. A continuación se describen los cuatro programas activos.</w:t>
      </w:r>
    </w:p>
    <w:p>
      <w:pPr>
        <w:pStyle w:val="Heading2"/>
      </w:pPr>
      <w:r>
        <w:t>Atención directa</w:t>
      </w:r>
    </w:p>
    <w:p>
      <w:r>
        <w:t>Orientación y atención presencial en sedes y jornadas móviles. Incluye valoración inicial, remisión y seguimiento básico.Orientación y atención presencial en sedes y jornadas móviles. Incluye valoración inicial, remisión y seguimiento básico.</w:t>
      </w:r>
    </w:p>
    <w:p>
      <w:pPr>
        <w:pStyle w:val="ListBullet"/>
      </w:pPr>
      <w:r>
        <w:t>Requisitos</w:t>
      </w:r>
    </w:p>
    <w:p>
      <w:pPr>
        <w:pStyle w:val="ListBullet"/>
      </w:pPr>
      <w:r>
        <w:t>Documento de identidad</w:t>
      </w:r>
    </w:p>
    <w:p>
      <w:pPr>
        <w:pStyle w:val="ListBullet"/>
      </w:pPr>
      <w:r>
        <w:t>Registro previo en línea o en sede</w:t>
      </w:r>
    </w:p>
    <w:p>
      <w:pPr>
        <w:pStyle w:val="Heading2"/>
      </w:pPr>
      <w:r>
        <w:t>Acompañamiento</w:t>
      </w:r>
    </w:p>
    <w:p>
      <w:r>
        <w:t>Seguimiento individual durante seis a doce meses, con un plan de trabajo y revisiones mensuales.Seguimiento individual durante seis a doce meses, con un plan de trabajo y revisiones mensuales.</w:t>
      </w:r>
    </w:p>
    <w:p>
      <w:pPr>
        <w:pStyle w:val="ListBullet"/>
      </w:pPr>
      <w:r>
        <w:t>Requisitos</w:t>
      </w:r>
    </w:p>
    <w:p>
      <w:pPr>
        <w:pStyle w:val="ListBullet"/>
      </w:pPr>
      <w:r>
        <w:t>Documento de identidad</w:t>
      </w:r>
    </w:p>
    <w:p>
      <w:pPr>
        <w:pStyle w:val="ListBullet"/>
      </w:pPr>
      <w:r>
        <w:t>Registro previo en línea o en sede</w:t>
      </w:r>
    </w:p>
    <w:p>
      <w:pPr>
        <w:pStyle w:val="Heading2"/>
      </w:pPr>
      <w:r>
        <w:t>Formación</w:t>
      </w:r>
    </w:p>
    <w:p>
      <w:r>
        <w:t>Talleres abiertos para comunidades, instituciones educativas y organizaciones aliadas.Talleres abiertos para comunidades, instituciones educativas y organizaciones aliadas.</w:t>
      </w:r>
    </w:p>
    <w:p>
      <w:pPr>
        <w:pStyle w:val="ListBullet"/>
      </w:pPr>
      <w:r>
        <w:t>Requisitos</w:t>
      </w:r>
    </w:p>
    <w:p>
      <w:pPr>
        <w:pStyle w:val="ListBullet"/>
      </w:pPr>
      <w:r>
        <w:t>Documento de identidad</w:t>
      </w:r>
    </w:p>
    <w:p>
      <w:pPr>
        <w:pStyle w:val="ListBullet"/>
      </w:pPr>
      <w:r>
        <w:t>Registro previo en línea o en sede</w:t>
      </w:r>
    </w:p>
    <w:p>
      <w:pPr>
        <w:pStyle w:val="Heading2"/>
      </w:pPr>
      <w:r>
        <w:t>Líneas de contacto</w:t>
      </w:r>
    </w:p>
    <w:p>
      <w:r>
        <w:t>Atención por teléfono y mensajería, de lunes a sábado.Atención por teléfono y mensajería, de lunes a sábado.</w:t>
      </w:r>
    </w:p>
    <w:p>
      <w:pPr>
        <w:pStyle w:val="ListBullet"/>
      </w:pPr>
      <w:r>
        <w:t>Requisitos</w:t>
      </w:r>
    </w:p>
    <w:p>
      <w:pPr>
        <w:pStyle w:val="ListBullet"/>
      </w:pPr>
      <w:r>
        <w:t>Documento de identidad</w:t>
      </w:r>
    </w:p>
    <w:p>
      <w:pPr>
        <w:pStyle w:val="ListBullet"/>
      </w:pPr>
      <w:r>
        <w:t>Registro previo en línea o en sede</w:t>
      </w:r>
    </w:p>
    <w:p>
      <w:pPr>
        <w:pStyle w:val="Heading1"/>
      </w:pPr>
      <w:r>
        <w:t>Cobertura</w:t>
      </w:r>
    </w:p>
    <w:p>
      <w:r>
        <w:t>La cobertura se amplió en 2026 a 48 municipios. La tabla resume los puntos de atención por región.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Región</w:t>
            </w:r>
          </w:p>
        </w:tc>
        <w:tc>
          <w:tcPr>
            <w:tcW w:type="dxa" w:w="2880"/>
          </w:tcPr>
          <w:p>
            <w:r>
              <w:t>Municipios</w:t>
            </w:r>
          </w:p>
        </w:tc>
        <w:tc>
          <w:tcPr>
            <w:tcW w:type="dxa" w:w="2880"/>
          </w:tcPr>
          <w:p>
            <w:r>
              <w:t>Puntos de atención</w:t>
            </w:r>
          </w:p>
        </w:tc>
      </w:tr>
      <w:tr>
        <w:tc>
          <w:tcPr>
            <w:tcW w:type="dxa" w:w="2880"/>
          </w:tcPr>
          <w:p>
            <w:r>
              <w:t>Norte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Sur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IntenseQuote"/>
      </w:pPr>
      <w:r>
        <w:t>El objetivo para 2027 es llegar a 60 municipios, priorizando las zonas rurales con menor acceso a servicios.</w:t>
      </w:r>
    </w:p>
    <w:p>
      <w:pPr>
        <w:pStyle w:val="Heading1"/>
      </w:pPr>
      <w:r>
        <w:t>Contacto</w:t>
      </w:r>
    </w:p>
    <w:p>
      <w:r>
        <w:t>Escríbenos o llámanos de lunes a sábado. También puedes acercarte a cualquiera de nuestras sedes regionales.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