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Figures</w:t>
      </w:r>
    </w:p>
    <w:p>
      <w:pPr>
        <w:spacing w:line="240" w:lineRule="auto" w:after="200"/>
        <w:jc w:val="center"/>
      </w:pPr>
      <w:r>
        <w:rPr>
          <w:b w:val="0"/>
          <w:i/>
        </w:rPr>
        <w:t>Birth Weight, Parental Investment, and Child Development in Rural China (anonymous)</w:t>
      </w:r>
    </w:p>
    <w:p>
      <w:pPr>
        <w:spacing w:line="240" w:lineRule="auto" w:after="0"/>
      </w:pPr>
      <w:r>
        <w:rPr>
          <w:b w:val="0"/>
          <w:i w:val="0"/>
        </w:rPr>
      </w:r>
    </w:p>
    <w:p>
      <w:r>
        <w:rPr>
          <w:b/>
          <w:sz w:val="28"/>
        </w:rPr>
        <w:t>Contents</w:t>
      </w:r>
    </w:p>
    <w:p>
      <w:pPr>
        <w:pStyle w:val="TOC1"/>
        <w:tabs>
          <w:tab w:pos="9360" w:val="right" w:leader="dot"/>
        </w:tabs>
      </w:pPr>
      <w:r>
        <w:fldChar w:fldCharType="begin"/>
        <w:instrText xml:space="preserve"> TOC \o "1-3" \h \z \u </w:instrText>
        <w:fldChar w:fldCharType="separate"/>
      </w:r>
      <w:hyperlink w:anchor="_Toc900001" w:history="1">
        <w:r>
          <w:t xml:space="preserve">Figure 1. Distribution of maternal-reported birth weight and county variation in low birth weight</w:t>
        </w:r>
        <w:r>
          <w:tab/>
        </w:r>
        <w:r>
          <w:t>2</w:t>
        </w:r>
      </w:hyperlink>
    </w:p>
    <w:p>
      <w:pPr>
        <w:pStyle w:val="TOC1"/>
        <w:tabs>
          <w:tab w:pos="9360" w:val="right" w:leader="dot"/>
        </w:tabs>
      </w:pPr>
      <w:hyperlink w:anchor="_Toc900002" w:history="1">
        <w:r>
          <w:t xml:space="preserve">Figure 2. Birth endowments and child development</w:t>
        </w:r>
        <w:r>
          <w:tab/>
        </w:r>
        <w:r>
          <w:t>3</w:t>
        </w:r>
      </w:hyperlink>
    </w:p>
    <w:p>
      <w:pPr>
        <w:pStyle w:val="TOC1"/>
        <w:tabs>
          <w:tab w:pos="9360" w:val="right" w:leader="dot"/>
        </w:tabs>
      </w:pPr>
      <w:hyperlink w:anchor="_Toc900003" w:history="1">
        <w:r>
          <w:t xml:space="preserve">Figure 3. Partial residual plots of the birth weight gradient</w:t>
        </w:r>
        <w:r>
          <w:tab/>
        </w:r>
        <w:r>
          <w:t>4</w:t>
        </w:r>
      </w:hyperlink>
    </w:p>
    <w:p>
      <w:pPr>
        <w:pStyle w:val="TOC1"/>
        <w:tabs>
          <w:tab w:pos="9360" w:val="right" w:leader="dot"/>
        </w:tabs>
      </w:pPr>
      <w:hyperlink w:anchor="_Toc900004" w:history="1">
        <w:r>
          <w:t xml:space="preserve">Figure 4. Birth endowments and parental investment in learning</w:t>
        </w:r>
        <w:r>
          <w:tab/>
        </w:r>
        <w:r>
          <w:t>5</w:t>
        </w:r>
      </w:hyperlink>
    </w:p>
    <w:p>
      <w:pPr>
        <w:pStyle w:val="TOC1"/>
        <w:tabs>
          <w:tab w:pos="9360" w:val="right" w:leader="dot"/>
        </w:tabs>
      </w:pPr>
      <w:hyperlink w:anchor="_Toc900005" w:history="1">
        <w:r>
          <w:t xml:space="preserve">Figure 5. Birth weight gradients by old-age support expectations and other moderators</w:t>
        </w:r>
        <w:r>
          <w:tab/>
        </w:r>
        <w:r>
          <w:t>6</w:t>
        </w:r>
      </w:hyperlink>
    </w:p>
    <w:p>
      <w:pPr>
        <w:pStyle w:val="TOC1"/>
        <w:tabs>
          <w:tab w:pos="9360" w:val="right" w:leader="dot"/>
        </w:tabs>
      </w:pPr>
      <w:hyperlink w:anchor="_Toc900006" w:history="1">
        <w:r>
          <w:t xml:space="preserve">Figure 6. Robustness of the birth weight coefficient across specifications</w:t>
        </w:r>
        <w:r>
          <w:tab/>
        </w:r>
        <w:r>
          <w:t>7</w:t>
        </w:r>
      </w:hyperlink>
      <w:r>
        <w:fldChar w:fldCharType="end"/>
      </w:r>
    </w:p>
    <w:p>
      <w:r>
        <w:br w:type="page"/>
      </w:r>
    </w:p>
    <w:p>
      <w:pPr>
        <w:spacing w:line="240" w:lineRule="auto" w:after="0"/>
      </w:pPr>
      <w:r>
        <w:rPr>
          <w:b w:val="0"/>
          <w:i w:val="0"/>
        </w:rPr>
        <w:t>Figures follow the order of citation in the manuscript. Vector versions (SVG, PDF) and 600 dpi PNG files are in the figures folder.</w:t>
      </w:r>
    </w:p>
    <w:p>
      <w:pPr>
        <w:pStyle w:val="Heading1"/>
      </w:pPr>
      <w:bookmarkStart w:id="1" w:name="_Toc900001"/>
      <w:r>
        <w:t>Figure 1. Distribution of maternal-reported birth weight and county variation in low birth weight</w:t>
      </w:r>
      <w:bookmarkEnd w:id="1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8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birth_weigh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</w:pPr>
      <w:r>
        <w:rPr>
          <w:b w:val="0"/>
          <w:i w:val="0"/>
          <w:sz w:val="18"/>
        </w:rPr>
        <w:t>Notes. Panel A: histogram of the maternal estimate of birth weight (converted from jin); the dashed line marks 2.5 kg and heaping at 3.0 kg is visible. Panel B: share of children with an estimated weight below 2.5 kg by county (points) with 95% Wilson confidence intervals; the dashed line is the sample share. County codes are the GSCF numeric codes.</w:t>
      </w:r>
    </w:p>
    <w:p>
      <w:r>
        <w:br w:type="page"/>
      </w:r>
    </w:p>
    <w:p>
      <w:pPr>
        <w:pStyle w:val="Heading1"/>
      </w:pPr>
      <w:bookmarkStart w:id="2" w:name="_Toc900002"/>
      <w:r>
        <w:t>Figure 2. Birth endowments and child development</w:t>
      </w:r>
      <w:bookmarkEnd w:id="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11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main_estim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</w:pPr>
      <w:r>
        <w:rPr>
          <w:b w:val="0"/>
          <w:i w:val="0"/>
          <w:sz w:val="18"/>
        </w:rPr>
        <w:t>Notes. Coefficients and 95% confidence intervals from separate OLS regressions of standardized outcomes on birth weight per 1 kg (Panel A) and on an indicator for estimated weight below 2.5 kg (Panel B), with county fixed effects and baseline controls; standard errors clustered at the village level.</w:t>
      </w:r>
    </w:p>
    <w:p>
      <w:r>
        <w:br w:type="page"/>
      </w:r>
    </w:p>
    <w:p>
      <w:pPr>
        <w:pStyle w:val="Heading1"/>
      </w:pPr>
      <w:bookmarkStart w:id="3" w:name="_Toc900003"/>
      <w:r>
        <w:t>Figure 3. Partial residual plots of the birth weight gradient</w:t>
      </w:r>
      <w:bookmarkEnd w:id="3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73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binned_residual_pl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</w:pPr>
      <w:r>
        <w:rPr>
          <w:b w:val="0"/>
          <w:i w:val="0"/>
          <w:sz w:val="18"/>
        </w:rPr>
        <w:t>Notes. Residuals of the outcome and of birth weight after partialling out the baseline controls and county fixed effects. Points are means within twelve equal-sized bins of residual birth weight with 95% confidence intervals; the line and band are the linear fit with village-clustered 95% confidence interval.</w:t>
      </w:r>
    </w:p>
    <w:p>
      <w:r>
        <w:br w:type="page"/>
      </w:r>
    </w:p>
    <w:p>
      <w:pPr>
        <w:pStyle w:val="Heading1"/>
      </w:pPr>
      <w:bookmarkStart w:id="4" w:name="_Toc900004"/>
      <w:r>
        <w:t>Figure 4. Birth endowments and parental investment in learning</w:t>
      </w:r>
      <w:bookmarkEnd w:id="4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43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parental_invest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</w:pPr>
      <w:r>
        <w:rPr>
          <w:b w:val="0"/>
          <w:i w:val="0"/>
          <w:sz w:val="18"/>
        </w:rPr>
        <w:t>Notes. Coefficients and 95% confidence intervals from separate OLS regressions with county fixed effects and baseline controls. Investment index and books owned are standardized; aspiration and expectation items are on their original scales.</w:t>
      </w:r>
    </w:p>
    <w:p>
      <w:r>
        <w:br w:type="page"/>
      </w:r>
    </w:p>
    <w:p>
      <w:pPr>
        <w:pStyle w:val="Heading1"/>
      </w:pPr>
      <w:bookmarkStart w:id="5" w:name="_Toc900005"/>
      <w:r>
        <w:t>Figure 5. Birth weight gradients by old-age support expectations and other moderators</w:t>
      </w:r>
      <w:bookmarkEnd w:id="5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1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heterogene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</w:pPr>
      <w:r>
        <w:rPr>
          <w:b w:val="0"/>
          <w:i w:val="0"/>
          <w:sz w:val="18"/>
        </w:rPr>
        <w:t>Notes. Birth weight slopes (per 1 kg) with 95% confidence intervals estimated separately for children in households with the moderator equal to 0 (grey circles) and 1 (blue squares). Interaction tests are in Table 4 and are exploratory.</w:t>
      </w:r>
    </w:p>
    <w:p>
      <w:r>
        <w:br w:type="page"/>
      </w:r>
    </w:p>
    <w:p>
      <w:pPr>
        <w:pStyle w:val="Heading1"/>
      </w:pPr>
      <w:bookmarkStart w:id="6" w:name="_Toc900006"/>
      <w:r>
        <w:t>Figure 6. Robustness of the birth weight coefficient across specifications</w:t>
      </w:r>
      <w:bookmarkEnd w:id="6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892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robust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</w:pPr>
      <w:r>
        <w:rPr>
          <w:b w:val="0"/>
          <w:i w:val="0"/>
          <w:sz w:val="18"/>
        </w:rPr>
        <w:t>Notes. Coefficients and 95% confidence intervals for birth weight per 1 kg under the specifications listed in Table 5. The dotted line marks the baseline estimate.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cs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 w:cs="Times New Roman" w:eastAsia="Times New Roman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after="0" w:line="240" w:lineRule="auto"/>
      <w:ind w:left="0"/>
    </w:pPr>
    <w:rPr>
      <w:rFonts w:ascii="Times New Roman" w:hAnsi="Times New Roman" w:cs="Times New Roman" w:eastAsia="Times New Roman"/>
      <w:b/>
      <w:color w:val="000000"/>
      <w:sz w:val="20"/>
    </w:rPr>
  </w:style>
  <w:style w:type="paragraph" w:customStyle="1" w:styleId="TOC2">
    <w:name w:val="TOC 2"/>
    <w:basedOn w:val="Normal"/>
    <w:pPr>
      <w:spacing w:after="0" w:line="240" w:lineRule="auto"/>
      <w:ind w:left="360"/>
    </w:pPr>
    <w:rPr>
      <w:rFonts w:ascii="Times New Roman" w:hAnsi="Times New Roman" w:cs="Times New Roman" w:eastAsia="Times New Roman"/>
      <w:b w:val="0"/>
      <w:color w:val="000000"/>
      <w:sz w:val="20"/>
    </w:rPr>
  </w:style>
  <w:style w:type="paragraph" w:customStyle="1" w:styleId="TOC3">
    <w:name w:val="TOC 3"/>
    <w:basedOn w:val="Normal"/>
    <w:pPr>
      <w:spacing w:after="0" w:line="240" w:lineRule="auto"/>
      <w:ind w:left="720"/>
    </w:pPr>
    <w:rPr>
      <w:rFonts w:ascii="Times New Roman" w:hAnsi="Times New Roman" w:cs="Times New Roman" w:eastAsia="Times New Roman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