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Title Page</w:t>
      </w:r>
    </w:p>
    <w:p>
      <w:pPr>
        <w:pStyle w:val="Heading1"/>
      </w:pPr>
      <w:r>
        <w:t>Title</w:t>
      </w:r>
    </w:p>
    <w:p>
      <w:pPr>
        <w:spacing w:line="276" w:lineRule="auto" w:after="120"/>
      </w:pPr>
      <w:r>
        <w:rPr>
          <w:b w:val="0"/>
          <w:i w:val="0"/>
        </w:rPr>
        <w:t>Birth Weight, Parental Investment, and Child Development in Rural China: Evidence from the Gansu Survey of Children and Families</w:t>
      </w:r>
    </w:p>
    <w:p>
      <w:pPr>
        <w:pStyle w:val="Heading1"/>
      </w:pPr>
      <w:r>
        <w:t>Authors and affiliations</w:t>
      </w:r>
    </w:p>
    <w:p>
      <w:pPr>
        <w:spacing w:line="276" w:lineRule="auto" w:after="0"/>
      </w:pPr>
      <w:r>
        <w:rPr>
          <w:b w:val="0"/>
          <w:i w:val="0"/>
        </w:rPr>
        <w:t>Qixin Cai</w:t>
      </w:r>
    </w:p>
    <w:p>
      <w:pPr>
        <w:spacing w:line="276" w:lineRule="auto" w:after="0"/>
      </w:pPr>
      <w:r>
        <w:rPr>
          <w:b w:val="0"/>
          <w:i w:val="0"/>
        </w:rPr>
        <w:t>Population Aging Research Center, University of Pennsylvania, Philadelphia, PA, USA</w:t>
      </w:r>
    </w:p>
    <w:p>
      <w:pPr>
        <w:spacing w:line="276" w:lineRule="auto" w:after="120"/>
      </w:pPr>
      <w:r>
        <w:rPr>
          <w:b w:val="0"/>
          <w:i w:val="0"/>
          <w:highlight w:val="yellow"/>
        </w:rPr>
        <w:t>[Add co-authors, their affiliations, and ORCID iDs, or confirm single authorship]</w:t>
      </w:r>
    </w:p>
    <w:p>
      <w:pPr>
        <w:pStyle w:val="Heading1"/>
      </w:pPr>
      <w:r>
        <w:t>Corresponding author</w:t>
      </w:r>
    </w:p>
    <w:p>
      <w:pPr>
        <w:spacing w:line="276" w:lineRule="auto" w:after="120"/>
      </w:pPr>
      <w:r>
        <w:rPr>
          <w:b w:val="0"/>
          <w:i w:val="0"/>
        </w:rPr>
        <w:t>Qixin Cai, Population Aging Research Center, University of Pennsylvania. E-mail: caiqixin1995@gmail.com [replace with institutional e-mail if preferred]. [Add postal address and telephone.]</w:t>
      </w:r>
    </w:p>
    <w:p>
      <w:pPr>
        <w:pStyle w:val="Heading1"/>
      </w:pPr>
      <w:r>
        <w:t>Running title</w:t>
      </w:r>
    </w:p>
    <w:p>
      <w:pPr>
        <w:spacing w:line="276" w:lineRule="auto" w:after="0"/>
      </w:pPr>
      <w:r>
        <w:rPr>
          <w:b w:val="0"/>
          <w:i w:val="0"/>
        </w:rPr>
        <w:t>Birth weight and child development in rural China</w:t>
      </w:r>
    </w:p>
    <w:p>
      <w:pPr>
        <w:pStyle w:val="Heading1"/>
      </w:pPr>
      <w:r>
        <w:t>Manuscript details</w:t>
      </w:r>
    </w:p>
    <w:p>
      <w:pPr>
        <w:spacing w:line="276" w:lineRule="auto" w:after="0"/>
      </w:pPr>
      <w:r>
        <w:rPr>
          <w:b w:val="0"/>
          <w:i w:val="0"/>
        </w:rPr>
        <w:t>Abstract: 192 words. Main text (Introduction to Conclusion): approximately 4,351 words. Tables: 6. Figures: 6. Supplementary Appendix: 8 tables and 3 figures.</w:t>
      </w:r>
    </w:p>
    <w:p>
      <w:pPr>
        <w:pStyle w:val="Heading1"/>
      </w:pPr>
      <w:r>
        <w:t>Keywords</w:t>
      </w:r>
    </w:p>
    <w:p>
      <w:pPr>
        <w:spacing w:line="276" w:lineRule="auto" w:after="0"/>
      </w:pPr>
      <w:r>
        <w:rPr>
          <w:b w:val="0"/>
          <w:i w:val="0"/>
        </w:rPr>
        <w:t>Birth weight; Child development; Parental investment; Old-age support; Rural China; Developmental origins</w:t>
      </w:r>
    </w:p>
    <w:p>
      <w:pPr>
        <w:pStyle w:val="Heading1"/>
      </w:pPr>
      <w:r>
        <w:t>Declarations</w:t>
      </w:r>
    </w:p>
    <w:p>
      <w:pPr>
        <w:pStyle w:val="Heading2"/>
      </w:pPr>
      <w:r>
        <w:t>Funding</w:t>
      </w:r>
    </w:p>
    <w:p>
      <w:pPr>
        <w:spacing w:line="276" w:lineRule="auto" w:after="0"/>
      </w:pPr>
      <w:r>
        <w:rPr>
          <w:b w:val="0"/>
          <w:i w:val="0"/>
          <w:highlight w:val="yellow"/>
        </w:rPr>
        <w:t>[Author to complete]</w:t>
      </w:r>
    </w:p>
    <w:p>
      <w:pPr>
        <w:pStyle w:val="Heading2"/>
      </w:pPr>
      <w:r>
        <w:t>Declaration of competing interests</w:t>
      </w:r>
    </w:p>
    <w:p>
      <w:pPr>
        <w:spacing w:line="276" w:lineRule="auto" w:after="0"/>
      </w:pPr>
      <w:r>
        <w:rPr>
          <w:b w:val="0"/>
          <w:i w:val="0"/>
          <w:highlight w:val="yellow"/>
        </w:rPr>
        <w:t>[Author to confirm]</w:t>
      </w:r>
    </w:p>
    <w:p>
      <w:pPr>
        <w:pStyle w:val="Heading2"/>
      </w:pPr>
      <w:r>
        <w:t>Ethics</w:t>
      </w:r>
    </w:p>
    <w:p>
      <w:pPr>
        <w:spacing w:line="276" w:lineRule="auto" w:after="0"/>
      </w:pPr>
      <w:r>
        <w:rPr>
          <w:b w:val="0"/>
          <w:i w:val="0"/>
          <w:highlight w:val="yellow"/>
        </w:rPr>
        <w:t>This study analyzes de-identified data from the Gansu Survey of Children and Families. [Author to confirm approval and data-use terms for the survey release.]</w:t>
      </w:r>
    </w:p>
    <w:p>
      <w:pPr>
        <w:pStyle w:val="Heading2"/>
      </w:pPr>
      <w:r>
        <w:t>Data availability</w:t>
      </w:r>
    </w:p>
    <w:p>
      <w:pPr>
        <w:spacing w:line="276" w:lineRule="auto" w:after="0"/>
      </w:pPr>
      <w:r>
        <w:rPr>
          <w:b w:val="0"/>
          <w:i w:val="0"/>
        </w:rPr>
        <w:t>The GSCF data are available through the survey's data release. Analysis code will be deposited upon acceptance.</w:t>
      </w:r>
    </w:p>
    <w:p>
      <w:pPr>
        <w:pStyle w:val="Heading2"/>
      </w:pPr>
      <w:r>
        <w:t>Declaration of generative AI use</w:t>
      </w:r>
    </w:p>
    <w:p>
      <w:pPr>
        <w:spacing w:line="276" w:lineRule="auto" w:after="0"/>
      </w:pPr>
      <w:r>
        <w:rPr>
          <w:b w:val="0"/>
          <w:i w:val="0"/>
          <w:highlight w:val="yellow"/>
        </w:rPr>
        <w:t>During the preparation of this work the author used an AI assistant (Claude, Anthropic) to draft analysis code and manuscript text. The author reviewed and edited the content and takes full responsibility for it. [Author to confirm wording against the target journal's AI policy.]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cs="Times New Roman" w:eastAsia="Times New Roman"/>
      <w:b w:val="0"/>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jc w:val="center"/>
    </w:pPr>
    <w:rPr>
      <w:rFonts w:ascii="Times New Roman" w:hAnsi="Times New Roman" w:cs="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after="0" w:line="240" w:lineRule="auto"/>
      <w:ind w:left="0"/>
    </w:pPr>
    <w:rPr>
      <w:rFonts w:ascii="Times New Roman" w:hAnsi="Times New Roman" w:cs="Times New Roman" w:eastAsia="Times New Roman"/>
      <w:b/>
      <w:color w:val="000000"/>
      <w:sz w:val="20"/>
    </w:rPr>
  </w:style>
  <w:style w:type="paragraph" w:customStyle="1" w:styleId="TOC2">
    <w:name w:val="TOC 2"/>
    <w:basedOn w:val="Normal"/>
    <w:pPr>
      <w:spacing w:after="0" w:line="240" w:lineRule="auto"/>
      <w:ind w:left="360"/>
    </w:pPr>
    <w:rPr>
      <w:rFonts w:ascii="Times New Roman" w:hAnsi="Times New Roman" w:cs="Times New Roman" w:eastAsia="Times New Roman"/>
      <w:b w:val="0"/>
      <w:color w:val="000000"/>
      <w:sz w:val="20"/>
    </w:rPr>
  </w:style>
  <w:style w:type="paragraph" w:customStyle="1" w:styleId="TOC3">
    <w:name w:val="TOC 3"/>
    <w:basedOn w:val="Normal"/>
    <w:pPr>
      <w:spacing w:after="0" w:line="240" w:lineRule="auto"/>
      <w:ind w:left="720"/>
    </w:pPr>
    <w:rPr>
      <w:rFonts w:ascii="Times New Roman" w:hAnsi="Times New Roman" w:cs="Times New Roman" w:eastAsia="Times New Roman"/>
      <w:b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