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pPr>
        <w:spacing w:line="276" w:lineRule="auto" w:after="160"/>
      </w:pPr>
      <w:r>
        <w:rPr>
          <w:b w:val="0"/>
          <w:i w:val="0"/>
        </w:rPr>
        <w:t>October 11, 2026</w:t>
      </w:r>
    </w:p>
    <w:p>
      <w:pPr>
        <w:spacing w:line="276" w:lineRule="auto" w:after="160"/>
      </w:pPr>
      <w:r>
        <w:rPr>
          <w:b w:val="0"/>
          <w:i w:val="0"/>
        </w:rPr>
        <w:t>The Editors</w:t>
        <w:br/>
        <w:t>Social Science &amp; Medicine</w:t>
      </w:r>
    </w:p>
    <w:p>
      <w:pPr>
        <w:pStyle w:val="Heading1"/>
      </w:pPr>
      <w:r>
        <w:t>Re: Submission of an original research article</w:t>
      </w:r>
    </w:p>
    <w:p>
      <w:pPr>
        <w:spacing w:line="276" w:lineRule="auto" w:after="160"/>
      </w:pPr>
      <w:r>
        <w:rPr>
          <w:b w:val="0"/>
          <w:i w:val="0"/>
        </w:rPr>
        <w:t>Dear Editors,</w:t>
      </w:r>
    </w:p>
    <w:p>
      <w:pPr>
        <w:spacing w:line="276" w:lineRule="auto" w:after="160"/>
      </w:pPr>
      <w:r>
        <w:rPr>
          <w:b w:val="0"/>
          <w:i w:val="0"/>
        </w:rPr>
        <w:t>Please consider the enclosed manuscript, "Birth Weight, Parental Investment, and Child Development in Rural China: Evidence from the Gansu Survey of Children and Families", for publication in Social Science &amp; Medicine as an original research article.</w:t>
      </w:r>
    </w:p>
    <w:p>
      <w:pPr>
        <w:spacing w:line="276" w:lineRule="auto" w:after="160"/>
      </w:pPr>
      <w:r>
        <w:rPr>
          <w:b w:val="0"/>
          <w:i w:val="0"/>
        </w:rPr>
        <w:t>The paper asks whether weak birth endowments leave lasting marks on child development in a poor rural population, and whether parents compensate or reinforce. It uses the Gansu Survey of Children and Families, which followed 2,000 rural children from ages 9 to 12 in 2000 through 2009 with standardized tests and a health examination. Maternal reports of birth weight predict adolescent height by 0.17 standard deviations per kilogram, a gradient that holds under wild cluster bootstrap inference, attrition weights, and coefficient stability bounds. Gradients for cognitive and academic scores have the same sign but are smaller and imprecise. Parents invest more in children with stronger endowments, and exploratory interactions link steeper gradients to expectations of old-age support from children.</w:t>
      </w:r>
    </w:p>
    <w:p>
      <w:pPr>
        <w:spacing w:line="276" w:lineRule="auto" w:after="160"/>
      </w:pPr>
      <w:r>
        <w:rPr>
          <w:b w:val="0"/>
          <w:i w:val="0"/>
        </w:rPr>
        <w:t>We believe the paper fits the journal for three reasons. It examines the social patterning of early-life health and its consequences in a low-income setting, it connects the developmental origins literature to the demography of old-age support, and it reports its limits openly, with negative control outcomes, corrections for multiple testing, and a clear separation of confirmatory from exploratory results.</w:t>
      </w:r>
    </w:p>
    <w:p>
      <w:pPr>
        <w:spacing w:line="276" w:lineRule="auto" w:after="160"/>
      </w:pPr>
      <w:r>
        <w:rPr>
          <w:b w:val="0"/>
          <w:i w:val="0"/>
          <w:highlight w:val="yellow"/>
        </w:rPr>
        <w:t>The manuscript has not been published and is not under consideration elsewhere. [Author to confirm.] All authors have approved the submission. [Author to confirm.] The analysis uses de-identified survey data, and the replication code will be shared upon acceptance. Generative AI assistance in drafting is disclosed on the title page.</w:t>
      </w:r>
    </w:p>
    <w:p>
      <w:pPr>
        <w:spacing w:line="276" w:lineRule="auto" w:after="160"/>
      </w:pPr>
      <w:r>
        <w:rPr>
          <w:b w:val="0"/>
          <w:i w:val="0"/>
          <w:highlight w:val="yellow"/>
        </w:rPr>
        <w:t>Suggested reviewers: [Author to supply, with institutional e-mail addresses and no conflicts of interest.]</w:t>
      </w:r>
    </w:p>
    <w:p>
      <w:pPr>
        <w:spacing w:line="276" w:lineRule="auto" w:after="160"/>
      </w:pPr>
      <w:r>
        <w:rPr>
          <w:b w:val="0"/>
          <w:i w:val="0"/>
        </w:rPr>
        <w:t>Thank you for your consideration.</w:t>
      </w:r>
    </w:p>
    <w:p>
      <w:pPr>
        <w:spacing w:line="276" w:lineRule="auto" w:after="160"/>
      </w:pPr>
      <w:r>
        <w:rPr>
          <w:b w:val="0"/>
          <w:i w:val="0"/>
        </w:rPr>
        <w:t>Sincerely,</w:t>
      </w:r>
    </w:p>
    <w:p>
      <w:pPr>
        <w:spacing w:line="276" w:lineRule="auto" w:after="160"/>
      </w:pPr>
      <w:r>
        <w:rPr>
          <w:b w:val="0"/>
          <w:i w:val="0"/>
        </w:rPr>
        <w:t>Qixin Cai</w:t>
        <w:br/>
        <w:t>Population Aging Research Center, University of Pennsylvania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cs="Times New Roman" w:eastAsia="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0" w:line="240" w:lineRule="auto"/>
      <w:ind w:left="0"/>
    </w:pPr>
    <w:rPr>
      <w:rFonts w:ascii="Times New Roman" w:hAnsi="Times New Roman" w:cs="Times New Roman" w:eastAsia="Times New Roman"/>
      <w:b/>
      <w:color w:val="000000"/>
      <w:sz w:val="20"/>
    </w:rPr>
  </w:style>
  <w:style w:type="paragraph" w:customStyle="1" w:styleId="TOC2">
    <w:name w:val="TOC 2"/>
    <w:basedOn w:val="Normal"/>
    <w:pPr>
      <w:spacing w:after="0" w:line="240" w:lineRule="auto"/>
      <w:ind w:left="360"/>
    </w:pPr>
    <w:rPr>
      <w:rFonts w:ascii="Times New Roman" w:hAnsi="Times New Roman" w:cs="Times New Roman" w:eastAsia="Times New Roman"/>
      <w:b w:val="0"/>
      <w:color w:val="000000"/>
      <w:sz w:val="20"/>
    </w:rPr>
  </w:style>
  <w:style w:type="paragraph" w:customStyle="1" w:styleId="TOC3">
    <w:name w:val="TOC 3"/>
    <w:basedOn w:val="Normal"/>
    <w:pPr>
      <w:spacing w:after="0" w:line="240" w:lineRule="auto"/>
      <w:ind w:left="720"/>
    </w:pPr>
    <w:rPr>
      <w:rFonts w:ascii="Times New Roman" w:hAnsi="Times New Roman" w:cs="Times New Roman" w:eastAsia="Times New Roman"/>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