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Highlights</w:t>
      </w:r>
    </w:p>
    <w:p>
      <w:pPr>
        <w:pStyle w:val="Heading1"/>
      </w:pPr>
      <w:r>
        <w:t>Highlights (maximum 85 characters each, including spaces)</w:t>
      </w:r>
    </w:p>
    <w:p>
      <w:pPr>
        <w:pStyle w:val="ListBullet"/>
        <w:spacing w:line="360" w:lineRule="auto"/>
      </w:pPr>
      <w:r>
        <w:t>Reported birth weight predicts adolescent height in rural Gansu children</w:t>
      </w:r>
    </w:p>
    <w:p>
      <w:pPr>
        <w:pStyle w:val="ListBullet"/>
        <w:spacing w:line="360" w:lineRule="auto"/>
      </w:pPr>
      <w:r>
        <w:t>Birth weight gradients in cognitive and academic scores are small and imprecise</w:t>
      </w:r>
    </w:p>
    <w:p>
      <w:pPr>
        <w:pStyle w:val="ListBullet"/>
        <w:spacing w:line="360" w:lineRule="auto"/>
      </w:pPr>
      <w:r>
        <w:t>Parents reinforce rather than compensate for weaker birth endowments</w:t>
      </w:r>
    </w:p>
    <w:p>
      <w:pPr>
        <w:pStyle w:val="ListBullet"/>
        <w:spacing w:line="360" w:lineRule="auto"/>
      </w:pPr>
      <w:r>
        <w:t>Old-age support expectations may steepen birth endowment gradients (exploratory)</w:t>
      </w:r>
    </w:p>
    <w:p>
      <w:pPr>
        <w:pStyle w:val="Heading2"/>
      </w:pPr>
      <w:r>
        <w:t>Character counts</w:t>
      </w:r>
    </w:p>
    <w:p>
      <w:pPr>
        <w:spacing w:line="276" w:lineRule="auto" w:after="0"/>
      </w:pPr>
      <w:r>
        <w:rPr>
          <w:b w:val="0"/>
          <w:i w:val="0"/>
          <w:sz w:val="20"/>
        </w:rPr>
        <w:t>72 characters: Reported birth weight predicts adolescent height in rural Gansu children</w:t>
      </w:r>
    </w:p>
    <w:p>
      <w:pPr>
        <w:spacing w:line="276" w:lineRule="auto" w:after="0"/>
      </w:pPr>
      <w:r>
        <w:rPr>
          <w:b w:val="0"/>
          <w:i w:val="0"/>
          <w:sz w:val="20"/>
        </w:rPr>
        <w:t>79 characters: Birth weight gradients in cognitive and academic scores are small and imprecise</w:t>
      </w:r>
    </w:p>
    <w:p>
      <w:pPr>
        <w:spacing w:line="276" w:lineRule="auto" w:after="0"/>
      </w:pPr>
      <w:r>
        <w:rPr>
          <w:b w:val="0"/>
          <w:i w:val="0"/>
          <w:sz w:val="20"/>
        </w:rPr>
        <w:t>68 characters: Parents reinforce rather than compensate for weaker birth endowments</w:t>
      </w:r>
    </w:p>
    <w:p>
      <w:pPr>
        <w:spacing w:line="276" w:lineRule="auto" w:after="0"/>
      </w:pPr>
      <w:r>
        <w:rPr>
          <w:b w:val="0"/>
          <w:i w:val="0"/>
          <w:sz w:val="20"/>
        </w:rPr>
        <w:t>80 characters: Old-age support expectations may steepen birth endowment gradients (exploratory)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 w:cs="Times New Roman" w:eastAsia="Times New Roman"/>
      <w:b w:val="0"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cs="Times New Roman" w:eastAsia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after="0" w:line="240" w:lineRule="auto"/>
      <w:ind w:left="0"/>
    </w:pPr>
    <w:rPr>
      <w:rFonts w:ascii="Times New Roman" w:hAnsi="Times New Roman" w:cs="Times New Roman" w:eastAsia="Times New Roman"/>
      <w:b/>
      <w:color w:val="000000"/>
      <w:sz w:val="20"/>
    </w:rPr>
  </w:style>
  <w:style w:type="paragraph" w:customStyle="1" w:styleId="TOC2">
    <w:name w:val="TOC 2"/>
    <w:basedOn w:val="Normal"/>
    <w:pPr>
      <w:spacing w:after="0" w:line="240" w:lineRule="auto"/>
      <w:ind w:left="360"/>
    </w:pPr>
    <w:rPr>
      <w:rFonts w:ascii="Times New Roman" w:hAnsi="Times New Roman" w:cs="Times New Roman" w:eastAsia="Times New Roman"/>
      <w:b w:val="0"/>
      <w:color w:val="000000"/>
      <w:sz w:val="20"/>
    </w:rPr>
  </w:style>
  <w:style w:type="paragraph" w:customStyle="1" w:styleId="TOC3">
    <w:name w:val="TOC 3"/>
    <w:basedOn w:val="Normal"/>
    <w:pPr>
      <w:spacing w:after="0" w:line="240" w:lineRule="auto"/>
      <w:ind w:left="720"/>
    </w:pPr>
    <w:rPr>
      <w:rFonts w:ascii="Times New Roman" w:hAnsi="Times New Roman" w:cs="Times New Roman" w:eastAsia="Times New Roman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