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w:t>
          </w:r>
        </w:p>
        <w:p>
          <w:r>
            <w:fldChar w:fldCharType="begin" w:dirty="true"/>
            <w:instrText xml:space="preserve">TOC \o "1-3" \h \z \u</w:instrText>
            <w:fldChar w:fldCharType="separate"/>
            <w:fldChar w:fldCharType="end"/>
          </w:r>
        </w:p>
      </w:sdtContent>
    </w:sdt>
    <w:bookmarkStart w:id="95" w:name="气候风险环境污染与儿童福祉中国及跨国比较研究"/>
    <w:p>
      <w:pPr>
        <w:pStyle w:val="Heading1"/>
      </w:pPr>
      <w:r>
        <w:t xml:space="preserve">气候风险、环境污染与儿童福祉：中国及跨国比较研究</w:t>
      </w:r>
    </w:p>
    <w:bookmarkStart w:id="20" w:name="机构内部项目计划书"/>
    <w:p>
      <w:pPr>
        <w:pStyle w:val="Heading2"/>
      </w:pPr>
      <w:r>
        <w:t xml:space="preserve">机构内部项目计划书</w:t>
      </w:r>
    </w:p>
    <w:p>
      <w:pPr>
        <w:pStyle w:val="FirstParagraph"/>
      </w:pPr>
      <w:r>
        <w:rPr>
          <w:bCs/>
          <w:b/>
        </w:rPr>
        <w:t xml:space="preserve">2.0 版（扩充并完成文献真实性审计）</w:t>
      </w:r>
      <w:r>
        <w:t xml:space="preserve">｜2026 年 8 月 24 日</w:t>
      </w:r>
    </w:p>
    <w:p>
      <w:r>
        <w:pict>
          <v:rect style="width:0;height:1.5pt" o:hralign="center" o:hrstd="t" o:hr="t"/>
        </w:pict>
      </w:r>
    </w:p>
    <w:bookmarkEnd w:id="20"/>
    <w:bookmarkStart w:id="21" w:name="阅读说明"/>
    <w:p>
      <w:pPr>
        <w:pStyle w:val="Heading2"/>
      </w:pPr>
      <w:r>
        <w:t xml:space="preserve">0. 阅读说明</w:t>
      </w:r>
    </w:p>
    <w:p>
      <w:pPr>
        <w:pStyle w:val="FirstParagraph"/>
      </w:pPr>
      <w:r>
        <w:t xml:space="preserve">本文是机构内部项目计划书，不是论文，也不是对外基金申请书。它按可被质疑、可被反驳的标准写作。凡涉及外部世界的实质性论断，均附经独立核验的文献；凡本项目自身拟提出的经验论断，均同时给出识别策略、所依赖的假定、可用于暴露该假定失败的诊断检验，以及假定不成立时的备选方案。第 16 节完整报告文献核验结果，包括无法核验因而已从上一稿删除的条目。</w:t>
      </w:r>
    </w:p>
    <w:p>
      <w:pPr>
        <w:pStyle w:val="BodyText"/>
      </w:pPr>
      <w:r>
        <w:t xml:space="preserve">全文遵守三项约定。第一，始终区分三种认识论层次：描述性测量、关联性估计与因果识别，并在文中逐处标明，本项目的可信度取决于三者之间不得相互借用权威。第二，全球疾病负担（Global Burden of Disease，以下简称 GBD）比较风险评估的产出被视为标准化的人群层面核算，而非个体层面的因果效应，第 10 节将这一边界写成可执行的操作规则。第三，福祉被视为多维且不可化约的构念，除明确标注的次要分析外，本项目不将其压缩为单一指数。</w:t>
      </w:r>
    </w:p>
    <w:p>
      <w:r>
        <w:pict>
          <v:rect style="width:0;height:1.5pt" o:hralign="center" o:hrstd="t" o:hr="t"/>
        </w:pict>
      </w:r>
    </w:p>
    <w:bookmarkEnd w:id="21"/>
    <w:bookmarkStart w:id="22" w:name="摘要"/>
    <w:p>
      <w:pPr>
        <w:pStyle w:val="Heading2"/>
      </w:pPr>
      <w:r>
        <w:t xml:space="preserve">1. 摘要</w:t>
      </w:r>
    </w:p>
    <w:p>
      <w:pPr>
        <w:pStyle w:val="FirstParagraph"/>
      </w:pPr>
      <w:r>
        <w:t xml:space="preserve">中国及其他中低收入国家的儿童，并非分别暴露于气候灾害与空气污染这两种彼此独立的风险。二者共享大气驱动机制，在时间与空间上的共现频率持续上升，并且很可能在发育中的躯体内部、以及在环绕儿童的家庭经济内部发生交互。既有研究却仍分别处理这两类暴露，由此可能同时产生方向相反的两类错误：在二者相互强化时低估总风险，在脆弱性仅沿单一暴露轴定义时错判最脆弱的儿童群体。</w:t>
      </w:r>
    </w:p>
    <w:p>
      <w:pPr>
        <w:pStyle w:val="BodyText"/>
      </w:pPr>
      <w:r>
        <w:t xml:space="preserve">本项目以复合暴露为研究对象。它追问：气候风险与污染在何种条件下转化为福祉风险，对哪些儿童转化，经由哪些机制转化，其中可预防的份额有多大。项目以中国为锚定案例，因为中国同时具备高密度环境监测、卫星反演暴露面、行政出生记录与具有全国代表性的追踪住户调查，这一组合使得精细的暴露与结局链接在其他多数场景中难以复制。随后，项目使用其他中低收入国家的可协调儿童数据检验中国识别出的机制是否可外推，并将外推失败本身视为发现而非干扰。</w:t>
      </w:r>
    </w:p>
    <w:p>
      <w:pPr>
        <w:pStyle w:val="BodyText"/>
      </w:pPr>
      <w:r>
        <w:t xml:space="preserve">项目由五个组件构成。组件 A 构建 2000 至 2023 年中国区县日度复合暴露记录，并量化复合暴露在儿童人口与社会经济分层间的分布。组件 B 估计孕期特定窗口与幼儿期复合暴露对出生与早期儿童结局的影响，采用母亲内部与区县内部设计，并在相加尺度而非默认的相乘尺度上检验交互。组件 C 考察气候冲击如何经由家庭资源、学校中断与父母投资传导至就学与学习，并将家庭反应本身作为结局变量测量，而不是留作未观测残差。组件 D 检验外部效度，先估计分国模型，再以制度特征作为显式调节变量。组件 E 将估计得到的暴露反应关系接入标准化负担核算与分配加权的政策反事实模拟，分别报告总量健康收益与最弱势儿童所获份额。</w:t>
      </w:r>
    </w:p>
    <w:p>
      <w:pPr>
        <w:pStyle w:val="BodyText"/>
      </w:pPr>
      <w:r>
        <w:t xml:space="preserve">项目的核心可检验命题是：在高污染与高温同时发生时，福祉损失超过两种暴露单独作用的损失之和，且这一相加性偏离在家庭与制度保护性资源较少的儿童中更大。该命题可被证伪。第 6 节写明拒绝该命题的条件，第 14 节写明命题被拒绝后项目的后续安排。</w:t>
      </w:r>
    </w:p>
    <w:p>
      <w:r>
        <w:pict>
          <v:rect style="width:0;height:1.5pt" o:hralign="center" o:hrstd="t" o:hr="t"/>
        </w:pict>
      </w:r>
    </w:p>
    <w:bookmarkEnd w:id="22"/>
    <w:bookmarkStart w:id="25" w:name="在既有研究布局中的定位"/>
    <w:p>
      <w:pPr>
        <w:pStyle w:val="Heading2"/>
      </w:pPr>
      <w:r>
        <w:t xml:space="preserve">2. 在既有研究布局中的定位</w:t>
      </w:r>
    </w:p>
    <w:bookmarkStart w:id="23" w:name="已有工作的准确表述"/>
    <w:p>
      <w:pPr>
        <w:pStyle w:val="Heading3"/>
      </w:pPr>
      <w:r>
        <w:t xml:space="preserve">2.1 已有工作的准确表述</w:t>
      </w:r>
    </w:p>
    <w:p>
      <w:pPr>
        <w:pStyle w:val="FirstParagraph"/>
      </w:pPr>
      <w:r>
        <w:t xml:space="preserve">宾夕法尼亚大学设有 Climate, Environment, and Childhood Initiative（CECI），其公开资料列出三个按区域组织的项目。中国项目题为</w:t>
      </w:r>
      <w:r>
        <w:t xml:space="preserve"> </w:t>
      </w:r>
      <w:r>
        <w:rPr>
          <w:iCs/>
          <w:i/>
        </w:rPr>
        <w:t xml:space="preserve">Prenatal Air Pollution Exposures and Early Childhood Outcomes</w:t>
      </w:r>
      <w:r>
        <w:t xml:space="preserve">，由 Penn China Research and Engagement Fund、美国国家科学基金会 SES-1756738 项目以及上海纽约大学 CASER 支持。印度项目题为</w:t>
      </w:r>
      <w:r>
        <w:t xml:space="preserve"> </w:t>
      </w:r>
      <w:r>
        <w:rPr>
          <w:iCs/>
          <w:i/>
        </w:rPr>
        <w:t xml:space="preserve">Flooding, Schooling and Learning in Rural India: A Mixed Method Study</w:t>
      </w:r>
      <w:r>
        <w:t xml:space="preserve">，由 Penn India Research Engagement Fund、Penn University Research Foundation 以及 NSF PIRE OISE-2230615 项目支持。比较研究项目题为</w:t>
      </w:r>
      <w:r>
        <w:t xml:space="preserve"> </w:t>
      </w:r>
      <w:r>
        <w:rPr>
          <w:iCs/>
          <w:i/>
        </w:rPr>
        <w:t xml:space="preserve">PIRE: Climate Risk, Pollution, and Childhood Inequalities in Low- and Middle-Income Countries</w:t>
      </w:r>
      <w:r>
        <w:t xml:space="preserve">，由同一 PIRE 项目资助，并获 Penn Population Studies Center Quartet Pilot Research Award 种子经费。</w:t>
      </w:r>
    </w:p>
    <w:p>
      <w:pPr>
        <w:pStyle w:val="BodyText"/>
      </w:pPr>
      <w:r>
        <w:t xml:space="preserve">此处记录对上一稿的两项更正，因为它们关系到机构表述的准确性。其一，该倡议目前的公开名称是 Climate, Environment, and Childhood Initiative，</w:t>
      </w:r>
      <w:r>
        <w:t xml:space="preserve">“</w:t>
      </w:r>
      <w:r>
        <w:t xml:space="preserve">Inequalities</w:t>
      </w:r>
      <w:r>
        <w:t xml:space="preserve">”</w:t>
      </w:r>
      <w:r>
        <w:t xml:space="preserve">属于比较研究项目的标题而非倡议名称。其二，CECI 未列入 Population Studies Center 的联合中心与倡议清单，因此本计划书不将其表述为 PSC 或 PARC 下属单位，可查证的机构关联仅为上述 Quartet Pilot 种子经费。</w:t>
      </w:r>
    </w:p>
    <w:p>
      <w:pPr>
        <w:pStyle w:val="BodyText"/>
      </w:pPr>
      <w:r>
        <w:t xml:space="preserve">与本项目关系最直接的已发表成果是 Liu、Behrman、Hannum、Wang 与 Zhao（2022）。该研究将华南地区出生记录与环境污染及气温数据链接，发现出生体重与孕期环境暴露的负向关联在出生体重条件分布的较低分位上约为整体的两倍，母亲大学教育具有保护作用，且这一保护边际在环境条件更严峻时更大。该文确立了本项目直接承接的两点：分层影响在中国行政出生数据中可被检出；父母资源作为效应修饰变量发挥作用，而非仅作为控制变量。</w:t>
      </w:r>
    </w:p>
    <w:bookmarkEnd w:id="23"/>
    <w:bookmarkStart w:id="24" w:name="本项目提出的分工"/>
    <w:p>
      <w:pPr>
        <w:pStyle w:val="Heading3"/>
      </w:pPr>
      <w:r>
        <w:t xml:space="preserve">2.2 本项目提出的分工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既有布局的侧重</w:t>
            </w:r>
          </w:p>
        </w:tc>
        <w:tc>
          <w:tcPr/>
          <w:p>
            <w:pPr>
              <w:pStyle w:val="Compact"/>
              <w:jc w:val="left"/>
            </w:pPr>
            <w:r>
              <w:t xml:space="preserve">本项目的侧重</w:t>
            </w:r>
          </w:p>
        </w:tc>
      </w:tr>
      <w:tr>
        <w:tc>
          <w:tcPr/>
          <w:p>
            <w:pPr>
              <w:pStyle w:val="Compact"/>
              <w:jc w:val="left"/>
            </w:pPr>
            <w:r>
              <w:t xml:space="preserve">暴露对象</w:t>
            </w:r>
          </w:p>
        </w:tc>
        <w:tc>
          <w:tcPr/>
          <w:p>
            <w:pPr>
              <w:pStyle w:val="Compact"/>
              <w:jc w:val="left"/>
            </w:pPr>
            <w:r>
              <w:t xml:space="preserve">并行研究单一暴露：环境空气污染、高温、洪涝</w:t>
            </w:r>
          </w:p>
        </w:tc>
        <w:tc>
          <w:tcPr/>
          <w:p>
            <w:pPr>
              <w:pStyle w:val="Compact"/>
              <w:jc w:val="left"/>
            </w:pPr>
            <w:r>
              <w:t xml:space="preserve">以复合暴露为分析单位，交互项本身即为目标估计量</w:t>
            </w:r>
          </w:p>
        </w:tc>
      </w:tr>
      <w:tr>
        <w:tc>
          <w:tcPr/>
          <w:p>
            <w:pPr>
              <w:pStyle w:val="Compact"/>
              <w:jc w:val="left"/>
            </w:pPr>
            <w:r>
              <w:t xml:space="preserve">核心问题</w:t>
            </w:r>
          </w:p>
        </w:tc>
        <w:tc>
          <w:tcPr/>
          <w:p>
            <w:pPr>
              <w:pStyle w:val="Compact"/>
              <w:jc w:val="left"/>
            </w:pPr>
            <w:r>
              <w:t xml:space="preserve">谁被暴露，对给定结局产生何种后果</w:t>
            </w:r>
          </w:p>
        </w:tc>
        <w:tc>
          <w:tcPr/>
          <w:p>
            <w:pPr>
              <w:pStyle w:val="Compact"/>
              <w:jc w:val="left"/>
            </w:pPr>
            <w:r>
              <w:t xml:space="preserve">暴露在何种条件下转化为福祉损失，其中多少可被预防</w:t>
            </w:r>
          </w:p>
        </w:tc>
      </w:tr>
      <w:tr>
        <w:tc>
          <w:tcPr/>
          <w:p>
            <w:pPr>
              <w:pStyle w:val="Compact"/>
              <w:jc w:val="left"/>
            </w:pPr>
            <w:r>
              <w:t xml:space="preserve">结局空间</w:t>
            </w:r>
          </w:p>
        </w:tc>
        <w:tc>
          <w:tcPr/>
          <w:p>
            <w:pPr>
              <w:pStyle w:val="Compact"/>
              <w:jc w:val="left"/>
            </w:pPr>
            <w:r>
              <w:t xml:space="preserve">出生结局、学习、出勤、健康</w:t>
            </w:r>
          </w:p>
        </w:tc>
        <w:tc>
          <w:tcPr/>
          <w:p>
            <w:pPr>
              <w:pStyle w:val="Compact"/>
              <w:jc w:val="left"/>
            </w:pPr>
            <w:r>
              <w:t xml:space="preserve">保留各维度差异的多维福祉，并将家庭适应反应纳入结局</w:t>
            </w:r>
          </w:p>
        </w:tc>
      </w:tr>
      <w:tr>
        <w:tc>
          <w:tcPr/>
          <w:p>
            <w:pPr>
              <w:pStyle w:val="Compact"/>
              <w:jc w:val="left"/>
            </w:pPr>
            <w:r>
              <w:t xml:space="preserve">社会位置</w:t>
            </w:r>
          </w:p>
        </w:tc>
        <w:tc>
          <w:tcPr/>
          <w:p>
            <w:pPr>
              <w:pStyle w:val="Compact"/>
              <w:jc w:val="left"/>
            </w:pPr>
            <w:r>
              <w:t xml:space="preserve">按教育、财富、性别考察异质性</w:t>
            </w:r>
          </w:p>
        </w:tc>
        <w:tc>
          <w:tcPr/>
          <w:p>
            <w:pPr>
              <w:pStyle w:val="Compact"/>
              <w:jc w:val="left"/>
            </w:pPr>
            <w:r>
              <w:t xml:space="preserve">将适应能力作为具有自身理论的可测量构念，分解为规避、补偿与制度替代</w:t>
            </w:r>
          </w:p>
        </w:tc>
      </w:tr>
      <w:tr>
        <w:tc>
          <w:tcPr/>
          <w:p>
            <w:pPr>
              <w:pStyle w:val="Compact"/>
              <w:jc w:val="left"/>
            </w:pPr>
            <w:r>
              <w:t xml:space="preserve">政策层面</w:t>
            </w:r>
          </w:p>
        </w:tc>
        <w:tc>
          <w:tcPr/>
          <w:p>
            <w:pPr>
              <w:pStyle w:val="Compact"/>
              <w:jc w:val="left"/>
            </w:pPr>
            <w:r>
              <w:t xml:space="preserve">讨论政策含义</w:t>
            </w:r>
          </w:p>
        </w:tc>
        <w:tc>
          <w:tcPr/>
          <w:p>
            <w:pPr>
              <w:pStyle w:val="Compact"/>
              <w:jc w:val="left"/>
            </w:pPr>
            <w:r>
              <w:t xml:space="preserve">显式的反事实模拟与分配加权</w:t>
            </w:r>
          </w:p>
        </w:tc>
      </w:tr>
      <w:tr>
        <w:tc>
          <w:tcPr/>
          <w:p>
            <w:pPr>
              <w:pStyle w:val="Compact"/>
              <w:jc w:val="left"/>
            </w:pPr>
            <w:r>
              <w:t xml:space="preserve">比较逻辑</w:t>
            </w:r>
          </w:p>
        </w:tc>
        <w:tc>
          <w:tcPr/>
          <w:p>
            <w:pPr>
              <w:pStyle w:val="Compact"/>
              <w:jc w:val="left"/>
            </w:pPr>
            <w:r>
              <w:t xml:space="preserve">分区域项目</w:t>
            </w:r>
          </w:p>
        </w:tc>
        <w:tc>
          <w:tcPr/>
          <w:p>
            <w:pPr>
              <w:pStyle w:val="Compact"/>
              <w:jc w:val="left"/>
            </w:pPr>
            <w:r>
              <w:t xml:space="preserve">估计适用边界条件与调节因素，将不可外推作为发现报告</w:t>
            </w:r>
          </w:p>
        </w:tc>
      </w:tr>
    </w:tbl>
    <w:p>
      <w:pPr>
        <w:pStyle w:val="BodyText"/>
      </w:pPr>
      <w:r>
        <w:t xml:space="preserve">本项目定位为互补而非竞争。例如，组件 B 的暴露记录与母亲内部设计可直接应用于 CECI 中国项目的出生数据而不重复其研究问题；组件 D 设计为消费而非重新采集比较调查数据。</w:t>
      </w:r>
    </w:p>
    <w:p>
      <w:r>
        <w:pict>
          <v:rect style="width:0;height:1.5pt" o:hralign="center" o:hrstd="t" o:hr="t"/>
        </w:pict>
      </w:r>
    </w:p>
    <w:bookmarkEnd w:id="24"/>
    <w:bookmarkEnd w:id="25"/>
    <w:bookmarkStart w:id="29" w:name="概念框架"/>
    <w:p>
      <w:pPr>
        <w:pStyle w:val="Heading2"/>
      </w:pPr>
      <w:r>
        <w:t xml:space="preserve">3. 概念框架</w:t>
      </w:r>
    </w:p>
    <w:bookmarkStart w:id="26" w:name="测量先于机制"/>
    <w:p>
      <w:pPr>
        <w:pStyle w:val="Heading3"/>
      </w:pPr>
      <w:r>
        <w:t xml:space="preserve">3.1 测量先于机制</w:t>
      </w:r>
    </w:p>
    <w:p>
      <w:pPr>
        <w:pStyle w:val="FirstParagraph"/>
      </w:pPr>
      <w:r>
        <w:t xml:space="preserve">框架从定义开始，因为实质性论断依赖定义，而本领域若干分歧本质上是定义分歧而非经验分歧。</w:t>
      </w:r>
    </w:p>
    <w:p>
      <w:pPr>
        <w:pStyle w:val="BodyText"/>
      </w:pPr>
      <w:r>
        <w:rPr>
          <w:bCs/>
          <w:b/>
        </w:rPr>
        <w:t xml:space="preserve">气候风险</w:t>
      </w:r>
      <w:r>
        <w:t xml:space="preserve">在本文中取狭义，指已实现的气象灾害：高温、低温、降水不足或过量，以及洪涝、野火等派生灾害的强度、持续时间、发生时点与空间范围。它与</w:t>
      </w:r>
      <w:r>
        <w:rPr>
          <w:bCs/>
          <w:b/>
        </w:rPr>
        <w:t xml:space="preserve">气候变化</w:t>
      </w:r>
      <w:r>
        <w:t xml:space="preserve">相区分，后者是关于这些灾害所来自的分布的陈述。本项目直接测量前者，仅在预测组件中使用后者，且在该组件中必须保持“已观测灾害”与“模型化分布位移”之间的区别。</w:t>
      </w:r>
    </w:p>
    <w:p>
      <w:pPr>
        <w:pStyle w:val="BodyText"/>
      </w:pPr>
      <w:r>
        <w:rPr>
          <w:bCs/>
          <w:b/>
        </w:rPr>
        <w:t xml:space="preserve">污染</w:t>
      </w:r>
      <w:r>
        <w:t xml:space="preserve">指环境细颗粒物、近地面臭氧与固体燃料燃烧产生的家庭空气污染。三者分别处理，因为其来源、季节性以及与气温的关系并不相同。臭氧尤其如此：它由光化学过程生成，随气温与太阳辐射上升，因此“臭氧与高温”的配对在机制上不同于“颗粒物与高温”的配对。</w:t>
      </w:r>
    </w:p>
    <w:p>
      <w:pPr>
        <w:pStyle w:val="BodyText"/>
      </w:pPr>
      <w:r>
        <w:rPr>
          <w:bCs/>
          <w:b/>
        </w:rPr>
        <w:t xml:space="preserve">复合暴露</w:t>
      </w:r>
      <w:r>
        <w:t xml:space="preserve">采用操作性定义而非概念性定义，因为概念性定义不可检验。第 8.1 节给出操作定义：在设定的时间窗内，两种暴露分别超过本地参照百分位阈值并共同出现，且满足最短持续时间要求。项目预先设定三种替代操作化方式并平行报告，因为实质结论不应依赖于某一个任意阈值。</w:t>
      </w:r>
    </w:p>
    <w:p>
      <w:pPr>
        <w:pStyle w:val="BodyText"/>
      </w:pPr>
      <w:r>
        <w:rPr>
          <w:bCs/>
          <w:b/>
        </w:rPr>
        <w:t xml:space="preserve">福祉</w:t>
      </w:r>
      <w:r>
        <w:t xml:space="preserve">遵循可行能力传统（Sen, 2005），而非效用或收入框架：相关的量是儿童实际可实现的功能性活动集合。在操作层面这产生六个维度，见第 11 节，分别测量、分别报告。项目拒绝以单一综合指数作为主要结局，理由有二：加总需要数据本身无法提供的权重；加总过程会掩盖本项目正是为了探测的分布格局。在确需综合指标时，采用可按维度与人群分解的计数法多维测度（Alkire &amp; Foster, 2011）。</w:t>
      </w:r>
    </w:p>
    <w:p>
      <w:pPr>
        <w:pStyle w:val="BodyText"/>
      </w:pPr>
      <w:r>
        <w:rPr>
          <w:bCs/>
          <w:b/>
        </w:rPr>
        <w:t xml:space="preserve">适应能力</w:t>
      </w:r>
      <w:r>
        <w:t xml:space="preserve">指将给定暴露转化为较小福祉损失的家庭、学校与制度资源基础。它被分解为三条政策含义各不相同的通道：</w:t>
      </w:r>
      <w:r>
        <w:rPr>
          <w:bCs/>
          <w:b/>
        </w:rPr>
        <w:t xml:space="preserve">规避</w:t>
      </w:r>
      <w:r>
        <w:t xml:space="preserve">，降低暴露；</w:t>
      </w:r>
      <w:r>
        <w:rPr>
          <w:bCs/>
          <w:b/>
        </w:rPr>
        <w:t xml:space="preserve">补偿</w:t>
      </w:r>
      <w:r>
        <w:t xml:space="preserve">，在暴露发生后弥补损害；</w:t>
      </w:r>
      <w:r>
        <w:rPr>
          <w:bCs/>
          <w:b/>
        </w:rPr>
        <w:t xml:space="preserve">制度替代</w:t>
      </w:r>
      <w:r>
        <w:t xml:space="preserve">，将保护责任由家庭转移至学校与卫生系统。</w:t>
      </w:r>
    </w:p>
    <w:bookmarkEnd w:id="26"/>
    <w:bookmarkStart w:id="27" w:name="五阶段链条"/>
    <w:p>
      <w:pPr>
        <w:pStyle w:val="Heading3"/>
      </w:pPr>
      <w:r>
        <w:t xml:space="preserve">3.2 五阶段链条</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过程</w:t>
            </w:r>
          </w:p>
        </w:tc>
        <w:tc>
          <w:tcPr/>
          <w:p>
            <w:pPr>
              <w:pStyle w:val="Compact"/>
              <w:jc w:val="left"/>
            </w:pPr>
            <w:r>
              <w:t xml:space="preserve">经验构念</w:t>
            </w:r>
          </w:p>
        </w:tc>
        <w:tc>
          <w:tcPr/>
          <w:p>
            <w:pPr>
              <w:pStyle w:val="Compact"/>
              <w:jc w:val="left"/>
            </w:pPr>
            <w:r>
              <w:t xml:space="preserve">社会位置的进入点</w:t>
            </w:r>
          </w:p>
        </w:tc>
      </w:tr>
      <w:tr>
        <w:tc>
          <w:tcPr/>
          <w:p>
            <w:pPr>
              <w:pStyle w:val="Compact"/>
              <w:jc w:val="left"/>
            </w:pPr>
            <w:r>
              <w:t xml:space="preserve">1. 灾害</w:t>
            </w:r>
          </w:p>
        </w:tc>
        <w:tc>
          <w:tcPr/>
          <w:p>
            <w:pPr>
              <w:pStyle w:val="Compact"/>
              <w:jc w:val="left"/>
            </w:pPr>
            <w:r>
              <w:t xml:space="preserve">气象条件实现为高温、降水异常、洪涝或火灾</w:t>
            </w:r>
          </w:p>
        </w:tc>
        <w:tc>
          <w:tcPr/>
          <w:p>
            <w:pPr>
              <w:pStyle w:val="Compact"/>
              <w:jc w:val="left"/>
            </w:pPr>
            <w:r>
              <w:t xml:space="preserve">强度、持续时间、时点、空间范围</w:t>
            </w:r>
          </w:p>
        </w:tc>
        <w:tc>
          <w:tcPr/>
          <w:p>
            <w:pPr>
              <w:pStyle w:val="Compact"/>
              <w:jc w:val="left"/>
            </w:pPr>
            <w:r>
              <w:t xml:space="preserve">居住区位、住房存量、基础设施质量</w:t>
            </w:r>
          </w:p>
        </w:tc>
      </w:tr>
      <w:tr>
        <w:tc>
          <w:tcPr/>
          <w:p>
            <w:pPr>
              <w:pStyle w:val="Compact"/>
              <w:jc w:val="left"/>
            </w:pPr>
            <w:r>
              <w:t xml:space="preserve">2. 污染响应</w:t>
            </w:r>
          </w:p>
        </w:tc>
        <w:tc>
          <w:tcPr/>
          <w:p>
            <w:pPr>
              <w:pStyle w:val="Compact"/>
              <w:jc w:val="left"/>
            </w:pPr>
            <w:r>
              <w:t xml:space="preserve">气象条件影响污染物生成、传输与滞留</w:t>
            </w:r>
          </w:p>
        </w:tc>
        <w:tc>
          <w:tcPr/>
          <w:p>
            <w:pPr>
              <w:pStyle w:val="Compact"/>
              <w:jc w:val="left"/>
            </w:pPr>
            <w:r>
              <w:t xml:space="preserve">PM2.5、近地面臭氧、家庭空气污染</w:t>
            </w:r>
          </w:p>
        </w:tc>
        <w:tc>
          <w:tcPr/>
          <w:p>
            <w:pPr>
              <w:pStyle w:val="Compact"/>
              <w:jc w:val="left"/>
            </w:pPr>
            <w:r>
              <w:t xml:space="preserve">燃料可及性、通风条件、职业与学校微环境</w:t>
            </w:r>
          </w:p>
        </w:tc>
      </w:tr>
      <w:tr>
        <w:tc>
          <w:tcPr/>
          <w:p>
            <w:pPr>
              <w:pStyle w:val="Compact"/>
              <w:jc w:val="left"/>
            </w:pPr>
            <w:r>
              <w:t xml:space="preserve">3. 生物应激</w:t>
            </w:r>
          </w:p>
        </w:tc>
        <w:tc>
          <w:tcPr/>
          <w:p>
            <w:pPr>
              <w:pStyle w:val="Compact"/>
              <w:jc w:val="left"/>
            </w:pPr>
            <w:r>
              <w:t xml:space="preserve">炎症、呼吸、体温调节、营养与感染通路</w:t>
            </w:r>
          </w:p>
        </w:tc>
        <w:tc>
          <w:tcPr/>
          <w:p>
            <w:pPr>
              <w:pStyle w:val="Compact"/>
              <w:jc w:val="left"/>
            </w:pPr>
            <w:r>
              <w:t xml:space="preserve">出生结局、患病、生长、疾病发作</w:t>
            </w:r>
          </w:p>
        </w:tc>
        <w:tc>
          <w:tcPr/>
          <w:p>
            <w:pPr>
              <w:pStyle w:val="Compact"/>
              <w:jc w:val="left"/>
            </w:pPr>
            <w:r>
              <w:t xml:space="preserve">基线营养与健康状况、既往暴露史</w:t>
            </w:r>
          </w:p>
        </w:tc>
      </w:tr>
      <w:tr>
        <w:tc>
          <w:tcPr/>
          <w:p>
            <w:pPr>
              <w:pStyle w:val="Compact"/>
              <w:jc w:val="left"/>
            </w:pPr>
            <w:r>
              <w:t xml:space="preserve">4. 行为与制度响应</w:t>
            </w:r>
          </w:p>
        </w:tc>
        <w:tc>
          <w:tcPr/>
          <w:p>
            <w:pPr>
              <w:pStyle w:val="Compact"/>
              <w:jc w:val="left"/>
            </w:pPr>
            <w:r>
              <w:t xml:space="preserve">规避、防御性支出、就医、迁移、停课或继续上课</w:t>
            </w:r>
          </w:p>
        </w:tc>
        <w:tc>
          <w:tcPr/>
          <w:p>
            <w:pPr>
              <w:pStyle w:val="Compact"/>
              <w:jc w:val="left"/>
            </w:pPr>
            <w:r>
              <w:t xml:space="preserve">净化与降温设备、医疗与教育支出、出勤、父母时间</w:t>
            </w:r>
          </w:p>
        </w:tc>
        <w:tc>
          <w:tcPr/>
          <w:p>
            <w:pPr>
              <w:pStyle w:val="Compact"/>
              <w:jc w:val="left"/>
            </w:pPr>
            <w:r>
              <w:t xml:space="preserve">流动性、信息、学校与诊所能力、保险与转移支付可及性</w:t>
            </w:r>
          </w:p>
        </w:tc>
      </w:tr>
      <w:tr>
        <w:tc>
          <w:tcPr/>
          <w:p>
            <w:pPr>
              <w:pStyle w:val="Compact"/>
              <w:jc w:val="left"/>
            </w:pPr>
            <w:r>
              <w:t xml:space="preserve">5. 福祉结局</w:t>
            </w:r>
          </w:p>
        </w:tc>
        <w:tc>
          <w:tcPr/>
          <w:p>
            <w:pPr>
              <w:pStyle w:val="Compact"/>
              <w:jc w:val="left"/>
            </w:pPr>
            <w:r>
              <w:t xml:space="preserve">各维度上已实现的功能性活动</w:t>
            </w:r>
          </w:p>
        </w:tc>
        <w:tc>
          <w:tcPr/>
          <w:p>
            <w:pPr>
              <w:pStyle w:val="Compact"/>
              <w:jc w:val="left"/>
            </w:pPr>
            <w:r>
              <w:t xml:space="preserve">健康、营养、认知、就学、社会心理状态、家庭经济地位</w:t>
            </w:r>
          </w:p>
        </w:tc>
        <w:tc>
          <w:tcPr/>
          <w:p>
            <w:pPr>
              <w:pStyle w:val="Compact"/>
              <w:jc w:val="left"/>
            </w:pPr>
            <w:r>
              <w:t xml:space="preserve">前四阶段累积形成的优势</w:t>
            </w:r>
          </w:p>
        </w:tc>
      </w:tr>
    </w:tbl>
    <w:p>
      <w:pPr>
        <w:pStyle w:val="BodyText"/>
      </w:pPr>
      <w:r>
        <w:t xml:space="preserve">该链条并非声称五个阶段将被联合估计。它是一张地图，用以告诉每个组件自己识别的是哪一段、固定的是哪一段、未测量的是哪一段。组件 A 作用于阶段 1 与 2；组件 B 识别阶段 3 与阶段 5 的联结，阶段 4 部分可观测；组件 C 识别阶段 4 与阶段 5 的联结；组件 E 在人群层面横跨整条链条，但不进行个体层面识别。</w:t>
      </w:r>
    </w:p>
    <w:bookmarkEnd w:id="27"/>
    <w:bookmarkStart w:id="28" w:name="框架必须自证的三项命题"/>
    <w:p>
      <w:pPr>
        <w:pStyle w:val="Heading3"/>
      </w:pPr>
      <w:r>
        <w:t xml:space="preserve">3.3 框架必须自证的三项命题</w:t>
      </w:r>
    </w:p>
    <w:p>
      <w:pPr>
        <w:pStyle w:val="FirstParagraph"/>
      </w:pPr>
      <w:r>
        <w:t xml:space="preserve">框架唯有产生可能为假的论断才有价值。三项命题承载本项目。</w:t>
      </w:r>
    </w:p>
    <w:p>
      <w:pPr>
        <w:pStyle w:val="BodyText"/>
      </w:pPr>
      <w:r>
        <w:rPr>
          <w:bCs/>
          <w:b/>
        </w:rPr>
        <w:t xml:space="preserve">命题一（复合结构）。</w:t>
      </w:r>
      <w:r>
        <w:t xml:space="preserve"> </w:t>
      </w:r>
      <w:r>
        <w:t xml:space="preserve">气候灾害与污染的共现并非随机，且其联合分布在儿童人口中的不平等程度高于任一边际分布。这是测量性论断，由组件 A 检验，并且是其余论断的前提：若复合暴露罕见且随机分布，交互问题的政策相关性有限。</w:t>
      </w:r>
    </w:p>
    <w:p>
      <w:pPr>
        <w:pStyle w:val="BodyText"/>
      </w:pPr>
      <w:r>
        <w:rPr>
          <w:bCs/>
          <w:b/>
        </w:rPr>
        <w:t xml:space="preserve">命题二（超相加性）。</w:t>
      </w:r>
      <w:r>
        <w:t xml:space="preserve"> </w:t>
      </w:r>
      <w:r>
        <w:t xml:space="preserve">联合暴露下的福祉损失超过两种边际损失之和。这是关于函数形式的因果论断，在组件 B 与组件 C 中于相加尺度上检验。</w:t>
      </w:r>
    </w:p>
    <w:p>
      <w:pPr>
        <w:pStyle w:val="BodyText"/>
      </w:pPr>
      <w:r>
        <w:rPr>
          <w:bCs/>
          <w:b/>
        </w:rPr>
        <w:t xml:space="preserve">命题三（分层适应能力）。</w:t>
      </w:r>
      <w:r>
        <w:t xml:space="preserve"> </w:t>
      </w:r>
      <w:r>
        <w:t xml:space="preserve">相加性偏离在适应能力较低处更大，且三条适应通道在边际上不可相互替代。这是政策含量最高的论断，因为它意味着统一的暴露削减在公平意义上并非中性。</w:t>
      </w:r>
    </w:p>
    <w:p>
      <w:r>
        <w:pict>
          <v:rect style="width:0;height:1.5pt" o:hralign="center" o:hrstd="t" o:hr="t"/>
        </w:pict>
      </w:r>
    </w:p>
    <w:bookmarkEnd w:id="28"/>
    <w:bookmarkEnd w:id="29"/>
    <w:bookmarkStart w:id="36" w:name="文献已确立什么尚未解决什么"/>
    <w:p>
      <w:pPr>
        <w:pStyle w:val="Heading2"/>
      </w:pPr>
      <w:r>
        <w:t xml:space="preserve">4. 文献已确立什么，尚未解决什么</w:t>
      </w:r>
    </w:p>
    <w:p>
      <w:pPr>
        <w:pStyle w:val="FirstParagraph"/>
      </w:pPr>
      <w:r>
        <w:t xml:space="preserve">本节按尚未解决的争论组织，而非按时间顺序罗列，因为本项目的贡献由它能够推进哪一场争论所界定。</w:t>
      </w:r>
    </w:p>
    <w:bookmarkStart w:id="30" w:name="争论一污染与儿童健康的关系能否跨收入水平迁移"/>
    <w:p>
      <w:pPr>
        <w:pStyle w:val="Heading3"/>
      </w:pPr>
      <w:r>
        <w:t xml:space="preserve">4.1 争论一：污染与儿童健康的关系能否跨收入水平迁移</w:t>
      </w:r>
    </w:p>
    <w:p>
      <w:pPr>
        <w:pStyle w:val="FirstParagraph"/>
      </w:pPr>
      <w:r>
        <w:t xml:space="preserve">关于环境颗粒物暴露提高婴儿死亡率的准实验证据强度较高，且已在制度差异极大的场景中得到重复。Chay 与 Greenstone（2003）利用经济衰退引致的总悬浮颗粒物变异，发现 TSP 每下降 1% 使县级婴儿死亡率下降 0.35%，效应集中于出生后一个月内。Jayachandran（2009）利用 1997 年印度尼西亚野火烟雾，估计受影响队列中约有 15600 名“消失的儿童”，效应集中于孕期暴露且在较贫困地区更大。Heft-Neal、Burney、Bendavid 与 Burke（2018）将撒哈拉以南非洲约一百万例活产与卫星反演 PM2.5 链接，发现 PM2.5 每上升 10 微克每立方米，婴儿死亡率上升 9%，据此推算 2015 年三十国因此额外增加 449000 例婴儿死亡，为既往估计的三倍以上。Heft-Neal、Burney、Bendavid、Voss 与 Burke（2020）以撒哈拉沙尘输送作为自然工具变量，得到量级相近的效应；这一点尤为重要，因为该工具切断了污染与当地经济活动之间的相关。</w:t>
      </w:r>
    </w:p>
    <w:p>
      <w:pPr>
        <w:pStyle w:val="BodyText"/>
      </w:pPr>
      <w:r>
        <w:t xml:space="preserve">与此相对，Arceo、Hanna 与 Oliva（2016）利用墨西哥城逆温现象，发现颗粒物对婴儿死亡率的效应与美国估计相当甚至更小，而一氧化碳的效应更大。其结论是：在高收入场景估计的剂量反应函数不应整体迁移至中低收入场景，且两个方向的迁移都不可靠。</w:t>
      </w:r>
    </w:p>
    <w:p>
      <w:pPr>
        <w:pStyle w:val="BodyText"/>
      </w:pPr>
      <w:r>
        <w:t xml:space="preserve">因此，尚未解决的问题不是污染是否危害儿童，而是什么支配暴露反应函数的可迁移性。候选支配因素包括：函数在高浓度区间的形状、颗粒物化学组分的差异，以及家庭与卫生系统在暴露与结局之间进行干预的能力差异。前两项属于暴露测量问题；第三项属于福祉与制度问题，也正是本项目所要回答的问题。</w:t>
      </w:r>
    </w:p>
    <w:p>
      <w:pPr>
        <w:pStyle w:val="BodyText"/>
      </w:pPr>
      <w:r>
        <w:t xml:space="preserve">中国证据使同一论点更为锐利。淮河供暖断点产生了两轮估计：Chen、Ebenstein、Greenstone 与 Li（2013）发现淮河以北 TSP 高出 55%，预期寿命低约 5.5 年；Ebenstein、Fan、Greenstone、He 与 Zhou（2017）以分病因死亡数据将该结果修正为 PM10 每上升 10 微克每立方米，预期寿命下降 0.64 年。Tanaka（2015）发现 1998 年“两控区”政策使指定城市婴儿死亡率下降 20%，其中低教育母亲所生婴儿的下降幅度最大。Fan、He 与 Zhou（2020）利用各城市供暖启动日期，发现空气质量指数上升 36%、死亡率上升 14%，负担不成比例地由农村与弱势人口承担。三项彼此独立的中国设计共同指向分层效应，这正是福祉框架所预测而纯毒理学框架所不预测的格局。</w:t>
      </w:r>
    </w:p>
    <w:bookmarkEnd w:id="30"/>
    <w:bookmarkStart w:id="31" w:name="争论二相加还是交互"/>
    <w:p>
      <w:pPr>
        <w:pStyle w:val="Heading3"/>
      </w:pPr>
      <w:r>
        <w:t xml:space="preserve">4.2 争论二：相加还是交互</w:t>
      </w:r>
    </w:p>
    <w:p>
      <w:pPr>
        <w:pStyle w:val="FirstParagraph"/>
      </w:pPr>
      <w:r>
        <w:t xml:space="preserve">这是本项目着力推进的争论，而就儿童而言，它目前尚未被确定。</w:t>
      </w:r>
    </w:p>
    <w:p>
      <w:pPr>
        <w:pStyle w:val="BodyText"/>
      </w:pPr>
      <w:r>
        <w:t xml:space="preserve">大气科学的部分已足以使问题被良好提出。气象条件支配污染物生成与输送，而气候变化改变气象条件（Jacob &amp; Winner, 2009; Fiore, Naik, &amp; Leibensperger, 2015）。Horton、Skinner、Singh 与 Diffenbaugh（2014）预测大气滞留事件将增加，影响范围覆盖当前全球 55% 的人口。Schnell 与 Prather（2017）记录了北美东部臭氧、颗粒物与气温极值的共现。就中国而言，Gao 等（2023）证明大尺度气候型对热浪与臭氧污染共现具有季前预示信息；Su、Jiao 与 Xu（2025）发现 2003 至 2020 年中国城市复合极端高温与高臭氧暴露上升约 67%，复合事件日数上升约 180%，在部分大城市中核心城区贡献了总暴露的八成以上。中国近地面臭氧污染在全球范围内属于严重水平（Lu 等, 2018），这使“臭氧与高温”配对对于以中国为锚定的项目尤具意义。</w:t>
      </w:r>
    </w:p>
    <w:p>
      <w:pPr>
        <w:pStyle w:val="BodyText"/>
      </w:pPr>
      <w:r>
        <w:t xml:space="preserve">交互的流行病学证据在方向上一致、在量级上高度异质，且几乎全部关于成年人。Ren、Williams 与 Tong（2006）发现 PM10 修饰了布里斯班气温与心肺疾病的关联。Stafoggia、Schwartz、Forastiere 与 Perucci（2008）在意大利多城市中发现气温对污染与死亡关联的修饰作用。Analitis 等（2014）在明确处理污染物混杂与修饰的前提下考察热浪的死亡效应。Chen 等（2018）在八个欧洲城市区域记录了双向效应修饰：高温日污染与死亡的关联更强，高污染日的高温与低温死亡风险也更高。Rahman 等（2022）提供了迄今最有力的超相加性单项证据：在加利福尼亚，仅极端高温日全因死亡率上升 6.1%，仅极端 PM2.5 日上升 5.0%，而两者同时出现的日期上升 21.0%，心血管与呼吸系统的超额部分超过两者单独效应之和。</w:t>
      </w:r>
    </w:p>
    <w:p>
      <w:pPr>
        <w:pStyle w:val="BodyText"/>
      </w:pPr>
      <w:r>
        <w:t xml:space="preserve">由此产生三处空白。第一，上述研究均未针对儿童福祉结局估计交互，而在成人心血管死亡中产生超相加性的机制，未必是在胎儿生长、儿童呼吸系统患病或学习中运作的机制。第二，交互几乎从未在相加尺度上评估，而相加尺度才是公共卫生决策所关心的尺度，且相应的报告规范早已明确（Knol &amp; VanderWeele, 2012）。第三，本领域尚无研究追问相加性偏离本身是否存在社会分层，而这正是具有政策含量的问题。</w:t>
      </w:r>
    </w:p>
    <w:p>
      <w:pPr>
        <w:pStyle w:val="BodyText"/>
      </w:pPr>
      <w:r>
        <w:t xml:space="preserve">Bekkar、Pacheco、Basu 与 DeNicola（2020）在美国场景中联合评述了空气污染与高温暴露同早产、低出生体重与死产的关系，这是最接近的既有先例。它是系统综述而非交互估计，且限于高收入场景。</w:t>
      </w:r>
    </w:p>
    <w:bookmarkEnd w:id="31"/>
    <w:bookmarkStart w:id="32" w:name="争论三社会经济地位是否具有保护作用经由哪条通道"/>
    <w:p>
      <w:pPr>
        <w:pStyle w:val="Heading3"/>
      </w:pPr>
      <w:r>
        <w:t xml:space="preserve">4.3 争论三：社会经济地位是否具有保护作用，经由哪条通道</w:t>
      </w:r>
    </w:p>
    <w:p>
      <w:pPr>
        <w:pStyle w:val="FirstParagraph"/>
      </w:pPr>
      <w:r>
        <w:t xml:space="preserve">文献中包含三个可区分但常被混同的命题。</w:t>
      </w:r>
    </w:p>
    <w:p>
      <w:pPr>
        <w:pStyle w:val="BodyText"/>
      </w:pPr>
      <w:r>
        <w:t xml:space="preserve">第一，较富裕家庭规避暴露。Ito 与 Zhang（2020）估计中国家庭对每降低 1 微克每立方米 PM10 的年支付意愿约为 1.34 美元，收入与信息可及性是防御性投资异质性的主要来源。Graff Zivin 与 Neidell（2009）表明规避既非无成本亦不可持续：随着连续雾霾预警日增加，户外活动规避行为下降，因为跨期替代的成本上升。因此规避型保护既在可负担性上不平等，又具有自我限制性，这意味着当暴露最为持续时，规避提供的保护恰恰最弱。</w:t>
      </w:r>
    </w:p>
    <w:p>
      <w:pPr>
        <w:pStyle w:val="BodyText"/>
      </w:pPr>
      <w:r>
        <w:t xml:space="preserve">第二，家庭在损害发生后进行补偿。胎儿起源文献确立了早期生命创伤具有长期后果（Almond &amp; Currie, 2011; Almond, Currie, &amp; Duque, 2018; Currie &amp; Vogl, 2013），但同时也确立了观测到的长期效应是生物学创伤与父母对该创伤的反应二者的合成（Almond &amp; Mazumder, 2013）。Bharadwaj、Eberhard 与 Neilson（2018）表明父母投资对出生时健康作出反应并塑造学业结果。Deuchert 与 Felfe（2015）发现台风损失通过降低父母教育投资造成持续的教育损失，其中女童、独生子女与资源匮乏家庭的损失最大。父母反应的方向在理论上不确定、在经验上多变，这意味着按家庭财富分层的异质性结果本身无法区分规避与补偿。</w:t>
      </w:r>
    </w:p>
    <w:p>
      <w:pPr>
        <w:pStyle w:val="BodyText"/>
      </w:pPr>
      <w:r>
        <w:t xml:space="preserve">第三，制度替代家庭资源。Park、Goodman、Hurwitz 与 Smith（2020）发现在无空调条件下学年气温每升高 1 华氏度使当年学习成效下降约 1%，学校空调几乎完全抵消该惩罚，且高温日约解释美国种族成绩差距的 5%。Gilraine（2025）利用 Aliso Canyon 泄漏事件周边的空间断点，发现教室空气过滤器使测验成绩提高 0.1 至 0.2 个标准差，并将收益归因于清除普通室内污染物而非泄漏特有污染物。Garg、Jagnani 与 Taraz（2020）发现印度的全国性以工代赈项目大幅削弱了气温与测验成绩的关联。这三项结果是“暴露到福祉的映射是政策变量而非生物学常数”这一命题最有力的既有证据。</w:t>
      </w:r>
    </w:p>
    <w:p>
      <w:pPr>
        <w:pStyle w:val="BodyText"/>
      </w:pPr>
      <w:r>
        <w:t xml:space="preserve">尚未解决的问题是：在复合暴露条件下，三条通道的相对量级与可替代性如何。Liu 等（2022）提供了最直接的证据，即父母教育的保护边际在环境条件更严峻时扩大，但该结果与三条通道均相容，对任何一条都不具决定性。</w:t>
      </w:r>
    </w:p>
    <w:bookmarkEnd w:id="32"/>
    <w:bookmarkStart w:id="33" w:name="争论四比较风险评估用来做什么"/>
    <w:p>
      <w:pPr>
        <w:pStyle w:val="Heading3"/>
      </w:pPr>
      <w:r>
        <w:t xml:space="preserve">4.4 争论四：比较风险评估用来做什么</w:t>
      </w:r>
    </w:p>
    <w:p>
      <w:pPr>
        <w:pStyle w:val="FirstParagraph"/>
      </w:pPr>
      <w:r>
        <w:t xml:space="preserve">GBD 框架提供标准化的暴露分布、暴露反应关系、理论最小风险暴露水平、人群归因分值以及统一度量下的负担估计。当前周期为 GBD 2023，其旗舰成果于 2025 年 10 月以两篇姊妹论文发表（GBD 2023 Causes of Death Collaborators, 2025; GBD 2023 Disease and Injury and Risk Factor Collaborators, 2025）。该周期的一项结构性变化关系到引用准确性：此前分列的伤残调整生命年旗舰论文与风险因素旗舰论文已合并为一篇，因此不存在单独的 GBD 2023 风险因素论文；同时，次国家层级覆盖由 GBD 2021 的 811 个地点调整为 660 个。GBD 2021 风险因素旗舰论文仍是使用最广的风险参考文献，其报告颗粒物污染为全球伤残调整生命年的首位贡献因素，占比 8.0%（GBD 2021 Risk Factors Collaborators, 2024）。对比较风险评估机制最完整的叙述性文献仍是 GBD 2019 风险因素旗舰论文（GBD 2019 Risk Factors Collaborators, 2020）。</w:t>
      </w:r>
    </w:p>
    <w:p>
      <w:pPr>
        <w:pStyle w:val="BodyText"/>
      </w:pPr>
      <w:r>
        <w:t xml:space="preserve">产生这些结果的方法有据可查，也可被质疑。带剔除的 MR-BRT 元回归支撑合并剂量反应曲线（Zheng, Barber, Sorensen, Murray, &amp; Aravkin, 2021）；现已附加于每一对风险与结局的举证责任风险函数与星级评定将证据强度形式化（Zheng 等, 2022）。就颗粒物而言，整合暴露反应函数（Burnett 等, 2014）已被仅基于环境暴露队列拟合的全球暴露死亡模型取代（Burnett 等, 2018），二者给出的归因死亡数存在实质差异。</w:t>
      </w:r>
    </w:p>
    <w:p>
      <w:pPr>
        <w:pStyle w:val="BodyText"/>
      </w:pPr>
      <w:r>
        <w:t xml:space="preserve">相关批评具有实质内容，本项目将其作为约束条件而非予以回避。Byass 等（2013）质疑其可重复性与透明度，以及在原始数据稀疏处主要由协变量驱动插补所生成的国别估计的可信度。Glenn、Gu、Hu、Wang 与 Willett（2023）指出举证责任方法中保守的研究间异质性调整会系统性低估已确立的风险关系。Husøy、Stovner 与 Steiner（2025）记录了低质量 GBD 二次分析的泛滥，这类分析将模型化产出当作观测数据报告。Bhutta（2025）在 GBD 次国家范围扩张之际提出准确性、完整性与外部效度方面的关切。Murray（2022）则给出该框架自身对其设计选择与局限的说明。</w:t>
      </w:r>
    </w:p>
    <w:p>
      <w:pPr>
        <w:pStyle w:val="BodyText"/>
      </w:pPr>
      <w:r>
        <w:t xml:space="preserve">因此，争论不在于 GBD 是否有用，而在于它能承担多重的推断负荷。本项目的立场以规则形式写入第 10.1 节，并在分析方案中强制执行：GBD 产出用于标准化暴露描述、基准比对与反事实负担核算，绝不用作个体层面因果效应的证据。当本项目自身的准实验估计与 GBD 隐含关系不一致时，报告并追问该不一致，而不以调整手段将其抹平。</w:t>
      </w:r>
    </w:p>
    <w:bookmarkEnd w:id="33"/>
    <w:bookmarkStart w:id="34" w:name="争论五早期生命环境效应的持久性"/>
    <w:p>
      <w:pPr>
        <w:pStyle w:val="Heading3"/>
      </w:pPr>
      <w:r>
        <w:t xml:space="preserve">4.5 争论五：早期生命环境效应的持久性</w:t>
      </w:r>
    </w:p>
    <w:p>
      <w:pPr>
        <w:pStyle w:val="FirstParagraph"/>
      </w:pPr>
      <w:r>
        <w:t xml:space="preserve">胎儿起源文献总体上确立了持久性（Almond &amp; Currie, 2011; Almond, Currie, &amp; Duque, 2018），具体的环境应用也支持这一点。Bharadwaj、Gibson、Graff Zivin 与 Neilson（2017）利用智利行政数据中的同胞比较，发现胎儿期一氧化碳暴露降低四年级数学与语言成绩。Isen、Rossin-Slater 与 Walker（2017）将出生季节与气温暴露同后期生命福祉相联结。Randell 与 Gray（2019）在 29 个热带国家中发现，孕期与早期生命的高温暴露降低 12 至 16 岁儿童的受教育年限，东南亚的惩罚最大。</w:t>
      </w:r>
    </w:p>
    <w:p>
      <w:pPr>
        <w:pStyle w:val="BodyText"/>
      </w:pPr>
      <w:r>
        <w:t xml:space="preserve">然而持久性并非普遍成立，原因在于阶段 4。Rosales-Rueda（2018）研究厄瓜多尔厄尔尼诺洪涝；Caruso（2017）记录拉丁美洲百年灾害的代际传递；Groppo 与 Kraehnert（2017）估计极端天气事件的教育效应。这些研究在衰减程度上的差异，很可能是家庭与制度反应的差异而非生物学的差异。这一点可检验，组件 C 的设计正是通过直接测量反应而非从残差推断反应来检验它。</w:t>
      </w:r>
    </w:p>
    <w:bookmarkEnd w:id="34"/>
    <w:bookmarkStart w:id="35" w:name="本项目所针对的空白"/>
    <w:p>
      <w:pPr>
        <w:pStyle w:val="Heading3"/>
      </w:pPr>
      <w:r>
        <w:t xml:space="preserve">4.6 本项目所针对的空白</w:t>
      </w:r>
    </w:p>
    <w:p>
      <w:pPr>
        <w:pStyle w:val="FirstParagraph"/>
      </w:pPr>
      <w:r>
        <w:t xml:space="preserve">综合上述五场争论可以给出空白的精确表述。文献已确立：污染危害儿童，高温危害儿童，两类效应均存在社会分层，成人死亡率对联合暴露呈超相加反应。文献尚未确立：儿童福祉是否呈超相加反应，在何种尺度上呈现，经由三条适应通道中的哪一条，交互本身的社会分层程度如何，以及在可行政策下由此产生的负担中有多大份额可被预防。这些是彼此独立的经验问题，且均可由第 7 节所述数据架构回答。</w:t>
      </w:r>
    </w:p>
    <w:p>
      <w:r>
        <w:pict>
          <v:rect style="width:0;height:1.5pt" o:hralign="center" o:hrstd="t" o:hr="t"/>
        </w:pict>
      </w:r>
    </w:p>
    <w:bookmarkEnd w:id="35"/>
    <w:bookmarkEnd w:id="36"/>
    <w:bookmarkStart w:id="37" w:name="研究目标"/>
    <w:p>
      <w:pPr>
        <w:pStyle w:val="Heading2"/>
      </w:pPr>
      <w:r>
        <w:t xml:space="preserve">5. 研究目标</w:t>
      </w:r>
    </w:p>
    <w:p>
      <w:pPr>
        <w:pStyle w:val="FirstParagraph"/>
      </w:pPr>
      <w:r>
        <w:t xml:space="preserve">项目设五项目标，各自对应一个组件，且均以其达成与否可被观察的方式陈述。</w:t>
      </w:r>
    </w:p>
    <w:p>
      <w:pPr>
        <w:pStyle w:val="BodyText"/>
      </w:pPr>
      <w:r>
        <w:rPr>
          <w:bCs/>
          <w:b/>
        </w:rPr>
        <w:t xml:space="preserve">目标一。</w:t>
      </w:r>
      <w:r>
        <w:t xml:space="preserve"> </w:t>
      </w:r>
      <w:r>
        <w:t xml:space="preserve">构建并发布 2000 至 2023 年中国区县日度复合气候与污染暴露记录，附儿童人口分母，并量化复合暴露在社会经济分层间的分布。</w:t>
      </w:r>
    </w:p>
    <w:p>
      <w:pPr>
        <w:pStyle w:val="BodyText"/>
      </w:pPr>
      <w:r>
        <w:rPr>
          <w:bCs/>
          <w:b/>
        </w:rPr>
        <w:t xml:space="preserve">目标二。</w:t>
      </w:r>
      <w:r>
        <w:t xml:space="preserve"> </w:t>
      </w:r>
      <w:r>
        <w:t xml:space="preserve">估计孕期特定窗口与幼儿期复合暴露对出生结局、生长、呼吸系统患病以及早期认知与教育结局的影响，交互在相加尺度上评估。</w:t>
      </w:r>
    </w:p>
    <w:p>
      <w:pPr>
        <w:pStyle w:val="BodyText"/>
      </w:pPr>
      <w:r>
        <w:rPr>
          <w:bCs/>
          <w:b/>
        </w:rPr>
        <w:t xml:space="preserve">目标三。</w:t>
      </w:r>
      <w:r>
        <w:t xml:space="preserve"> </w:t>
      </w:r>
      <w:r>
        <w:t xml:space="preserve">识别调节上述效应的家庭、学校与卫生系统资源，并将调节作用分解为规避、补偿与制度替代。</w:t>
      </w:r>
    </w:p>
    <w:p>
      <w:pPr>
        <w:pStyle w:val="BodyText"/>
      </w:pPr>
      <w:r>
        <w:rPr>
          <w:bCs/>
          <w:b/>
        </w:rPr>
        <w:t xml:space="preserve">目标四。</w:t>
      </w:r>
      <w:r>
        <w:t xml:space="preserve"> </w:t>
      </w:r>
      <w:r>
        <w:t xml:space="preserve">检验所估关系在其他中低收入场景是否成立，先估计分国模型，并将差异视为关于适用边界条件的信息。</w:t>
      </w:r>
    </w:p>
    <w:p>
      <w:pPr>
        <w:pStyle w:val="BodyText"/>
      </w:pPr>
      <w:r>
        <w:rPr>
          <w:bCs/>
          <w:b/>
        </w:rPr>
        <w:t xml:space="preserve">目标五。</w:t>
      </w:r>
      <w:r>
        <w:t xml:space="preserve"> </w:t>
      </w:r>
      <w:r>
        <w:t xml:space="preserve">将所估关系转化为可行暴露削减情景下的反事实负担与福祉估计，分别报告总量结果与分配加权结果。</w:t>
      </w:r>
    </w:p>
    <w:p>
      <w:r>
        <w:pict>
          <v:rect style="width:0;height:1.5pt" o:hralign="center" o:hrstd="t" o:hr="t"/>
        </w:pict>
      </w:r>
    </w:p>
    <w:bookmarkEnd w:id="37"/>
    <w:bookmarkStart w:id="44" w:name="研究问题假设与证伪条件"/>
    <w:p>
      <w:pPr>
        <w:pStyle w:val="Heading2"/>
      </w:pPr>
      <w:r>
        <w:t xml:space="preserve">6. 研究问题、假设与证伪条件</w:t>
      </w:r>
    </w:p>
    <w:p>
      <w:pPr>
        <w:pStyle w:val="FirstParagraph"/>
      </w:pPr>
      <w:r>
        <w:t xml:space="preserve">以下每项假设均配有一项“何种观察构成拒绝”的陈述。预先写明的目的，是使零结果成为可用的发现，而非被搁置的失望。</w:t>
      </w:r>
    </w:p>
    <w:bookmarkStart w:id="38" w:name="研究问题一复合暴露在中国如何沿空间季节与社会位置分布"/>
    <w:p>
      <w:pPr>
        <w:pStyle w:val="Heading3"/>
      </w:pPr>
      <w:r>
        <w:t xml:space="preserve">研究问题一：复合暴露在中国如何沿空间、季节与社会位置分布</w:t>
      </w:r>
    </w:p>
    <w:p>
      <w:pPr>
        <w:pStyle w:val="FirstParagraph"/>
      </w:pPr>
      <w:r>
        <w:rPr>
          <w:bCs/>
          <w:b/>
        </w:rPr>
        <w:t xml:space="preserve">假设一。</w:t>
      </w:r>
      <w:r>
        <w:t xml:space="preserve"> </w:t>
      </w:r>
      <w:r>
        <w:t xml:space="preserve">高污染与高温非随机共现；复合暴露日在 2000 至 2023 年间增加；社会经济构成较低的区县中，经历复合暴露的儿童人口份额更高。</w:t>
      </w:r>
    </w:p>
    <w:p>
      <w:pPr>
        <w:pStyle w:val="BodyText"/>
      </w:pPr>
      <w:r>
        <w:rPr>
          <w:iCs/>
          <w:i/>
        </w:rPr>
        <w:t xml:space="preserve">拒绝条件：</w:t>
      </w:r>
      <w:r>
        <w:t xml:space="preserve"> </w:t>
      </w:r>
      <w:r>
        <w:t xml:space="preserve">经季节与空间调整后，复合日的观测频率不高于两个边际超阈过程相互独立时的期望频率；或复合暴露相对于区县社会经济位次的集中指数与零无法区分。</w:t>
      </w:r>
    </w:p>
    <w:p>
      <w:pPr>
        <w:pStyle w:val="BodyText"/>
      </w:pPr>
      <w:r>
        <w:rPr>
          <w:iCs/>
          <w:i/>
        </w:rPr>
        <w:t xml:space="preserve">先验预期及其来源：</w:t>
      </w:r>
      <w:r>
        <w:t xml:space="preserve"> </w:t>
      </w:r>
      <w:r>
        <w:t xml:space="preserve">Su、Jiao 与 Xu（2025）报告中国城市复合高温与臭氧暴露显著上升，这提高了假设一时间维度的先验，但其社会经济维度仍属开放。</w:t>
      </w:r>
    </w:p>
    <w:bookmarkEnd w:id="38"/>
    <w:bookmarkStart w:id="39" w:name="研究问题二气候与污染的福祉效应是相加还是交互"/>
    <w:p>
      <w:pPr>
        <w:pStyle w:val="Heading3"/>
      </w:pPr>
      <w:r>
        <w:t xml:space="preserve">研究问题二：气候与污染的福祉效应是相加还是交互</w:t>
      </w:r>
    </w:p>
    <w:p>
      <w:pPr>
        <w:pStyle w:val="FirstParagraph"/>
      </w:pPr>
      <w:r>
        <w:rPr>
          <w:bCs/>
          <w:b/>
        </w:rPr>
        <w:t xml:space="preserve">假设二。</w:t>
      </w:r>
      <w:r>
        <w:t xml:space="preserve"> </w:t>
      </w:r>
      <w:r>
        <w:t xml:space="preserve">联合高暴露下的福祉损失超过边际损失之和；即对不利二值结局而言，交互导致的相对超额风险为正；对以数值越高越好方式测量的连续结局而言，相应的相加尺度交互对比为负。</w:t>
      </w:r>
    </w:p>
    <w:p>
      <w:pPr>
        <w:pStyle w:val="BodyText"/>
      </w:pPr>
      <w:r>
        <w:rPr>
          <w:iCs/>
          <w:i/>
        </w:rPr>
        <w:t xml:space="preserve">拒绝条件：</w:t>
      </w:r>
      <w:r>
        <w:t xml:space="preserve"> </w:t>
      </w:r>
      <w:r>
        <w:t xml:space="preserve">在各主要结局上、在三种预设复合暴露操作化方式下，相加交互对比的置信区间均覆盖零，且饱和四格设定不能拒绝“联合格等于相加预测”的原假设。</w:t>
      </w:r>
    </w:p>
    <w:p>
      <w:pPr>
        <w:pStyle w:val="BodyText"/>
      </w:pPr>
      <w:r>
        <w:rPr>
          <w:iCs/>
          <w:i/>
        </w:rPr>
        <w:t xml:space="preserve">被拒绝后的处置：</w:t>
      </w:r>
      <w:r>
        <w:t xml:space="preserve"> </w:t>
      </w:r>
      <w:r>
        <w:t xml:space="preserve">项目将得出结论：在本场景中，就福祉目的而言，分列的单一暴露模型已经足够。鉴于当前学界正在形成相反的默认预设，这本身是一项具有政策相关性的否定性结果；随后资源将转向研究问题三与研究问题四。</w:t>
      </w:r>
    </w:p>
    <w:bookmarkEnd w:id="39"/>
    <w:bookmarkStart w:id="40" w:name="研究问题三在同等暴露下哪些儿童承受最大福祉损失"/>
    <w:p>
      <w:pPr>
        <w:pStyle w:val="Heading3"/>
      </w:pPr>
      <w:r>
        <w:t xml:space="preserve">研究问题三：在同等暴露下哪些儿童承受最大福祉损失</w:t>
      </w:r>
    </w:p>
    <w:p>
      <w:pPr>
        <w:pStyle w:val="FirstParagraph"/>
      </w:pPr>
      <w:r>
        <w:rPr>
          <w:bCs/>
          <w:b/>
        </w:rPr>
        <w:t xml:space="preserve">假设三。</w:t>
      </w:r>
      <w:r>
        <w:t xml:space="preserve"> </w:t>
      </w:r>
      <w:r>
        <w:t xml:space="preserve">在同等实测暴露下，父母教育较低、收入或资产较少、住房质量较差、卫生服务可及性较弱的家庭中的儿童承受更大的福祉损失，且该梯度在复合暴露下比在单一暴露下更陡。</w:t>
      </w:r>
    </w:p>
    <w:p>
      <w:pPr>
        <w:pStyle w:val="BodyText"/>
      </w:pPr>
      <w:r>
        <w:rPr>
          <w:iCs/>
          <w:i/>
        </w:rPr>
        <w:t xml:space="preserve">拒绝条件：</w:t>
      </w:r>
      <w:r>
        <w:t xml:space="preserve"> </w:t>
      </w:r>
      <w:r>
        <w:t xml:space="preserve">在使用锐化错误发现率 q 值进行多重比较校正后（Anderson, 2008），各分层估计在统计上无法区分，且暴露与社会经济指数的交互与零无法区分。</w:t>
      </w:r>
    </w:p>
    <w:bookmarkEnd w:id="40"/>
    <w:bookmarkStart w:id="41" w:name="研究问题四家庭与制度资源经由哪条通道发挥保护作用"/>
    <w:p>
      <w:pPr>
        <w:pStyle w:val="Heading3"/>
      </w:pPr>
      <w:r>
        <w:t xml:space="preserve">研究问题四：家庭与制度资源经由哪条通道发挥保护作用</w:t>
      </w:r>
    </w:p>
    <w:p>
      <w:pPr>
        <w:pStyle w:val="FirstParagraph"/>
      </w:pPr>
      <w:r>
        <w:rPr>
          <w:bCs/>
          <w:b/>
        </w:rPr>
        <w:t xml:space="preserve">假设四。</w:t>
      </w:r>
      <w:r>
        <w:t xml:space="preserve"> </w:t>
      </w:r>
      <w:r>
        <w:t xml:space="preserve">三条通道均发挥作用，但相对贡献随暴露类型而异：对长期环境污染，规避占主导；对学期内的急性高温，制度替代占主导；对洪涝等离散冲击，补偿占主导。</w:t>
      </w:r>
    </w:p>
    <w:p>
      <w:pPr>
        <w:pStyle w:val="BodyText"/>
      </w:pPr>
      <w:r>
        <w:rPr>
          <w:iCs/>
          <w:i/>
        </w:rPr>
        <w:t xml:space="preserve">拒绝条件：</w:t>
      </w:r>
      <w:r>
        <w:t xml:space="preserve"> </w:t>
      </w:r>
      <w:r>
        <w:t xml:space="preserve">在控制家庭资源后，实测规避行为、防御性支出与学校基础设施与暴露效应大小均无关联。此结果将指向：观测到的社会经济梯度源自生物易感性差异或暴露错配，而非源自行为。</w:t>
      </w:r>
    </w:p>
    <w:bookmarkEnd w:id="41"/>
    <w:bookmarkStart w:id="42" w:name="研究问题五早期复合暴露是否具有持久的福祉后果家庭反应是否使其衰减"/>
    <w:p>
      <w:pPr>
        <w:pStyle w:val="Heading3"/>
      </w:pPr>
      <w:r>
        <w:t xml:space="preserve">研究问题五：早期复合暴露是否具有持久的福祉后果，家庭反应是否使其衰减</w:t>
      </w:r>
    </w:p>
    <w:p>
      <w:pPr>
        <w:pStyle w:val="FirstParagraph"/>
      </w:pPr>
      <w:r>
        <w:rPr>
          <w:bCs/>
          <w:b/>
        </w:rPr>
        <w:t xml:space="preserve">假设五。</w:t>
      </w:r>
      <w:r>
        <w:t xml:space="preserve"> </w:t>
      </w:r>
      <w:r>
        <w:t xml:space="preserve">早期生命复合暴露与健康及教育轨迹的持久差异相关联，且随时间的衰减程度随家庭与制度资源上升。</w:t>
      </w:r>
    </w:p>
    <w:p>
      <w:pPr>
        <w:pStyle w:val="BodyText"/>
      </w:pPr>
      <w:r>
        <w:rPr>
          <w:iCs/>
          <w:i/>
        </w:rPr>
        <w:t xml:space="preserve">拒绝条件：</w:t>
      </w:r>
      <w:r>
        <w:t xml:space="preserve"> </w:t>
      </w:r>
      <w:r>
        <w:t xml:space="preserve">在检出婴儿期效应的同一队列中，10 岁及以上的效应与零无法区分，且衰减程度不随资源变化。</w:t>
      </w:r>
    </w:p>
    <w:bookmarkEnd w:id="42"/>
    <w:bookmarkStart w:id="43" w:name="研究问题六儿童福祉负担中可预防的份额有多大其分布如何"/>
    <w:p>
      <w:pPr>
        <w:pStyle w:val="Heading3"/>
      </w:pPr>
      <w:r>
        <w:t xml:space="preserve">研究问题六：儿童福祉负担中可预防的份额有多大，其分布如何</w:t>
      </w:r>
    </w:p>
    <w:p>
      <w:pPr>
        <w:pStyle w:val="FirstParagraph"/>
      </w:pPr>
      <w:r>
        <w:rPr>
          <w:bCs/>
          <w:b/>
        </w:rPr>
        <w:t xml:space="preserve">假设六。</w:t>
      </w:r>
      <w:r>
        <w:t xml:space="preserve"> </w:t>
      </w:r>
      <w:r>
        <w:t xml:space="preserve">集中于高复合暴露且低资源人群的定向暴露削减，其公平加权福祉收益大于实现同等全国平均暴露变化的统一削减。</w:t>
      </w:r>
    </w:p>
    <w:p>
      <w:pPr>
        <w:pStyle w:val="BodyText"/>
      </w:pPr>
      <w:r>
        <w:rPr>
          <w:iCs/>
          <w:i/>
        </w:rPr>
        <w:t xml:space="preserve">拒绝条件：</w:t>
      </w:r>
      <w:r>
        <w:t xml:space="preserve"> </w:t>
      </w:r>
      <w:r>
        <w:t xml:space="preserve">在预设的不平等厌恶参数下，定向情景与统一情景的公平加权收益无法区分。若复合暴露与低资源在空间上并不重合，即会出现该结果。</w:t>
      </w:r>
    </w:p>
    <w:p>
      <w:r>
        <w:pict>
          <v:rect style="width:0;height:1.5pt" o:hralign="center" o:hrstd="t" o:hr="t"/>
        </w:pict>
      </w:r>
    </w:p>
    <w:bookmarkEnd w:id="43"/>
    <w:bookmarkEnd w:id="44"/>
    <w:bookmarkStart w:id="49" w:name="数据架构"/>
    <w:p>
      <w:pPr>
        <w:pStyle w:val="Heading2"/>
      </w:pPr>
      <w:r>
        <w:t xml:space="preserve">7. 数据架构</w:t>
      </w:r>
    </w:p>
    <w:bookmarkStart w:id="45" w:name="暴露数据"/>
    <w:p>
      <w:pPr>
        <w:pStyle w:val="Heading3"/>
      </w:pPr>
      <w:r>
        <w:t xml:space="preserve">7.1 暴露数据</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领域</w:t>
            </w:r>
          </w:p>
        </w:tc>
        <w:tc>
          <w:tcPr/>
          <w:p>
            <w:pPr>
              <w:pStyle w:val="Compact"/>
              <w:jc w:val="left"/>
            </w:pPr>
            <w:r>
              <w:t xml:space="preserve">主用数据源</w:t>
            </w:r>
          </w:p>
        </w:tc>
        <w:tc>
          <w:tcPr/>
          <w:p>
            <w:pPr>
              <w:pStyle w:val="Compact"/>
              <w:jc w:val="left"/>
            </w:pPr>
            <w:r>
              <w:t xml:space="preserve">交叉验证数据源</w:t>
            </w:r>
          </w:p>
        </w:tc>
        <w:tc>
          <w:tcPr/>
          <w:p>
            <w:pPr>
              <w:pStyle w:val="Compact"/>
              <w:jc w:val="left"/>
            </w:pPr>
            <w:r>
              <w:t xml:space="preserve">分辨率</w:t>
            </w:r>
          </w:p>
        </w:tc>
        <w:tc>
          <w:tcPr/>
          <w:p>
            <w:pPr>
              <w:pStyle w:val="Compact"/>
              <w:jc w:val="left"/>
            </w:pPr>
            <w:r>
              <w:t xml:space="preserve">用途</w:t>
            </w:r>
          </w:p>
        </w:tc>
      </w:tr>
      <w:tr>
        <w:tc>
          <w:tcPr/>
          <w:p>
            <w:pPr>
              <w:pStyle w:val="Compact"/>
              <w:jc w:val="left"/>
            </w:pPr>
            <w:r>
              <w:t xml:space="preserve">中国环境 PM2.5</w:t>
            </w:r>
          </w:p>
        </w:tc>
        <w:tc>
          <w:tcPr/>
          <w:p>
            <w:pPr>
              <w:pStyle w:val="Compact"/>
              <w:jc w:val="left"/>
            </w:pPr>
            <w:r>
              <w:t xml:space="preserve">ChinaHighAirPollutants 之 ChinaHighPM2.5（Wei 等, 2021）</w:t>
            </w:r>
          </w:p>
        </w:tc>
        <w:tc>
          <w:tcPr/>
          <w:p>
            <w:pPr>
              <w:pStyle w:val="Compact"/>
              <w:jc w:val="left"/>
            </w:pPr>
            <w:r>
              <w:t xml:space="preserve">Tracking Air Pollution in China（Geng 等, 2021）</w:t>
            </w:r>
          </w:p>
        </w:tc>
        <w:tc>
          <w:tcPr/>
          <w:p>
            <w:pPr>
              <w:pStyle w:val="Compact"/>
              <w:jc w:val="left"/>
            </w:pPr>
            <w:r>
              <w:t xml:space="preserve">1 公里日度；10 公里日度</w:t>
            </w:r>
          </w:p>
        </w:tc>
        <w:tc>
          <w:tcPr/>
          <w:p>
            <w:pPr>
              <w:pStyle w:val="Compact"/>
              <w:jc w:val="left"/>
            </w:pPr>
            <w:r>
              <w:t xml:space="preserve">主暴露赋值与测量误差校正</w:t>
            </w:r>
          </w:p>
        </w:tc>
      </w:tr>
      <w:tr>
        <w:tc>
          <w:tcPr/>
          <w:p>
            <w:pPr>
              <w:pStyle w:val="Compact"/>
              <w:jc w:val="left"/>
            </w:pPr>
            <w:r>
              <w:t xml:space="preserve">全球环境 PM2.5</w:t>
            </w:r>
          </w:p>
        </w:tc>
        <w:tc>
          <w:tcPr/>
          <w:p>
            <w:pPr>
              <w:pStyle w:val="Compact"/>
              <w:jc w:val="left"/>
            </w:pPr>
            <w:r>
              <w:t xml:space="preserve">van Donkelaar 等（2021）V5.GL，含逐像元不确定性</w:t>
            </w:r>
          </w:p>
        </w:tc>
        <w:tc>
          <w:tcPr/>
          <w:p>
            <w:pPr>
              <w:pStyle w:val="Compact"/>
              <w:jc w:val="left"/>
            </w:pPr>
            <w:r>
              <w:t xml:space="preserve">Hammer 等（2020）V4，用于趋势衔接</w:t>
            </w:r>
          </w:p>
        </w:tc>
        <w:tc>
          <w:tcPr/>
          <w:p>
            <w:pPr>
              <w:pStyle w:val="Compact"/>
              <w:jc w:val="left"/>
            </w:pPr>
            <w:r>
              <w:t xml:space="preserve">0.01 度月度</w:t>
            </w:r>
          </w:p>
        </w:tc>
        <w:tc>
          <w:tcPr/>
          <w:p>
            <w:pPr>
              <w:pStyle w:val="Compact"/>
              <w:jc w:val="left"/>
            </w:pPr>
            <w:r>
              <w:t xml:space="preserve">比较组件暴露赋值</w:t>
            </w:r>
          </w:p>
        </w:tc>
      </w:tr>
      <w:tr>
        <w:tc>
          <w:tcPr/>
          <w:p>
            <w:pPr>
              <w:pStyle w:val="Compact"/>
              <w:jc w:val="left"/>
            </w:pPr>
            <w:r>
              <w:t xml:space="preserve">中国近地面臭氧</w:t>
            </w:r>
          </w:p>
        </w:tc>
        <w:tc>
          <w:tcPr/>
          <w:p>
            <w:pPr>
              <w:pStyle w:val="Compact"/>
              <w:jc w:val="left"/>
            </w:pPr>
            <w:r>
              <w:t xml:space="preserve">ChinaHighAirPollutants 臭氧产品</w:t>
            </w:r>
          </w:p>
        </w:tc>
        <w:tc>
          <w:tcPr/>
          <w:p>
            <w:pPr>
              <w:pStyle w:val="Compact"/>
              <w:jc w:val="left"/>
            </w:pPr>
            <w:r>
              <w:t xml:space="preserve">2013 年起地面监测网</w:t>
            </w:r>
          </w:p>
        </w:tc>
        <w:tc>
          <w:tcPr/>
          <w:p>
            <w:pPr>
              <w:pStyle w:val="Compact"/>
              <w:jc w:val="left"/>
            </w:pPr>
            <w:r>
              <w:t xml:space="preserve">1 公里日度</w:t>
            </w:r>
          </w:p>
        </w:tc>
        <w:tc>
          <w:tcPr/>
          <w:p>
            <w:pPr>
              <w:pStyle w:val="Compact"/>
              <w:jc w:val="left"/>
            </w:pPr>
            <w:r>
              <w:t xml:space="preserve">臭氧与高温复合暴露</w:t>
            </w:r>
          </w:p>
        </w:tc>
      </w:tr>
      <w:tr>
        <w:tc>
          <w:tcPr/>
          <w:p>
            <w:pPr>
              <w:pStyle w:val="Compact"/>
              <w:jc w:val="left"/>
            </w:pPr>
            <w:r>
              <w:t xml:space="preserve">气温与湿度</w:t>
            </w:r>
          </w:p>
        </w:tc>
        <w:tc>
          <w:tcPr/>
          <w:p>
            <w:pPr>
              <w:pStyle w:val="Compact"/>
              <w:jc w:val="left"/>
            </w:pPr>
            <w:r>
              <w:t xml:space="preserve">ERA5 与 ERA5-Land（Hersbach 等, 2020）</w:t>
            </w:r>
          </w:p>
        </w:tc>
        <w:tc>
          <w:tcPr/>
          <w:p>
            <w:pPr>
              <w:pStyle w:val="Compact"/>
              <w:jc w:val="left"/>
            </w:pPr>
            <w:r>
              <w:t xml:space="preserve">地面气象站网</w:t>
            </w:r>
          </w:p>
        </w:tc>
        <w:tc>
          <w:tcPr/>
          <w:p>
            <w:pPr>
              <w:pStyle w:val="Compact"/>
              <w:jc w:val="left"/>
            </w:pPr>
            <w:r>
              <w:t xml:space="preserve">小时，31 公里与 9 公里</w:t>
            </w:r>
          </w:p>
        </w:tc>
        <w:tc>
          <w:tcPr/>
          <w:p>
            <w:pPr>
              <w:pStyle w:val="Compact"/>
              <w:jc w:val="left"/>
            </w:pPr>
            <w:r>
              <w:t xml:space="preserve">含湿球近似的热暴露指标</w:t>
            </w:r>
          </w:p>
        </w:tc>
      </w:tr>
      <w:tr>
        <w:tc>
          <w:tcPr/>
          <w:p>
            <w:pPr>
              <w:pStyle w:val="Compact"/>
              <w:jc w:val="left"/>
            </w:pPr>
            <w:r>
              <w:t xml:space="preserve">降水</w:t>
            </w:r>
          </w:p>
        </w:tc>
        <w:tc>
          <w:tcPr/>
          <w:p>
            <w:pPr>
              <w:pStyle w:val="Compact"/>
              <w:jc w:val="left"/>
            </w:pPr>
            <w:r>
              <w:t xml:space="preserve">CHIRPS（Funk 等, 2015）</w:t>
            </w:r>
          </w:p>
        </w:tc>
        <w:tc>
          <w:tcPr/>
          <w:p>
            <w:pPr>
              <w:pStyle w:val="Compact"/>
              <w:jc w:val="left"/>
            </w:pPr>
            <w:r>
              <w:t xml:space="preserve">ERA5-Land 总降水</w:t>
            </w:r>
          </w:p>
        </w:tc>
        <w:tc>
          <w:tcPr/>
          <w:p>
            <w:pPr>
              <w:pStyle w:val="Compact"/>
              <w:jc w:val="left"/>
            </w:pPr>
            <w:r>
              <w:t xml:space="preserve">0.05 度日度</w:t>
            </w:r>
          </w:p>
        </w:tc>
        <w:tc>
          <w:tcPr/>
          <w:p>
            <w:pPr>
              <w:pStyle w:val="Compact"/>
              <w:jc w:val="left"/>
            </w:pPr>
            <w:r>
              <w:t xml:space="preserve">干旱与洪涝指标</w:t>
            </w:r>
          </w:p>
        </w:tc>
      </w:tr>
      <w:tr>
        <w:tc>
          <w:tcPr/>
          <w:p>
            <w:pPr>
              <w:pStyle w:val="Compact"/>
              <w:jc w:val="left"/>
            </w:pPr>
            <w:r>
              <w:t xml:space="preserve">未来情景</w:t>
            </w:r>
          </w:p>
        </w:tc>
        <w:tc>
          <w:tcPr/>
          <w:p>
            <w:pPr>
              <w:pStyle w:val="Compact"/>
              <w:jc w:val="left"/>
            </w:pPr>
            <w:r>
              <w:t xml:space="preserve">CMIP6（Eyring 等, 2016），ScenarioMIP 路径（O’Neill 等, 2016），SSP 叙事（Riahi 等, 2017）</w:t>
            </w:r>
          </w:p>
        </w:tc>
        <w:tc>
          <w:tcPr/>
          <w:p>
            <w:pPr>
              <w:pStyle w:val="Compact"/>
              <w:jc w:val="left"/>
            </w:pPr>
            <w:r>
              <w:t xml:space="preserve">多模式集合离散度</w:t>
            </w:r>
          </w:p>
        </w:tc>
        <w:tc>
          <w:tcPr/>
          <w:p>
            <w:pPr>
              <w:pStyle w:val="Compact"/>
              <w:jc w:val="left"/>
            </w:pPr>
            <w:r>
              <w:t xml:space="preserve">模式原生分辨率，经偏差订正</w:t>
            </w:r>
          </w:p>
        </w:tc>
        <w:tc>
          <w:tcPr/>
          <w:p>
            <w:pPr>
              <w:pStyle w:val="Compact"/>
              <w:jc w:val="left"/>
            </w:pPr>
            <w:r>
              <w:t xml:space="preserve">仅用于预测组件</w:t>
            </w:r>
          </w:p>
        </w:tc>
      </w:tr>
    </w:tbl>
    <w:p>
      <w:pPr>
        <w:pStyle w:val="BodyText"/>
      </w:pPr>
      <w:r>
        <w:t xml:space="preserve">两项测量决策需要明示，因为其后果重大。第一，暴露在结局数据所允许的最细空间单元上赋值，随后再向上汇总，绝不反向操作；先汇总后链接会同时引入经典与非经典误差。第二，本项目有意为中国保留两套彼此独立的 PM2.5 产品，以便利用二者之差刻画暴露测量误差，而不是将其忽略。校正方法见第 9.6 节。</w:t>
      </w:r>
    </w:p>
    <w:bookmarkEnd w:id="45"/>
    <w:bookmarkStart w:id="46" w:name="结局与住户数据"/>
    <w:p>
      <w:pPr>
        <w:pStyle w:val="Heading3"/>
      </w:pPr>
      <w:r>
        <w:t xml:space="preserve">7.2 结局与住户数据</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场景</w:t>
            </w:r>
          </w:p>
        </w:tc>
        <w:tc>
          <w:tcPr/>
          <w:p>
            <w:pPr>
              <w:pStyle w:val="Compact"/>
              <w:jc w:val="left"/>
            </w:pPr>
            <w:r>
              <w:t xml:space="preserve">数据源</w:t>
            </w:r>
          </w:p>
        </w:tc>
        <w:tc>
          <w:tcPr/>
          <w:p>
            <w:pPr>
              <w:pStyle w:val="Compact"/>
              <w:jc w:val="left"/>
            </w:pPr>
            <w:r>
              <w:t xml:space="preserve">结局领域</w:t>
            </w:r>
          </w:p>
        </w:tc>
        <w:tc>
          <w:tcPr/>
          <w:p>
            <w:pPr>
              <w:pStyle w:val="Compact"/>
              <w:jc w:val="left"/>
            </w:pPr>
            <w:r>
              <w:t xml:space="preserve">设计用途</w:t>
            </w:r>
          </w:p>
        </w:tc>
      </w:tr>
      <w:tr>
        <w:tc>
          <w:tcPr/>
          <w:p>
            <w:pPr>
              <w:pStyle w:val="Compact"/>
              <w:jc w:val="left"/>
            </w:pPr>
            <w:r>
              <w:t xml:space="preserve">中国</w:t>
            </w:r>
          </w:p>
        </w:tc>
        <w:tc>
          <w:tcPr/>
          <w:p>
            <w:pPr>
              <w:pStyle w:val="Compact"/>
              <w:jc w:val="left"/>
            </w:pPr>
            <w:r>
              <w:t xml:space="preserve">行政出生登记与医院分娩记录（须经数据使用协议）</w:t>
            </w:r>
          </w:p>
        </w:tc>
        <w:tc>
          <w:tcPr/>
          <w:p>
            <w:pPr>
              <w:pStyle w:val="Compact"/>
              <w:jc w:val="left"/>
            </w:pPr>
            <w:r>
              <w:t xml:space="preserve">出生体重、孕周、早产、先天异常</w:t>
            </w:r>
          </w:p>
        </w:tc>
        <w:tc>
          <w:tcPr/>
          <w:p>
            <w:pPr>
              <w:pStyle w:val="Compact"/>
              <w:jc w:val="left"/>
            </w:pPr>
            <w:r>
              <w:t xml:space="preserve">组件 B，母亲内部与区县内部设计</w:t>
            </w:r>
          </w:p>
        </w:tc>
      </w:tr>
      <w:tr>
        <w:tc>
          <w:tcPr/>
          <w:p>
            <w:pPr>
              <w:pStyle w:val="Compact"/>
              <w:jc w:val="left"/>
            </w:pPr>
            <w:r>
              <w:t xml:space="preserve">中国</w:t>
            </w:r>
          </w:p>
        </w:tc>
        <w:tc>
          <w:tcPr/>
          <w:p>
            <w:pPr>
              <w:pStyle w:val="Compact"/>
              <w:jc w:val="left"/>
            </w:pPr>
            <w:r>
              <w:t xml:space="preserve">中国家庭追踪调查（Xie &amp; Lu, 2015）</w:t>
            </w:r>
          </w:p>
        </w:tc>
        <w:tc>
          <w:tcPr/>
          <w:p>
            <w:pPr>
              <w:pStyle w:val="Compact"/>
              <w:jc w:val="left"/>
            </w:pPr>
            <w:r>
              <w:t xml:space="preserve">家庭收入与支出、儿童健康、认知、就学、迁移</w:t>
            </w:r>
          </w:p>
        </w:tc>
        <w:tc>
          <w:tcPr/>
          <w:p>
            <w:pPr>
              <w:pStyle w:val="Compact"/>
              <w:jc w:val="left"/>
            </w:pPr>
            <w:r>
              <w:t xml:space="preserve">组件 C，兼作组件 B 的辅助</w:t>
            </w:r>
          </w:p>
        </w:tc>
      </w:tr>
      <w:tr>
        <w:tc>
          <w:tcPr/>
          <w:p>
            <w:pPr>
              <w:pStyle w:val="Compact"/>
              <w:jc w:val="left"/>
            </w:pPr>
            <w:r>
              <w:t xml:space="preserve">中国</w:t>
            </w:r>
          </w:p>
        </w:tc>
        <w:tc>
          <w:tcPr/>
          <w:p>
            <w:pPr>
              <w:pStyle w:val="Compact"/>
              <w:jc w:val="left"/>
            </w:pPr>
            <w:r>
              <w:t xml:space="preserve">中国健康与营养调查（Popkin, Du, Zhai, &amp; Zhang, 2010）</w:t>
            </w:r>
          </w:p>
        </w:tc>
        <w:tc>
          <w:tcPr/>
          <w:p>
            <w:pPr>
              <w:pStyle w:val="Compact"/>
              <w:jc w:val="left"/>
            </w:pPr>
            <w:r>
              <w:t xml:space="preserve">体格测量、营养、家庭燃料使用</w:t>
            </w:r>
          </w:p>
        </w:tc>
        <w:tc>
          <w:tcPr/>
          <w:p>
            <w:pPr>
              <w:pStyle w:val="Compact"/>
              <w:jc w:val="left"/>
            </w:pPr>
            <w:r>
              <w:t xml:space="preserve">组件 C，生长与营养</w:t>
            </w:r>
          </w:p>
        </w:tc>
      </w:tr>
      <w:tr>
        <w:tc>
          <w:tcPr/>
          <w:p>
            <w:pPr>
              <w:pStyle w:val="Compact"/>
              <w:jc w:val="left"/>
            </w:pPr>
            <w:r>
              <w:t xml:space="preserve">中国</w:t>
            </w:r>
          </w:p>
        </w:tc>
        <w:tc>
          <w:tcPr/>
          <w:p>
            <w:pPr>
              <w:pStyle w:val="Compact"/>
              <w:jc w:val="left"/>
            </w:pPr>
            <w:r>
              <w:t xml:space="preserve">中国教育追踪调查</w:t>
            </w:r>
          </w:p>
        </w:tc>
        <w:tc>
          <w:tcPr/>
          <w:p>
            <w:pPr>
              <w:pStyle w:val="Compact"/>
              <w:jc w:val="left"/>
            </w:pPr>
            <w:r>
              <w:t xml:space="preserve">出勤、学习、学校特征</w:t>
            </w:r>
          </w:p>
        </w:tc>
        <w:tc>
          <w:tcPr/>
          <w:p>
            <w:pPr>
              <w:pStyle w:val="Compact"/>
              <w:jc w:val="left"/>
            </w:pPr>
            <w:r>
              <w:t xml:space="preserve">组件 C，就学</w:t>
            </w:r>
          </w:p>
        </w:tc>
      </w:tr>
      <w:tr>
        <w:tc>
          <w:tcPr/>
          <w:p>
            <w:pPr>
              <w:pStyle w:val="Compact"/>
              <w:jc w:val="left"/>
            </w:pPr>
            <w:r>
              <w:t xml:space="preserve">印度与比较国家</w:t>
            </w:r>
          </w:p>
        </w:tc>
        <w:tc>
          <w:tcPr/>
          <w:p>
            <w:pPr>
              <w:pStyle w:val="Compact"/>
              <w:jc w:val="left"/>
            </w:pPr>
            <w:r>
              <w:t xml:space="preserve">Young Lives（Barnett 等, 2013; Favara 等, 2021）</w:t>
            </w:r>
          </w:p>
        </w:tc>
        <w:tc>
          <w:tcPr/>
          <w:p>
            <w:pPr>
              <w:pStyle w:val="Compact"/>
              <w:jc w:val="left"/>
            </w:pPr>
            <w:r>
              <w:t xml:space="preserve">认知、就学、体格测量、家庭冲击</w:t>
            </w:r>
          </w:p>
        </w:tc>
        <w:tc>
          <w:tcPr/>
          <w:p>
            <w:pPr>
              <w:pStyle w:val="Compact"/>
              <w:jc w:val="left"/>
            </w:pPr>
            <w:r>
              <w:t xml:space="preserve">组件 D，追踪轨迹</w:t>
            </w:r>
          </w:p>
        </w:tc>
      </w:tr>
      <w:tr>
        <w:tc>
          <w:tcPr/>
          <w:p>
            <w:pPr>
              <w:pStyle w:val="Compact"/>
              <w:jc w:val="left"/>
            </w:pPr>
            <w:r>
              <w:t xml:space="preserve">比较国家</w:t>
            </w:r>
          </w:p>
        </w:tc>
        <w:tc>
          <w:tcPr/>
          <w:p>
            <w:pPr>
              <w:pStyle w:val="Compact"/>
              <w:jc w:val="left"/>
            </w:pPr>
            <w:r>
              <w:t xml:space="preserve">人口与健康调查（Corsi, Neuman, Finlay, &amp; Subramanian, 2012）</w:t>
            </w:r>
          </w:p>
        </w:tc>
        <w:tc>
          <w:tcPr/>
          <w:p>
            <w:pPr>
              <w:pStyle w:val="Compact"/>
              <w:jc w:val="left"/>
            </w:pPr>
            <w:r>
              <w:t xml:space="preserve">婴幼儿死亡、体格测量、患病、家庭燃料</w:t>
            </w:r>
          </w:p>
        </w:tc>
        <w:tc>
          <w:tcPr/>
          <w:p>
            <w:pPr>
              <w:pStyle w:val="Compact"/>
              <w:jc w:val="left"/>
            </w:pPr>
            <w:r>
              <w:t xml:space="preserve">组件 D，地理编码簇链接</w:t>
            </w:r>
          </w:p>
        </w:tc>
      </w:tr>
      <w:tr>
        <w:tc>
          <w:tcPr/>
          <w:p>
            <w:pPr>
              <w:pStyle w:val="Compact"/>
              <w:jc w:val="left"/>
            </w:pPr>
            <w:r>
              <w:t xml:space="preserve">比较国家</w:t>
            </w:r>
          </w:p>
        </w:tc>
        <w:tc>
          <w:tcPr/>
          <w:p>
            <w:pPr>
              <w:pStyle w:val="Compact"/>
              <w:jc w:val="left"/>
            </w:pPr>
            <w:r>
              <w:t xml:space="preserve">多指标类集调查（Khan &amp; Hancioglu, 2019）</w:t>
            </w:r>
          </w:p>
        </w:tc>
        <w:tc>
          <w:tcPr/>
          <w:p>
            <w:pPr>
              <w:pStyle w:val="Compact"/>
              <w:jc w:val="left"/>
            </w:pPr>
            <w:r>
              <w:t xml:space="preserve">儿童健康、营养、就学、水与卫生</w:t>
            </w:r>
          </w:p>
        </w:tc>
        <w:tc>
          <w:tcPr/>
          <w:p>
            <w:pPr>
              <w:pStyle w:val="Compact"/>
              <w:jc w:val="left"/>
            </w:pPr>
            <w:r>
              <w:t xml:space="preserve">组件 D，覆盖面扩展</w:t>
            </w:r>
          </w:p>
        </w:tc>
      </w:tr>
    </w:tbl>
    <w:p>
      <w:pPr>
        <w:pStyle w:val="BodyText"/>
      </w:pPr>
      <w:r>
        <w:t xml:space="preserve">上一稿提及的两项数据源在此按学术诚信要求作不同处理。中国教育追踪调查未见可核验的方法学论文或队列简介论文，因此仅作为数据来源使用，并引用其官方文档，而非引用一篇并不存在的简介论文。甘肃儿童与家庭调查同样不存在可核验的权威简介论文；若使用该数据，将引用其数据存缴记录或某篇具体实证论文。</w:t>
      </w:r>
    </w:p>
    <w:bookmarkEnd w:id="46"/>
    <w:bookmarkStart w:id="47" w:name="链接方案"/>
    <w:p>
      <w:pPr>
        <w:pStyle w:val="Heading3"/>
      </w:pPr>
      <w:r>
        <w:t xml:space="preserve">7.3 链接方案</w:t>
      </w:r>
    </w:p>
    <w:p>
      <w:pPr>
        <w:pStyle w:val="FirstParagraph"/>
      </w:pPr>
      <w:r>
        <w:t xml:space="preserve">链接是本项目测量风险最集中的环节，因此方案明示如下。</w:t>
      </w:r>
    </w:p>
    <w:p>
      <w:pPr>
        <w:pStyle w:val="BodyText"/>
      </w:pPr>
      <w:r>
        <w:t xml:space="preserve">对行政出生记录，暴露按母亲居住地地理编码至可获得的最细行政单元赋值，受孕日期由分娩时孕周推算。孕期窗口据推算受孕日构建，并以记录的末次月经日期重构窗口作为敏感性分析；原因是当结局本身即为孕周时，基于孕周的推算会在机制上使窗口定义与结局相关。这是一处已知但常被忽略的偏误来源，本项目将孕周类结局的结果视为必须通过末次月经重构才可信。</w:t>
      </w:r>
    </w:p>
    <w:p>
      <w:pPr>
        <w:pStyle w:val="BodyText"/>
      </w:pPr>
      <w:r>
        <w:t xml:space="preserve">对调查数据，人口与健康调查的暴露赋至位移后的簇中心，位移的处理方式是在位移半径所隐含的暴露分辨率上估计模型，而非在名义簇位置上估计。对具有居住史的追踪调查，各期暴露按当期报告地点赋值，并单独分析未迁移者。</w:t>
      </w:r>
    </w:p>
    <w:p>
      <w:pPr>
        <w:pStyle w:val="BodyText"/>
      </w:pPr>
      <w:r>
        <w:t xml:space="preserve">对所有数据源，本项目记录并报告暴露赋值依赖插值的观测占比，并同时报告含与不含该部分的结果。</w:t>
      </w:r>
    </w:p>
    <w:bookmarkEnd w:id="47"/>
    <w:bookmarkStart w:id="48" w:name="数据治理"/>
    <w:p>
      <w:pPr>
        <w:pStyle w:val="Heading3"/>
      </w:pPr>
      <w:r>
        <w:t xml:space="preserve">7.4 数据治理</w:t>
      </w:r>
    </w:p>
    <w:p>
      <w:pPr>
        <w:pStyle w:val="FirstParagraph"/>
      </w:pPr>
      <w:r>
        <w:t xml:space="preserve">中国行政个体记录不出其托管机构的环境。本项目的分析产出为汇总估计量、模型对象与代码。每项行政数据协议与每个二次数据组件分别获取伦理审查批准；除非数据提供方明确授权，本项目不尝试跨源个体层面链接。这一约束塑造了分析方案：需要跨源个体链接的设计在设计阶段即予排除，而非先行提出再中途放弃。</w:t>
      </w:r>
    </w:p>
    <w:p>
      <w:r>
        <w:pict>
          <v:rect style="width:0;height:1.5pt" o:hralign="center" o:hrstd="t" o:hr="t"/>
        </w:pict>
      </w:r>
    </w:p>
    <w:bookmarkEnd w:id="48"/>
    <w:bookmarkEnd w:id="49"/>
    <w:bookmarkStart w:id="55" w:name="组件设计"/>
    <w:p>
      <w:pPr>
        <w:pStyle w:val="Heading2"/>
      </w:pPr>
      <w:r>
        <w:t xml:space="preserve">8. 组件设计</w:t>
      </w:r>
    </w:p>
    <w:p>
      <w:pPr>
        <w:pStyle w:val="FirstParagraph"/>
      </w:pPr>
      <w:r>
        <w:t xml:space="preserve">以下每个组件均写明其目标估计量、识别假定、对该假定的主要威胁、可暴露该威胁的诊断检验，以及诊断不通过时的备选方案。</w:t>
      </w:r>
    </w:p>
    <w:bookmarkStart w:id="50" w:name="组件-a中国复合暴露记录"/>
    <w:p>
      <w:pPr>
        <w:pStyle w:val="Heading3"/>
      </w:pPr>
      <w:r>
        <w:t xml:space="preserve">8.1 组件 A：中国复合暴露记录</w:t>
      </w:r>
    </w:p>
    <w:p>
      <w:pPr>
        <w:pStyle w:val="FirstParagraph"/>
      </w:pPr>
      <w:r>
        <w:rPr>
          <w:bCs/>
          <w:b/>
        </w:rPr>
        <w:t xml:space="preserve">目标。</w:t>
      </w:r>
      <w:r>
        <w:t xml:space="preserve"> </w:t>
      </w:r>
      <w:r>
        <w:t xml:space="preserve">构建覆盖约 2844 个县级单位、2000 至 2023 年的区县日度面板，并刻画复合暴露。</w:t>
      </w:r>
    </w:p>
    <w:p>
      <w:pPr>
        <w:pStyle w:val="BodyText"/>
      </w:pPr>
      <w:r>
        <w:rPr>
          <w:bCs/>
          <w:b/>
        </w:rPr>
        <w:t xml:space="preserve">复合日的操作定义。</w:t>
      </w:r>
      <w:r>
        <w:t xml:space="preserve"> </w:t>
      </w:r>
      <w:r>
        <w:t xml:space="preserve">当某区县日的 PM2.5 日均值超过该县 1991 至 2020 年参照期暖季分布的第 95 百分位，</w:t>
      </w:r>
      <w:r>
        <w:rPr>
          <w:iCs/>
          <w:i/>
        </w:rPr>
        <w:t xml:space="preserve">且</w:t>
      </w:r>
      <w:r>
        <w:t xml:space="preserve">日最高气温超过同期第 95 百分位，且两项条件同时至少持续两日，该区县日被判定为复合日。另平行报告两种替代定义：一种采用世界卫生组织 24 小时 PM2.5 指导值与固定热指数阈值的绝对阈值定义；另一种采用标准化暴露距平乘积的连续定义。同时报告三种定义并非冗余：定义之间的一致性本身就是结果，且本项目的实质性论断仅限于三种定义下均成立者。</w:t>
      </w:r>
    </w:p>
    <w:p>
      <w:pPr>
        <w:pStyle w:val="BodyText"/>
      </w:pPr>
      <w:r>
        <w:rPr>
          <w:bCs/>
          <w:b/>
        </w:rPr>
        <w:t xml:space="preserve">指标。</w:t>
      </w:r>
      <w:r>
        <w:t xml:space="preserve"> </w:t>
      </w:r>
      <w:r>
        <w:t xml:space="preserve">5 岁以下、15 岁以下与学龄儿童的复合暴露人日；复合暴露相对于区县社会经济位次的集中指数；复合日观测频数与独立性期望频数之比，作为对命题一的直接检验；以及将 2000 至 2023 年儿童复合暴露人日的变化分解为灾害频率、人口规模与人口再分布三个成分。</w:t>
      </w:r>
    </w:p>
    <w:p>
      <w:pPr>
        <w:pStyle w:val="BodyText"/>
      </w:pPr>
      <w:r>
        <w:rPr>
          <w:bCs/>
          <w:b/>
        </w:rPr>
        <w:t xml:space="preserve">统计处理。</w:t>
      </w:r>
      <w:r>
        <w:t xml:space="preserve"> </w:t>
      </w:r>
      <w:r>
        <w:t xml:space="preserve">趋势检验采用 Mann-Kendall 统计量，并对序列与空间相关作方差订正。空间结构以 Besag-York-Mollié 卷积先验建模（Besag, York, &amp; Mollié, 1991），以集成嵌套拉普拉斯近似拟合（Rue, Martino, &amp; Chopin, 2009）；该方法在此面板规模下计算可行，且所得后验不确定性可传递至组件 E。</w:t>
      </w:r>
    </w:p>
    <w:p>
      <w:pPr>
        <w:pStyle w:val="BodyText"/>
      </w:pPr>
      <w:r>
        <w:rPr>
          <w:bCs/>
          <w:b/>
        </w:rPr>
        <w:t xml:space="preserve">主要威胁。</w:t>
      </w:r>
      <w:r>
        <w:t xml:space="preserve"> </w:t>
      </w:r>
      <w:r>
        <w:t xml:space="preserve">暴露产品伪影。卫星反演面本身是模型产出，其误差在空间与时间上具有结构，可能生成虚假的复合暴露聚集。</w:t>
      </w:r>
    </w:p>
    <w:p>
      <w:pPr>
        <w:pStyle w:val="BodyText"/>
      </w:pPr>
      <w:r>
        <w:rPr>
          <w:bCs/>
          <w:b/>
        </w:rPr>
        <w:t xml:space="preserve">诊断。</w:t>
      </w:r>
      <w:r>
        <w:t xml:space="preserve"> </w:t>
      </w:r>
      <w:r>
        <w:t xml:space="preserve">ChinaHighAirPollutants 与 Tracking Air Pollution 两套产品之间的一致性，以及二者自 2013 年起与地面监测的一致性，分季节、分城乡、分地形分别评估。仅在一套产品中出现的复合暴露聚集予以标记，且不作为发现报告。</w:t>
      </w:r>
    </w:p>
    <w:p>
      <w:pPr>
        <w:pStyle w:val="BodyText"/>
      </w:pPr>
      <w:r>
        <w:rPr>
          <w:bCs/>
          <w:b/>
        </w:rPr>
        <w:t xml:space="preserve">备选方案。</w:t>
      </w:r>
      <w:r>
        <w:t xml:space="preserve"> </w:t>
      </w:r>
      <w:r>
        <w:t xml:space="preserve">若某区域内产品分歧显著，该区域估计以产品间离散度导出的加宽不确定性区间报告，而非仅以单一产品内部不确定性报告。</w:t>
      </w:r>
    </w:p>
    <w:bookmarkEnd w:id="50"/>
    <w:bookmarkStart w:id="51" w:name="组件-b孕期与幼儿期复合暴露与福祉"/>
    <w:p>
      <w:pPr>
        <w:pStyle w:val="Heading3"/>
      </w:pPr>
      <w:r>
        <w:t xml:space="preserve">8.2 组件 B：孕期与幼儿期复合暴露与福祉</w:t>
      </w:r>
    </w:p>
    <w:p>
      <w:pPr>
        <w:pStyle w:val="FirstParagraph"/>
      </w:pPr>
      <w:r>
        <w:rPr>
          <w:bCs/>
          <w:b/>
        </w:rPr>
        <w:t xml:space="preserve">目标估计量。</w:t>
      </w:r>
      <w:r>
        <w:t xml:space="preserve"> </w:t>
      </w:r>
      <w:r>
        <w:t xml:space="preserve">特定孕期窗口内每增加一个复合暴露日对出生与早期儿童结局的影响，尤其是高温与污染之间的相加交互对比。</w:t>
      </w:r>
    </w:p>
    <w:p>
      <w:pPr>
        <w:pStyle w:val="BodyText"/>
      </w:pPr>
      <w:r>
        <w:rPr>
          <w:bCs/>
          <w:b/>
        </w:rPr>
        <w:t xml:space="preserve">设计。</w:t>
      </w:r>
      <w:r>
        <w:t xml:space="preserve"> </w:t>
      </w:r>
      <w:r>
        <w:t xml:space="preserve">首选设定利用同一母亲多次生育所提供的母亲内部变异，从而差分掉时不变的母亲特征，后者是最主要的混杂来源。在缺乏同胞结构时，设定采用区县乘受孕月固定效应与区县乘年份固定效应，使识别来自给定区县与给定日历月内跨年份的暴露偏离，并已扣除区县特异趋势。</w:t>
      </w:r>
    </w:p>
    <w:p>
      <w:pPr>
        <w:pStyle w:val="BodyText"/>
      </w:pPr>
      <w:r>
        <w:rPr>
          <w:bCs/>
          <w:b/>
        </w:rPr>
        <w:t xml:space="preserve">函数形式。</w:t>
      </w:r>
      <w:r>
        <w:t xml:space="preserve"> </w:t>
      </w:r>
      <w:r>
        <w:t xml:space="preserve">本项目不强加乘积项设定。主设定在四格暴露分类上饱和：两项暴露均不高、仅污染高、仅高温高、两项均高。相加交互对比即联合格效应与两个单暴露格效应之和的差，直接估计并给出其自身标准误。对二值结局，计算并报告交互导致的相对超额风险及其置信区间，各分层效应相对于同一共同参照类报告，遵循 Knol 与 VanderWeele（2012）的报告建议。以分布滞后非线性模型（Gasparrini, Armstrong, &amp; Kenward, 2010）实现的连续暴露设定作为次要结果报告，因为该模型对暴露、滞后与反应曲面的刻画更丰富，但需要更强的平滑性假定。</w:t>
      </w:r>
    </w:p>
    <w:p>
      <w:pPr>
        <w:pStyle w:val="BodyText"/>
      </w:pPr>
      <w:r>
        <w:rPr>
          <w:bCs/>
          <w:b/>
        </w:rPr>
        <w:t xml:space="preserve">主要威胁与诊断。</w:t>
      </w:r>
    </w:p>
    <w:p>
      <w:pPr>
        <w:pStyle w:val="BodyText"/>
      </w:pPr>
      <w:r>
        <w:rPr>
          <w:iCs/>
          <w:i/>
        </w:rPr>
        <w:t xml:space="preserve">生育时点的选择性。</w:t>
      </w:r>
      <w:r>
        <w:t xml:space="preserve"> </w:t>
      </w:r>
      <w:r>
        <w:t xml:space="preserve">若受孕时点对环境条件作出反应，暴露窗口即为内生。诊断：以受孕时点观测到的母亲特征对暴露指标回归，出现系统性关系即表明构成发生变化。备选方案：在可识别的非计划生育子样本中估计，并报告界限。</w:t>
      </w:r>
    </w:p>
    <w:p>
      <w:pPr>
        <w:pStyle w:val="BodyText"/>
      </w:pPr>
      <w:r>
        <w:rPr>
          <w:iCs/>
          <w:i/>
        </w:rPr>
        <w:t xml:space="preserve">宫内存活选择。</w:t>
      </w:r>
      <w:r>
        <w:t xml:space="preserve"> </w:t>
      </w:r>
      <w:r>
        <w:t xml:space="preserve">提高胎儿丢失的暴露会使存活样本在未观测强健性上被选择，从而使活产结局估计向零偏移。诊断：以出生性别比与活产数作为结局考察，二者均对胎儿淘汰作出反应。备选方案：以活产数的估计变化作为选择边际，报告出生体重效应的 Lee 型界限。</w:t>
      </w:r>
    </w:p>
    <w:p>
      <w:pPr>
        <w:pStyle w:val="BodyText"/>
      </w:pPr>
      <w:r>
        <w:rPr>
          <w:iCs/>
          <w:i/>
        </w:rPr>
        <w:t xml:space="preserve">迁移与暴露错配。</w:t>
      </w:r>
      <w:r>
        <w:t xml:space="preserve"> </w:t>
      </w:r>
      <w:r>
        <w:t xml:space="preserve">诊断：比较无地址变更家庭与全样本的估计。备选方案：限定于未迁移者并报告差异。</w:t>
      </w:r>
    </w:p>
    <w:p>
      <w:pPr>
        <w:pStyle w:val="BodyText"/>
      </w:pPr>
      <w:r>
        <w:rPr>
          <w:iCs/>
          <w:i/>
        </w:rPr>
        <w:t xml:space="preserve">暴露测量误差。</w:t>
      </w:r>
      <w:r>
        <w:t xml:space="preserve"> </w:t>
      </w:r>
      <w:r>
        <w:t xml:space="preserve">处理见第 9.6 节。</w:t>
      </w:r>
    </w:p>
    <w:p>
      <w:pPr>
        <w:pStyle w:val="BodyText"/>
      </w:pPr>
      <w:r>
        <w:rPr>
          <w:bCs/>
          <w:b/>
        </w:rPr>
        <w:t xml:space="preserve">结局。</w:t>
      </w:r>
      <w:r>
        <w:t xml:space="preserve"> </w:t>
      </w:r>
      <w:r>
        <w:t xml:space="preserve">以克为单位的出生体重及低出生体重二值指标、孕周与早产、小于胎龄儿状态；在具备随访的场景中，还包括年龄别身高与年龄别体重 Z 分、呼吸系统患病次数，以及早期认知与入学准备度测量。</w:t>
      </w:r>
    </w:p>
    <w:p>
      <w:pPr>
        <w:pStyle w:val="BodyText"/>
      </w:pPr>
      <w:r>
        <w:rPr>
          <w:bCs/>
          <w:b/>
        </w:rPr>
        <w:t xml:space="preserve">基准。</w:t>
      </w:r>
      <w:r>
        <w:t xml:space="preserve"> </w:t>
      </w:r>
      <w:r>
        <w:t xml:space="preserve">本项目的单一暴露估计在量级上应与 Ghosh 等（2021）的合并元回归结果相当，后者报告孕期环境 PM2.5 每增加 10 微克每立方米，出生体重下降 22 克、低出生体重风险上升 11%；也应与 Chersich 等（2020）的高温与早产结果相当，后者报告气温每上升 1 摄氏度，早产比值上升 1.05 倍。与上述基准的显著偏离，应先被当作重新检查暴露赋值的信号，而非直接当作关于中国的发现。</w:t>
      </w:r>
    </w:p>
    <w:bookmarkEnd w:id="51"/>
    <w:bookmarkStart w:id="52" w:name="组件-c气候冲击就学与家庭适应"/>
    <w:p>
      <w:pPr>
        <w:pStyle w:val="Heading3"/>
      </w:pPr>
      <w:r>
        <w:t xml:space="preserve">8.3 组件 C：气候冲击、就学与家庭适应</w:t>
      </w:r>
    </w:p>
    <w:p>
      <w:pPr>
        <w:pStyle w:val="FirstParagraph"/>
      </w:pPr>
      <w:r>
        <w:rPr>
          <w:bCs/>
          <w:b/>
        </w:rPr>
        <w:t xml:space="preserve">目标估计量。</w:t>
      </w:r>
      <w:r>
        <w:t xml:space="preserve"> </w:t>
      </w:r>
      <w:r>
        <w:t xml:space="preserve">离散气候冲击对就学与学习结局的影响，以及该影响中经由家庭经济中断、学校中断与父母投资传导的份额。</w:t>
      </w:r>
    </w:p>
    <w:p>
      <w:pPr>
        <w:pStyle w:val="BodyText"/>
      </w:pPr>
      <w:r>
        <w:rPr>
          <w:bCs/>
          <w:b/>
        </w:rPr>
        <w:t xml:space="preserve">设计。</w:t>
      </w:r>
      <w:r>
        <w:t xml:space="preserve"> </w:t>
      </w:r>
      <w:r>
        <w:t xml:space="preserve">对洪涝与热浪暴露采用交错处理的事件研究估计，估计量须对异质与动态处理效应稳健。双向固定效应估计量不作为主设定，因为在处理效应随时间变化时其估计目标是各组期效应的加权平均，而权重可能为负（Goodman-Bacon, 2021; de Chaisemartin &amp; D’Haultfoeuille, 2020）；并且在队列异质性下，常规动态事件研究系数会被其他相对期的效应污染（Sun &amp; Abraham, 2021）。主估计量采用 Callaway 与 Sant’Anna（2021）的组期平均处理效应，并以 Borusyak、Jaravel 与 Spiess（2024）的插补估计量作稳健性检验。处理前趋势作为带有自身不确定性的估计对象报告，而非以图形目测方式呈现。</w:t>
      </w:r>
    </w:p>
    <w:p>
      <w:pPr>
        <w:pStyle w:val="BodyText"/>
      </w:pPr>
      <w:r>
        <w:rPr>
          <w:bCs/>
          <w:b/>
        </w:rPr>
        <w:t xml:space="preserve">中介。</w:t>
      </w:r>
      <w:r>
        <w:t xml:space="preserve"> </w:t>
      </w:r>
      <w:r>
        <w:t xml:space="preserve">中介变量包括家庭收入、自付医疗支出、教育支出、父母时间投入、报告的停课天数与学校基础设施。估计遵循潜在结果中介框架（Imai, Keele, &amp; Tingley, 2010; VanderWeele, 2016），并对序贯可忽略性违背参数作显式敏感性分析。本项目预先承诺：除非敏感性分析显示定性结论在合理参数范围内稳健，否则中介结果仅作为有界的机制证据报告，而不作为因果分解报告。</w:t>
      </w:r>
    </w:p>
    <w:p>
      <w:pPr>
        <w:pStyle w:val="BodyText"/>
      </w:pPr>
      <w:r>
        <w:rPr>
          <w:bCs/>
          <w:b/>
        </w:rPr>
        <w:t xml:space="preserve">基准。</w:t>
      </w:r>
      <w:r>
        <w:t xml:space="preserve"> </w:t>
      </w:r>
      <w:r>
        <w:t xml:space="preserve">高温与学习方面，Park、Goodman、Hurwitz 与 Smith（2020）、Park、Behrer 与 Goodman（2021）以及 Graff Zivin、Song、Tang 与 Zhang（2020）提供量级参考，其中最后一项最为直接：其估计高考期间气温上升约 2 摄氏度使总分下降 0.68%。洪涝与中国农村就学方面，Chen、Zeng、Song 与 Shi（2026）报告 1998 年洪灾造成就学减少，女童与农业依赖地区的减少幅度最大，机制为家庭财务压力与父母外出务工。该文是最接近的比较对象，而组件 C 的设计正是要以直接测量检验其机制论断。</w:t>
      </w:r>
    </w:p>
    <w:p>
      <w:pPr>
        <w:pStyle w:val="BodyText"/>
      </w:pPr>
      <w:r>
        <w:rPr>
          <w:bCs/>
          <w:b/>
        </w:rPr>
        <w:t xml:space="preserve">主要威胁。</w:t>
      </w:r>
      <w:r>
        <w:t xml:space="preserve"> </w:t>
      </w:r>
      <w:r>
        <w:t xml:space="preserve">冲击测量。自报洪涝暴露对家庭显著性与回忆内生；卫星反演淹没范围外生但较粗。诊断：两者分别估计并报告差异。备选方案：在排他性约束可辩护时，以卫星反演暴露作为自报暴露的工具变量；否则同时报告两组估计而不作裁定。</w:t>
      </w:r>
    </w:p>
    <w:bookmarkEnd w:id="52"/>
    <w:bookmarkStart w:id="53" w:name="组件-d中低收入国家的比较梯度"/>
    <w:p>
      <w:pPr>
        <w:pStyle w:val="Heading3"/>
      </w:pPr>
      <w:r>
        <w:t xml:space="preserve">8.4 组件 D：中低收入国家的比较梯度</w:t>
      </w:r>
    </w:p>
    <w:p>
      <w:pPr>
        <w:pStyle w:val="FirstParagraph"/>
      </w:pPr>
      <w:r>
        <w:rPr>
          <w:bCs/>
          <w:b/>
        </w:rPr>
        <w:t xml:space="preserve">目标估计量。</w:t>
      </w:r>
      <w:r>
        <w:t xml:space="preserve"> </w:t>
      </w:r>
      <w:r>
        <w:t xml:space="preserve">儿童健康、营养与就学结局的分国暴露反应关系，以及制度特征对其的调节程度。</w:t>
      </w:r>
    </w:p>
    <w:p>
      <w:pPr>
        <w:pStyle w:val="BodyText"/>
      </w:pPr>
      <w:r>
        <w:rPr>
          <w:bCs/>
          <w:b/>
        </w:rPr>
        <w:t xml:space="preserve">设计。</w:t>
      </w:r>
      <w:r>
        <w:t xml:space="preserve"> </w:t>
      </w:r>
      <w:r>
        <w:t xml:space="preserve">先估计并先报告分国模型。仅通过以国家为单位的随机效应元分析进行合并，并对预设制度调节变量作元回归：卫生系统能力、电力与降温可及性、学校基础设施与社会保护覆盖。本项目不以单一合并系数作为主要结果，因为在暴露区间与适应能力均高度异质的场景之间求得的合并系数不是一个可解释的量。</w:t>
      </w:r>
    </w:p>
    <w:p>
      <w:pPr>
        <w:pStyle w:val="BodyText"/>
      </w:pPr>
      <w:r>
        <w:rPr>
          <w:bCs/>
          <w:b/>
        </w:rPr>
        <w:t xml:space="preserve">关于异质性的既有证据。</w:t>
      </w:r>
      <w:r>
        <w:t xml:space="preserve"> </w:t>
      </w:r>
      <w:r>
        <w:t xml:space="preserve">Dimitrova 等（2024）估计 29 个中低收入国家中 4.3% 的新生儿死亡可归因于非最优气温，且气候变化造成约 32% 的高温相关新生儿死亡。Thiede 与 Gray（2020）考察印度尼西亚气候暴露与儿童营养不良。Randell 与 Gray（2019）发现教育效应在热带各区域间差异显著。这一既有差异正是将异质性作为研究对象而非干扰因素的证据基础。</w:t>
      </w:r>
    </w:p>
    <w:p>
      <w:pPr>
        <w:pStyle w:val="BodyText"/>
      </w:pPr>
      <w:r>
        <w:rPr>
          <w:bCs/>
          <w:b/>
        </w:rPr>
        <w:t xml:space="preserve">主要威胁。</w:t>
      </w:r>
      <w:r>
        <w:t xml:space="preserve"> </w:t>
      </w:r>
      <w:r>
        <w:t xml:space="preserve">跨调查结局测量的可比性。诊断：限定于各场景使用相同工具测量的结局，并对可协调与不可协调结局分别报告。备选方案：协调失败时，仅报告分国结果、不作跨国比较，并明确说明。</w:t>
      </w:r>
    </w:p>
    <w:bookmarkEnd w:id="53"/>
    <w:bookmarkStart w:id="54" w:name="组件-e负担核算与分配政策模拟"/>
    <w:p>
      <w:pPr>
        <w:pStyle w:val="Heading3"/>
      </w:pPr>
      <w:r>
        <w:t xml:space="preserve">8.5 组件 E：负担核算与分配政策模拟</w:t>
      </w:r>
    </w:p>
    <w:p>
      <w:pPr>
        <w:pStyle w:val="FirstParagraph"/>
      </w:pPr>
      <w:r>
        <w:rPr>
          <w:bCs/>
          <w:b/>
        </w:rPr>
        <w:t xml:space="preserve">目标。</w:t>
      </w:r>
      <w:r>
        <w:t xml:space="preserve"> </w:t>
      </w:r>
      <w:r>
        <w:t xml:space="preserve">将暴露反应关系转化为可行情景下的反事实负担，并作分配报告。</w:t>
      </w:r>
    </w:p>
    <w:p>
      <w:pPr>
        <w:pStyle w:val="BodyText"/>
      </w:pPr>
      <w:r>
        <w:rPr>
          <w:bCs/>
          <w:b/>
        </w:rPr>
        <w:t xml:space="preserve">情景设定。</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情景</w:t>
            </w:r>
          </w:p>
        </w:tc>
        <w:tc>
          <w:tcPr/>
          <w:p>
            <w:pPr>
              <w:pStyle w:val="Compact"/>
              <w:jc w:val="left"/>
            </w:pPr>
            <w:r>
              <w:t xml:space="preserve">定义</w:t>
            </w:r>
          </w:p>
        </w:tc>
        <w:tc>
          <w:tcPr/>
          <w:p>
            <w:pPr>
              <w:pStyle w:val="Compact"/>
              <w:jc w:val="left"/>
            </w:pPr>
            <w:r>
              <w:t xml:space="preserve">解释</w:t>
            </w:r>
          </w:p>
        </w:tc>
      </w:tr>
      <w:tr>
        <w:tc>
          <w:tcPr/>
          <w:p>
            <w:pPr>
              <w:pStyle w:val="Compact"/>
              <w:jc w:val="left"/>
            </w:pPr>
            <w:r>
              <w:t xml:space="preserve">观测</w:t>
            </w:r>
          </w:p>
        </w:tc>
        <w:tc>
          <w:tcPr/>
          <w:p>
            <w:pPr>
              <w:pStyle w:val="Compact"/>
              <w:jc w:val="left"/>
            </w:pPr>
            <w:r>
              <w:t xml:space="preserve">实测估计暴露</w:t>
            </w:r>
          </w:p>
        </w:tc>
        <w:tc>
          <w:tcPr/>
          <w:p>
            <w:pPr>
              <w:pStyle w:val="Compact"/>
              <w:jc w:val="left"/>
            </w:pPr>
            <w:r>
              <w:t xml:space="preserve">基线</w:t>
            </w:r>
          </w:p>
        </w:tc>
      </w:tr>
      <w:tr>
        <w:tc>
          <w:tcPr/>
          <w:p>
            <w:pPr>
              <w:pStyle w:val="Compact"/>
              <w:jc w:val="left"/>
            </w:pPr>
            <w:r>
              <w:t xml:space="preserve">可行近期</w:t>
            </w:r>
          </w:p>
        </w:tc>
        <w:tc>
          <w:tcPr/>
          <w:p>
            <w:pPr>
              <w:pStyle w:val="Compact"/>
              <w:jc w:val="left"/>
            </w:pPr>
            <w:r>
              <w:t xml:space="preserve">按 2013 至 2020 年全国实测轨迹外推的暴露削减</w:t>
            </w:r>
          </w:p>
        </w:tc>
        <w:tc>
          <w:tcPr/>
          <w:p>
            <w:pPr>
              <w:pStyle w:val="Compact"/>
              <w:jc w:val="left"/>
            </w:pPr>
            <w:r>
              <w:t xml:space="preserve">已被证明可达成的水平</w:t>
            </w:r>
          </w:p>
        </w:tc>
      </w:tr>
      <w:tr>
        <w:tc>
          <w:tcPr/>
          <w:p>
            <w:pPr>
              <w:pStyle w:val="Compact"/>
              <w:jc w:val="left"/>
            </w:pPr>
            <w:r>
              <w:t xml:space="preserve">进取</w:t>
            </w:r>
          </w:p>
        </w:tc>
        <w:tc>
          <w:tcPr/>
          <w:p>
            <w:pPr>
              <w:pStyle w:val="Compact"/>
              <w:jc w:val="left"/>
            </w:pPr>
            <w:r>
              <w:t xml:space="preserve">削减至各县适用的世界卫生组织过渡目标值</w:t>
            </w:r>
          </w:p>
        </w:tc>
        <w:tc>
          <w:tcPr/>
          <w:p>
            <w:pPr>
              <w:pStyle w:val="Compact"/>
              <w:jc w:val="left"/>
            </w:pPr>
            <w:r>
              <w:t xml:space="preserve">政策拉伸情景</w:t>
            </w:r>
          </w:p>
        </w:tc>
      </w:tr>
      <w:tr>
        <w:tc>
          <w:tcPr/>
          <w:p>
            <w:pPr>
              <w:pStyle w:val="Compact"/>
              <w:jc w:val="left"/>
            </w:pPr>
            <w:r>
              <w:t xml:space="preserve">等效定向</w:t>
            </w:r>
          </w:p>
        </w:tc>
        <w:tc>
          <w:tcPr/>
          <w:p>
            <w:pPr>
              <w:pStyle w:val="Compact"/>
              <w:jc w:val="left"/>
            </w:pPr>
            <w:r>
              <w:t xml:space="preserve">削减集中于高复合暴露且低资源区县，校准至与可行情景相同的全国平均变化</w:t>
            </w:r>
          </w:p>
        </w:tc>
        <w:tc>
          <w:tcPr/>
          <w:p>
            <w:pPr>
              <w:pStyle w:val="Compact"/>
              <w:jc w:val="left"/>
            </w:pPr>
            <w:r>
              <w:t xml:space="preserve">在总投入不变下检验假设六</w:t>
            </w:r>
          </w:p>
        </w:tc>
      </w:tr>
      <w:tr>
        <w:tc>
          <w:tcPr/>
          <w:p>
            <w:pPr>
              <w:pStyle w:val="Compact"/>
              <w:jc w:val="left"/>
            </w:pPr>
            <w:r>
              <w:t xml:space="preserve">理论最小风险</w:t>
            </w:r>
          </w:p>
        </w:tc>
        <w:tc>
          <w:tcPr/>
          <w:p>
            <w:pPr>
              <w:pStyle w:val="Compact"/>
              <w:jc w:val="left"/>
            </w:pPr>
            <w:r>
              <w:t xml:space="preserve">暴露处于理论最小风险暴露水平</w:t>
            </w:r>
          </w:p>
        </w:tc>
        <w:tc>
          <w:tcPr/>
          <w:p>
            <w:pPr>
              <w:pStyle w:val="Compact"/>
              <w:jc w:val="left"/>
            </w:pPr>
            <w:r>
              <w:t xml:space="preserve">归因负担上界，明确不是预测</w:t>
            </w:r>
          </w:p>
        </w:tc>
      </w:tr>
    </w:tbl>
    <w:p>
      <w:pPr>
        <w:pStyle w:val="BodyText"/>
      </w:pPr>
      <w:r>
        <w:rPr>
          <w:bCs/>
          <w:b/>
        </w:rPr>
        <w:t xml:space="preserve">方法。</w:t>
      </w:r>
      <w:r>
        <w:t xml:space="preserve"> </w:t>
      </w:r>
      <w:r>
        <w:t xml:space="preserve">对 GBD 提供风险曲线的结局，人群归因分值由 GBD 2023 风险曲线计算；对 GBD 未覆盖的结局，由本项目自身估计的暴露反应关系计算。两类来源绝不在同一估计中混用，且每一报告数值均标注其来源。不确定性通过对组件 A 所产生的暴露后验与暴露反应不确定性联合抽取蒙特卡洛样本传递，而非分步传递。</w:t>
      </w:r>
    </w:p>
    <w:p>
      <w:pPr>
        <w:pStyle w:val="BodyText"/>
      </w:pPr>
      <w:r>
        <w:rPr>
          <w:bCs/>
          <w:b/>
        </w:rPr>
        <w:t xml:space="preserve">分配报告。</w:t>
      </w:r>
      <w:r>
        <w:t xml:space="preserve"> </w:t>
      </w:r>
      <w:r>
        <w:t xml:space="preserve">每一情景均报告避免的伤残调整生命年总量、各区县社会经济五分位所获份额，以及依分配成本效果分析惯例（Asaria, Griffin, &amp; Cookson, 2016; Cookson 等, 2017）在预设不平等厌恶参数区间上计算的公平加权汇总量。理由在于：伤残调整生命年本身已嵌入价值判断（Murray &amp; Acharya, 1997），将公平权重显式化优于让其隐含地取值为零。</w:t>
      </w:r>
    </w:p>
    <w:p>
      <w:pPr>
        <w:pStyle w:val="BodyText"/>
      </w:pPr>
      <w:r>
        <w:rPr>
          <w:bCs/>
          <w:b/>
        </w:rPr>
        <w:t xml:space="preserve">校准基准。</w:t>
      </w:r>
      <w:r>
        <w:t xml:space="preserve"> </w:t>
      </w:r>
      <w:r>
        <w:t xml:space="preserve">中国清洁空气行动提供了不可多得的自然基准。Zhang 等（2019）将 2013 至 2017 年 PM2.5 下降主要归因于行动计划的排放控制，并估计避免 37 万例 PM2.5 归因超额死亡。Xue 等（2024）报告 2013 至 2020 年 PM2.5 下降 48%，归因死亡由 175 万例降至 139 万例，2013 至 2017 年阶段预期寿命增益约 1.87 个月、2017 至 2020 年蓝天保卫战阶段约 3.94 个月，且收益的地区不平等趋于收窄。Huang、Pan、Guo 与 Li（2018）以全国监测与死亡数据对同一政策作独立分析。Jiang 等（2022）量化同期早产负担的下降，这是针对儿童的基准。Zhao 与 Kim（2022）发现确诊呼吸系统与循环系统慢性病的下降，且低收入与年长群体获益最大。本项目对成人结局的模拟收益应能复现上述已发表量级；未能复现意味着校准错误，而不是新发现。</w:t>
      </w:r>
    </w:p>
    <w:p>
      <w:r>
        <w:pict>
          <v:rect style="width:0;height:1.5pt" o:hralign="center" o:hrstd="t" o:hr="t"/>
        </w:pict>
      </w:r>
    </w:p>
    <w:bookmarkEnd w:id="54"/>
    <w:bookmarkEnd w:id="55"/>
    <w:bookmarkStart w:id="64" w:name="统计分析方案"/>
    <w:p>
      <w:pPr>
        <w:pStyle w:val="Heading2"/>
      </w:pPr>
      <w:r>
        <w:t xml:space="preserve">9. 统计分析方案</w:t>
      </w:r>
    </w:p>
    <w:bookmarkStart w:id="56" w:name="交互所依据的尺度"/>
    <w:p>
      <w:pPr>
        <w:pStyle w:val="Heading3"/>
      </w:pPr>
      <w:r>
        <w:t xml:space="preserve">9.1 交互所依据的尺度</w:t>
      </w:r>
    </w:p>
    <w:p>
      <w:pPr>
        <w:pStyle w:val="FirstParagraph"/>
      </w:pPr>
      <w:r>
        <w:t xml:space="preserve">在相加与相乘尺度之间的选择不是技术细节。公共卫生决策关心的是可预防的病例数，这是一个相加尺度上的量；相乘尺度上的交互可能不存在而相加尺度上的交互很大，反之亦然。因此，本项目对所有二值结局以相加尺度交互为主要结果，报告交互导致的相对超额风险及其置信区间，并按 Knol 与 VanderWeele（2012）的建议，将各分层效应相对于同一共同参照类报告。相乘尺度交互作为次要结果报告并明确标注。对连续结局，相加对比即为自然的量，直接由饱和四格设定给出。</w:t>
      </w:r>
    </w:p>
    <w:bookmarkEnd w:id="56"/>
    <w:bookmarkStart w:id="57" w:name="非线性与滞后结构"/>
    <w:p>
      <w:pPr>
        <w:pStyle w:val="Heading3"/>
      </w:pPr>
      <w:r>
        <w:t xml:space="preserve">9.2 非线性与滞后结构</w:t>
      </w:r>
    </w:p>
    <w:p>
      <w:pPr>
        <w:pStyle w:val="FirstParagraph"/>
      </w:pPr>
      <w:r>
        <w:t xml:space="preserve">本领域的暴露反应关系既非线性又有延迟。主要的柔性设定是分布滞后非线性模型（Gasparrini, Armstrong, &amp; Kenward, 2010），以交叉基刻画暴露、滞后与反应曲面。滞后窗口预先设定：急性患病结局取 0 至 7 日；出生结局取孕期分段窗口；学习结局取学期累积窗口。节点位置按暴露百分位预先设定，而非依拟合优度选取，并报告对节点位置的敏感性。对暴露短暂、结局突发的急性结局，采用病例交叉设计（Maclure, 1991），因为自身匹配在构造上即消除全部时不变的个体混杂。</w:t>
      </w:r>
    </w:p>
    <w:bookmarkEnd w:id="57"/>
    <w:bookmarkStart w:id="58" w:name="异质性与多重性"/>
    <w:p>
      <w:pPr>
        <w:pStyle w:val="Heading3"/>
      </w:pPr>
      <w:r>
        <w:t xml:space="preserve">9.3 异质性与多重性</w:t>
      </w:r>
    </w:p>
    <w:p>
      <w:pPr>
        <w:pStyle w:val="FirstParagraph"/>
      </w:pPr>
      <w:r>
        <w:t xml:space="preserve">异质性沿预设清单考察：母亲与父母教育、家庭收入或资产指数、城乡居住、流动与户籍状态、住房质量、到卫生机构的距离、学校空调与过滤设备、儿童性别、出生次序。清单事先固定并登记。由于该清单在多个结局族上生成大量检验，推断采用结局族内的两阶段锐化错误发现率 q 值，并在族间使用汇总指数（Anderson, 2008）。未通过校正的子群结果按探索性结果报告，不称为发现。</w:t>
      </w:r>
    </w:p>
    <w:bookmarkEnd w:id="58"/>
    <w:bookmarkStart w:id="59" w:name="中介"/>
    <w:p>
      <w:pPr>
        <w:pStyle w:val="Heading3"/>
      </w:pPr>
      <w:r>
        <w:t xml:space="preserve">9.4 中介</w:t>
      </w:r>
    </w:p>
    <w:p>
      <w:pPr>
        <w:pStyle w:val="FirstParagraph"/>
      </w:pPr>
      <w:r>
        <w:t xml:space="preserve">中介遵循潜在结果框架（Imai, Keele, &amp; Tingley, 2010; VanderWeele, 2016），并受两项约束。第一，任何既可能受暴露影响又影响其他中介的变量，均不得在缺乏敏感性分析的情况下按序贯可忽略性成立处理。第二，在结局窗口之后测量的中介一律不纳入，因为控制处理后变量会引入对撞偏误，甚至可能使直接效应的符号反转。项目报告使中介份额降至零所需的敏感性参数值，并据此解释结果。</w:t>
      </w:r>
    </w:p>
    <w:bookmarkEnd w:id="59"/>
    <w:bookmarkStart w:id="60" w:name="空间依赖"/>
    <w:p>
      <w:pPr>
        <w:pStyle w:val="Heading3"/>
      </w:pPr>
      <w:r>
        <w:t xml:space="preserve">9.5 空间依赖</w:t>
      </w:r>
    </w:p>
    <w:p>
      <w:pPr>
        <w:pStyle w:val="FirstParagraph"/>
      </w:pPr>
      <w:r>
        <w:t xml:space="preserve">相邻区县共享暴露、气象与未观测的政策环境。因此，单位间独立性在构造上即不成立；忽略它会产生过小的标准误，并且在空间过程与暴露相关时还会产生有偏的点估计。本项目采用带 Besag-York-Mollié 卷积结构的条件自回归设定（Besag, York, &amp; Mollié, 1991），以集成嵌套拉普拉斯近似拟合（Rue, Martino, &amp; Chopin, 2009），并报告不同距离截断下的空间聚类标准误作为稳健性检验。</w:t>
      </w:r>
    </w:p>
    <w:bookmarkEnd w:id="60"/>
    <w:bookmarkStart w:id="61" w:name="暴露测量误差"/>
    <w:p>
      <w:pPr>
        <w:pStyle w:val="Heading3"/>
      </w:pPr>
      <w:r>
        <w:t xml:space="preserve">9.6 暴露测量误差</w:t>
      </w:r>
    </w:p>
    <w:p>
      <w:pPr>
        <w:pStyle w:val="FirstParagraph"/>
      </w:pPr>
      <w:r>
        <w:t xml:space="preserve">卫星反演暴露面是模型产出，其误差既非经典误差，也不独立于协变量。本项目从三方面处理。第一，为中国使用两套独立产品，将其视为对同一潜在真实暴露的重复测量；在二者误差条件独立的假定下，可实施双代理变量校正。第二，在 2013 年起有地面监测的子样本上直接估计误差结构，并以模拟外推法推广至全样本。第三，利用全球产品所附的逐像元不确定性（van Donkelaar 等, 2021），将暴露不确定性传递进结局模型，而不将暴露视为已知。</w:t>
      </w:r>
    </w:p>
    <w:p>
      <w:pPr>
        <w:pStyle w:val="BodyText"/>
      </w:pPr>
      <w:r>
        <w:t xml:space="preserve">此处需要说明为何这一问题在本项目中比在单一暴露研究中更为关键：当目标估计量是两个含误差暴露之间的交互时，衰减会被复合放大，真实存在的交互在未校正分析中可能无法被检出。因此，未校正分析给出的零交互结果不具信息量，这也是第 6 节将假设二的拒绝条件限定于已校正估计的原因。</w:t>
      </w:r>
    </w:p>
    <w:bookmarkEnd w:id="61"/>
    <w:bookmarkStart w:id="62" w:name="多污染物处理"/>
    <w:p>
      <w:pPr>
        <w:pStyle w:val="Heading3"/>
      </w:pPr>
      <w:r>
        <w:t xml:space="preserve">9.7 多污染物处理</w:t>
      </w:r>
    </w:p>
    <w:p>
      <w:pPr>
        <w:pStyle w:val="FirstParagraph"/>
      </w:pPr>
      <w:r>
        <w:t xml:space="preserve">当需要联合考虑两种以上暴露时，本项目采用混合物方法，而非在线性模型中简单加入相关项：加权分位数和回归（Carrico, Gennings, Wheeler, &amp; Factor-Litvak, 2015）、贝叶斯核机器回归（Bobb 等, 2015）与基于分位数的 g 计算（Keil 等, 2020）。这些方法用于描述性分析与混合物层面的汇总，不替代预设的双暴露交互分析，因为其产出回答的是另一个问题，且与相加交互对比不可直接比较。</w:t>
      </w:r>
    </w:p>
    <w:bookmarkEnd w:id="62"/>
    <w:bookmarkStart w:id="63" w:name="预注册与可重复性"/>
    <w:p>
      <w:pPr>
        <w:pStyle w:val="Heading3"/>
      </w:pPr>
      <w:r>
        <w:t xml:space="preserve">9.8 预注册与可重复性</w:t>
      </w:r>
    </w:p>
    <w:p>
      <w:pPr>
        <w:pStyle w:val="FirstParagraph"/>
      </w:pPr>
      <w:r>
        <w:t xml:space="preserve">各组件的分析方案在接触结局数据之前完成注册，内容包括主要结局、主设定、异质性清单与多重性校正方法。偏离即作为偏离报告。分析代码纳入版本控制，并随相应论文发布。数据不可发布时，发布结构相匹配的合成数据集，使代码可被执行。这是对负担估计所受可重复性批评的直接回应（Byass 等, 2013; Husøy, Stovner, &amp; Steiner, 2025），且本项目将该标准首先施加于自身，而非仅施加于他人。</w:t>
      </w:r>
    </w:p>
    <w:p>
      <w:r>
        <w:pict>
          <v:rect style="width:0;height:1.5pt" o:hralign="center" o:hrstd="t" o:hr="t"/>
        </w:pict>
      </w:r>
    </w:p>
    <w:bookmarkEnd w:id="63"/>
    <w:bookmarkEnd w:id="64"/>
    <w:bookmarkStart w:id="67" w:name="归因与因果的边界"/>
    <w:p>
      <w:pPr>
        <w:pStyle w:val="Heading2"/>
      </w:pPr>
      <w:r>
        <w:t xml:space="preserve">10. 归因与因果的边界</w:t>
      </w:r>
    </w:p>
    <w:bookmarkStart w:id="65" w:name="规则"/>
    <w:p>
      <w:pPr>
        <w:pStyle w:val="Heading3"/>
      </w:pPr>
      <w:r>
        <w:t xml:space="preserve">10.1 规则</w:t>
      </w:r>
    </w:p>
    <w:p>
      <w:pPr>
        <w:pStyle w:val="FirstParagraph"/>
      </w:pPr>
      <w:r>
        <w:t xml:space="preserve">比较风险评估的产出回答的是：在给定假定的暴露反应关系与观测到的暴露分布下，已观测负担中有多少在统计意义上可归因于该暴露。准实验设计回答的是另一个问题：对给定人群，若暴露不同、其余一切保持在实际取值上，某一特定结局会如何变化。二者不是同一个量，其差别也不是精度问题。</w:t>
      </w:r>
    </w:p>
    <w:p>
      <w:pPr>
        <w:pStyle w:val="BodyText"/>
      </w:pPr>
      <w:r>
        <w:t xml:space="preserve">因此，本项目采用一条可执行规则：</w:t>
      </w:r>
      <w:r>
        <w:rPr>
          <w:bCs/>
          <w:b/>
        </w:rPr>
        <w:t xml:space="preserve">人群归因分值绝不被表述为因果效应；因果估计在缺乏显式可迁移性论证时绝不外推至人群。</w:t>
      </w:r>
      <w:r>
        <w:t xml:space="preserve"> </w:t>
      </w:r>
      <w:r>
        <w:t xml:space="preserve">由此产生三项后果。</w:t>
      </w:r>
    </w:p>
    <w:p>
      <w:pPr>
        <w:pStyle w:val="BodyText"/>
      </w:pPr>
      <w:r>
        <w:t xml:space="preserve">第一，每一项报告的负担数值均标注其暴露反应输入来自 GBD 还是来自本项目自身估计。第二，当二者不一致时，报告该不一致并诊断其可能来源，最可能的来源是关系估计所基于的人群、暴露区间或混杂调整程度的差异。第三，理论最小风险暴露基准始终作为归因负担的上界呈现，绝不作为政策目标或预测，因为在任何相关时间尺度上达到该水平都不是可行的反事实。</w:t>
      </w:r>
    </w:p>
    <w:bookmarkEnd w:id="65"/>
    <w:bookmarkStart w:id="66" w:name="为何值得承受这一约束的代价"/>
    <w:p>
      <w:pPr>
        <w:pStyle w:val="Heading3"/>
      </w:pPr>
      <w:r>
        <w:t xml:space="preserve">10.2 为何值得承受这一约束的代价</w:t>
      </w:r>
    </w:p>
    <w:p>
      <w:pPr>
        <w:pStyle w:val="FirstParagraph"/>
      </w:pPr>
      <w:r>
        <w:t xml:space="preserve">采用该规则会使一些颇具吸引力的论断不再可用。但这仍是正确的约束，理由由 GBD 文献自身提供。该框架的构建者记录了其设计选择与局限（Murray, 2022）。独立批评指出：在原始数据稀疏处主要依赖协变量驱动的插补（Byass 等, 2013）；异质性调整可能系统性低估已确立关系（Glenn 等, 2023）；数量激增的二次分析把模型化产出当作观测数据呈现（Husøy, Stovner, &amp; Steiner, 2025）。Bhutta（2025）在次国家范围扩张之际提出准确性与外部效度关切。方法学机制本身也已明确各风险与结局对的证据强度存在等级（Zheng 等, 2022），这本身即是一种邀请：应将部分归因视为远弱于其他归因，而非一律视为权威。</w:t>
      </w:r>
    </w:p>
    <w:p>
      <w:pPr>
        <w:pStyle w:val="BodyText"/>
      </w:pPr>
      <w:r>
        <w:t xml:space="preserve">大量使用 GBD 并可信地批评 GBD 的项目，必须以同一标准要求自身产出。第 9.8 节即为此设。</w:t>
      </w:r>
    </w:p>
    <w:p>
      <w:r>
        <w:pict>
          <v:rect style="width:0;height:1.5pt" o:hralign="center" o:hrstd="t" o:hr="t"/>
        </w:pict>
      </w:r>
    </w:p>
    <w:bookmarkEnd w:id="66"/>
    <w:bookmarkEnd w:id="67"/>
    <w:bookmarkStart w:id="71" w:name="福祉测量"/>
    <w:p>
      <w:pPr>
        <w:pStyle w:val="Heading2"/>
      </w:pPr>
      <w:r>
        <w:t xml:space="preserve">11. 福祉测量</w:t>
      </w:r>
    </w:p>
    <w:bookmarkStart w:id="68" w:name="六个维度分别保留"/>
    <w:p>
      <w:pPr>
        <w:pStyle w:val="Heading3"/>
      </w:pPr>
      <w:r>
        <w:t xml:space="preserve">11.1 六个维度分别保留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构念</w:t>
            </w:r>
          </w:p>
        </w:tc>
        <w:tc>
          <w:tcPr/>
          <w:p>
            <w:pPr>
              <w:pStyle w:val="Compact"/>
              <w:jc w:val="left"/>
            </w:pPr>
            <w:r>
              <w:t xml:space="preserve">工具与来源</w:t>
            </w:r>
          </w:p>
        </w:tc>
      </w:tr>
      <w:tr>
        <w:tc>
          <w:tcPr/>
          <w:p>
            <w:pPr>
              <w:pStyle w:val="Compact"/>
              <w:jc w:val="left"/>
            </w:pPr>
            <w:r>
              <w:t xml:space="preserve">存活与身体健康</w:t>
            </w:r>
          </w:p>
        </w:tc>
        <w:tc>
          <w:tcPr/>
          <w:p>
            <w:pPr>
              <w:pStyle w:val="Compact"/>
              <w:jc w:val="left"/>
            </w:pPr>
            <w:r>
              <w:t xml:space="preserve">新生儿与婴儿死亡、出生体重、孕周、呼吸系统患病次数</w:t>
            </w:r>
          </w:p>
        </w:tc>
        <w:tc>
          <w:tcPr/>
          <w:p>
            <w:pPr>
              <w:pStyle w:val="Compact"/>
              <w:jc w:val="left"/>
            </w:pPr>
            <w:r>
              <w:t xml:space="preserve">出生与死亡登记、DHS 与 MICS 死亡史、调查患病模块</w:t>
            </w:r>
          </w:p>
        </w:tc>
      </w:tr>
      <w:tr>
        <w:tc>
          <w:tcPr/>
          <w:p>
            <w:pPr>
              <w:pStyle w:val="Compact"/>
              <w:jc w:val="left"/>
            </w:pPr>
            <w:r>
              <w:t xml:space="preserve">营养与生长</w:t>
            </w:r>
          </w:p>
        </w:tc>
        <w:tc>
          <w:tcPr/>
          <w:p>
            <w:pPr>
              <w:pStyle w:val="Compact"/>
              <w:jc w:val="left"/>
            </w:pPr>
            <w:r>
              <w:t xml:space="preserve">年龄别身高、年龄别体重、身高别体重 Z 分，生长迟缓与消瘦</w:t>
            </w:r>
          </w:p>
        </w:tc>
        <w:tc>
          <w:tcPr/>
          <w:p>
            <w:pPr>
              <w:pStyle w:val="Compact"/>
              <w:jc w:val="left"/>
            </w:pPr>
            <w:r>
              <w:t xml:space="preserve">CHNS、DHS、MICS、Young Lives 体格测量</w:t>
            </w:r>
          </w:p>
        </w:tc>
      </w:tr>
      <w:tr>
        <w:tc>
          <w:tcPr/>
          <w:p>
            <w:pPr>
              <w:pStyle w:val="Compact"/>
              <w:jc w:val="left"/>
            </w:pPr>
            <w:r>
              <w:t xml:space="preserve">认知发展</w:t>
            </w:r>
          </w:p>
        </w:tc>
        <w:tc>
          <w:tcPr/>
          <w:p>
            <w:pPr>
              <w:pStyle w:val="Compact"/>
              <w:jc w:val="left"/>
            </w:pPr>
            <w:r>
              <w:t xml:space="preserve">词汇、数学、执行功能（在有测量时）</w:t>
            </w:r>
          </w:p>
        </w:tc>
        <w:tc>
          <w:tcPr/>
          <w:p>
            <w:pPr>
              <w:pStyle w:val="Compact"/>
              <w:jc w:val="left"/>
            </w:pPr>
            <w:r>
              <w:t xml:space="preserve">CFPS 认知模块、Young Lives 测评、学校测评</w:t>
            </w:r>
          </w:p>
        </w:tc>
      </w:tr>
      <w:tr>
        <w:tc>
          <w:tcPr/>
          <w:p>
            <w:pPr>
              <w:pStyle w:val="Compact"/>
              <w:jc w:val="left"/>
            </w:pPr>
            <w:r>
              <w:t xml:space="preserve">教育</w:t>
            </w:r>
          </w:p>
        </w:tc>
        <w:tc>
          <w:tcPr/>
          <w:p>
            <w:pPr>
              <w:pStyle w:val="Compact"/>
              <w:jc w:val="left"/>
            </w:pPr>
            <w:r>
              <w:t xml:space="preserve">入学、出勤、年级升级、学业成绩</w:t>
            </w:r>
          </w:p>
        </w:tc>
        <w:tc>
          <w:tcPr/>
          <w:p>
            <w:pPr>
              <w:pStyle w:val="Compact"/>
              <w:jc w:val="left"/>
            </w:pPr>
            <w:r>
              <w:t xml:space="preserve">CEPS、学校行政记录、Young Lives</w:t>
            </w:r>
          </w:p>
        </w:tc>
      </w:tr>
      <w:tr>
        <w:tc>
          <w:tcPr/>
          <w:p>
            <w:pPr>
              <w:pStyle w:val="Compact"/>
              <w:jc w:val="left"/>
            </w:pPr>
            <w:r>
              <w:t xml:space="preserve">社会心理福祉</w:t>
            </w:r>
          </w:p>
        </w:tc>
        <w:tc>
          <w:tcPr/>
          <w:p>
            <w:pPr>
              <w:pStyle w:val="Compact"/>
              <w:jc w:val="left"/>
            </w:pPr>
            <w:r>
              <w:t xml:space="preserve">内化与外化症状、主观幸福感</w:t>
            </w:r>
          </w:p>
        </w:tc>
        <w:tc>
          <w:tcPr/>
          <w:p>
            <w:pPr>
              <w:pStyle w:val="Compact"/>
              <w:jc w:val="left"/>
            </w:pPr>
            <w:r>
              <w:t xml:space="preserve">存在经效度检验工具时纳入，否则报告为未测量</w:t>
            </w:r>
          </w:p>
        </w:tc>
      </w:tr>
      <w:tr>
        <w:tc>
          <w:tcPr/>
          <w:p>
            <w:pPr>
              <w:pStyle w:val="Compact"/>
              <w:jc w:val="left"/>
            </w:pPr>
            <w:r>
              <w:t xml:space="preserve">家庭经济地位</w:t>
            </w:r>
          </w:p>
        </w:tc>
        <w:tc>
          <w:tcPr/>
          <w:p>
            <w:pPr>
              <w:pStyle w:val="Compact"/>
              <w:jc w:val="left"/>
            </w:pPr>
            <w:r>
              <w:t xml:space="preserve">收入、消费、自付医疗与教育支出</w:t>
            </w:r>
          </w:p>
        </w:tc>
        <w:tc>
          <w:tcPr/>
          <w:p>
            <w:pPr>
              <w:pStyle w:val="Compact"/>
              <w:jc w:val="left"/>
            </w:pPr>
            <w:r>
              <w:t xml:space="preserve">CFPS、DHS 财富模块、IHDS</w:t>
            </w:r>
          </w:p>
        </w:tc>
      </w:tr>
    </w:tbl>
    <w:bookmarkEnd w:id="68"/>
    <w:bookmarkStart w:id="69" w:name="为何不采用单一指数"/>
    <w:p>
      <w:pPr>
        <w:pStyle w:val="Heading3"/>
      </w:pPr>
      <w:r>
        <w:t xml:space="preserve">11.2 为何不采用单一指数</w:t>
      </w:r>
    </w:p>
    <w:p>
      <w:pPr>
        <w:pStyle w:val="FirstParagraph"/>
      </w:pPr>
      <w:r>
        <w:t xml:space="preserve">可行能力框架（Sen, 2005）将福祉视为可实现功能性活动的向量，而将该向量化约为标量，没有任何基于证据的程序可以在不引入数据本身不包含的权重的前提下完成。另有两点强化这一判断。第一，本项目的核心问题是分配问题；跨维度平均的指数可能在某一维度出现巨大损失、另一维度出现抵消性收益时显示为零变化，而这恰恰是“复合暴露叠加家庭补偿”所产生的格局。第二，各维度对不同机制以不同滞后作出反应，平均化会摧毁本项目所需的时间结构。</w:t>
      </w:r>
    </w:p>
    <w:p>
      <w:pPr>
        <w:pStyle w:val="BodyText"/>
      </w:pPr>
      <w:r>
        <w:t xml:space="preserve">在因沟通需要而必须给出综合指标时，本项目采用计数法多维测度（Alkire &amp; Foster, 2011），该方法可按人群与指标分解，因而任何汇总数字都可被拆解回其来源。综合指标始终与分维度结果一并报告，绝不取而代之。</w:t>
      </w:r>
    </w:p>
    <w:bookmarkEnd w:id="69"/>
    <w:bookmarkStart w:id="70" w:name="测量适应能力而非推断适应能力"/>
    <w:p>
      <w:pPr>
        <w:pStyle w:val="Heading3"/>
      </w:pPr>
      <w:r>
        <w:t xml:space="preserve">11.3 测量适应能力，而非推断适应能力</w:t>
      </w:r>
    </w:p>
    <w:p>
      <w:pPr>
        <w:pStyle w:val="FirstParagraph"/>
      </w:pPr>
      <w:r>
        <w:t xml:space="preserve">本项目将三条适应通道作为可测量构念处理。</w:t>
      </w:r>
    </w:p>
    <w:p>
      <w:pPr>
        <w:pStyle w:val="BodyText"/>
      </w:pPr>
      <w:r>
        <w:rPr>
          <w:iCs/>
          <w:i/>
        </w:rPr>
        <w:t xml:space="preserve">规避</w:t>
      </w:r>
      <w:r>
        <w:t xml:space="preserve">以空气净化器、空调与机械通风的拥有与使用、在高污染或高温日报告的户外活动减少，以及有记录时的口罩使用来测量。行为文献提示规避既非人人可负担，也不能在连续高暴露日中持续（Ito &amp; Zhang, 2020; Graff Zivin &amp; Neidell, 2009），因此本项目同时测量存量与使用，而非仅测量存量。</w:t>
      </w:r>
    </w:p>
    <w:p>
      <w:pPr>
        <w:pStyle w:val="BodyText"/>
      </w:pPr>
      <w:r>
        <w:rPr>
          <w:iCs/>
          <w:i/>
        </w:rPr>
        <w:t xml:space="preserve">补偿</w:t>
      </w:r>
      <w:r>
        <w:t xml:space="preserve">以自付医疗支出、就医行为、暴露事件后教育支出与父母时间投入的变化来测量；在面板结构允许时，还测量家庭内部在子女之间的资源再配置。父母反应方向在理论上的不确定性（Almond &amp; Mazumder, 2013; Bharadwaj, Eberhard, &amp; Neilson, 2018）意味着符号与量级同为经验问题。</w:t>
      </w:r>
    </w:p>
    <w:p>
      <w:pPr>
        <w:pStyle w:val="BodyText"/>
      </w:pPr>
      <w:r>
        <w:rPr>
          <w:iCs/>
          <w:i/>
        </w:rPr>
        <w:t xml:space="preserve">制度替代</w:t>
      </w:r>
      <w:r>
        <w:t xml:space="preserve">以学校层面的空调与过滤设备、停课政策、到卫生机构的距离与通行时间、保险覆盖以及社会保护项目的存在来测量。已有证据表明这些因素可能具有决定性（Park 等, 2020; Gilraine, 2025; Garg, Jagnani, &amp; Taraz, 2020），这使其成为政策杠杆最清晰的通道，因而其测量最应作为主要测量而非附带测量。</w:t>
      </w:r>
    </w:p>
    <w:p>
      <w:r>
        <w:pict>
          <v:rect style="width:0;height:1.5pt" o:hralign="center" o:hrstd="t" o:hr="t"/>
        </w:pict>
      </w:r>
    </w:p>
    <w:bookmarkEnd w:id="70"/>
    <w:bookmarkEnd w:id="71"/>
    <w:bookmarkStart w:id="74" w:name="比较逻辑与适用边界条件"/>
    <w:p>
      <w:pPr>
        <w:pStyle w:val="Heading2"/>
      </w:pPr>
      <w:r>
        <w:t xml:space="preserve">12. 比较逻辑与适用边界条件</w:t>
      </w:r>
    </w:p>
    <w:bookmarkStart w:id="72" w:name="中国能锚定什么不能锚定什么"/>
    <w:p>
      <w:pPr>
        <w:pStyle w:val="Heading3"/>
      </w:pPr>
      <w:r>
        <w:t xml:space="preserve">12.1 中国能锚定什么，不能锚定什么</w:t>
      </w:r>
    </w:p>
    <w:p>
      <w:pPr>
        <w:pStyle w:val="FirstParagraph"/>
      </w:pPr>
      <w:r>
        <w:t xml:space="preserve">以中国为锚，是因为它同时具备高分辨率长时序暴露面、2013 年以来的密集地面监测、行政出生记录，以及多项具有全国代表性的追踪调查。同时具备这四项条件的场景并不多。该组合支撑了本项目所需的精细交互估计。</w:t>
      </w:r>
    </w:p>
    <w:p>
      <w:pPr>
        <w:pStyle w:val="BodyText"/>
      </w:pPr>
      <w:r>
        <w:t xml:space="preserve">中国同时在若干方面具有非典型性，这些非典型性构成外推的边界。其近期暴露轨迹是由中央协调政策驱动的异常快速改善（Zhang 等, 2019; Xue 等, 2024），而这并非多数中低收入国家所面对的反事实。其户籍制度以在别处没有直接对应物的方式塑造居住分选与服务可及性，尽管其分层功能已被作为其他先赋性制度的类比加以分析（Schoolman &amp; Ma, 2012; Tan 等, 2024）。其学校体系相对于收入水平而言资源较为充足。上述每一项都是适用边界条件，并且每一项都作为显式调节变量进入组件 D 的元回归，而不是以未加说明的告诫形式存在。</w:t>
      </w:r>
    </w:p>
    <w:bookmarkEnd w:id="72"/>
    <w:bookmarkStart w:id="73" w:name="此处的可外推意味着什么"/>
    <w:p>
      <w:pPr>
        <w:pStyle w:val="Heading3"/>
      </w:pPr>
      <w:r>
        <w:t xml:space="preserve">12.2 此处的“可外推”意味着什么</w:t>
      </w:r>
    </w:p>
    <w:p>
      <w:pPr>
        <w:pStyle w:val="FirstParagraph"/>
      </w:pPr>
      <w:r>
        <w:t xml:space="preserve">本项目不主张中国的系数可以迁移。它主张</w:t>
      </w:r>
      <w:r>
        <w:rPr>
          <w:iCs/>
          <w:i/>
        </w:rPr>
        <w:t xml:space="preserve">机制</w:t>
      </w:r>
      <w:r>
        <w:t xml:space="preserve">可能迁移而量级不迁移，并明确写出何种证据支持、何种证据反驳。</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外推层次</w:t>
            </w:r>
          </w:p>
        </w:tc>
        <w:tc>
          <w:tcPr/>
          <w:p>
            <w:pPr>
              <w:pStyle w:val="Compact"/>
              <w:jc w:val="left"/>
            </w:pPr>
            <w:r>
              <w:t xml:space="preserve">论断</w:t>
            </w:r>
          </w:p>
        </w:tc>
        <w:tc>
          <w:tcPr/>
          <w:p>
            <w:pPr>
              <w:pStyle w:val="Compact"/>
              <w:jc w:val="left"/>
            </w:pPr>
            <w:r>
              <w:t xml:space="preserve">支持性证据</w:t>
            </w:r>
          </w:p>
        </w:tc>
        <w:tc>
          <w:tcPr/>
          <w:p>
            <w:pPr>
              <w:pStyle w:val="Compact"/>
              <w:jc w:val="left"/>
            </w:pPr>
            <w:r>
              <w:t xml:space="preserve">反驳性证据</w:t>
            </w:r>
          </w:p>
        </w:tc>
      </w:tr>
      <w:tr>
        <w:tc>
          <w:tcPr/>
          <w:p>
            <w:pPr>
              <w:pStyle w:val="Compact"/>
              <w:jc w:val="left"/>
            </w:pPr>
            <w:r>
              <w:t xml:space="preserve">结构层</w:t>
            </w:r>
          </w:p>
        </w:tc>
        <w:tc>
          <w:tcPr/>
          <w:p>
            <w:pPr>
              <w:pStyle w:val="Compact"/>
              <w:jc w:val="left"/>
            </w:pPr>
            <w:r>
              <w:t xml:space="preserve">复合暴露相对于儿童社会经济位置分布不均</w:t>
            </w:r>
          </w:p>
        </w:tc>
        <w:tc>
          <w:tcPr/>
          <w:p>
            <w:pPr>
              <w:pStyle w:val="Compact"/>
              <w:jc w:val="left"/>
            </w:pPr>
            <w:r>
              <w:t xml:space="preserve">各场景集中指数符号一致</w:t>
            </w:r>
          </w:p>
        </w:tc>
        <w:tc>
          <w:tcPr/>
          <w:p>
            <w:pPr>
              <w:pStyle w:val="Compact"/>
              <w:jc w:val="left"/>
            </w:pPr>
            <w:r>
              <w:t xml:space="preserve">符号反转，或中国以外的指数与零无法区分</w:t>
            </w:r>
          </w:p>
        </w:tc>
      </w:tr>
      <w:tr>
        <w:tc>
          <w:tcPr/>
          <w:p>
            <w:pPr>
              <w:pStyle w:val="Compact"/>
              <w:jc w:val="left"/>
            </w:pPr>
            <w:r>
              <w:t xml:space="preserve">函数层</w:t>
            </w:r>
          </w:p>
        </w:tc>
        <w:tc>
          <w:tcPr/>
          <w:p>
            <w:pPr>
              <w:pStyle w:val="Compact"/>
              <w:jc w:val="left"/>
            </w:pPr>
            <w:r>
              <w:t xml:space="preserve">联合暴露产生超相加福祉损失</w:t>
            </w:r>
          </w:p>
        </w:tc>
        <w:tc>
          <w:tcPr/>
          <w:p>
            <w:pPr>
              <w:pStyle w:val="Compact"/>
              <w:jc w:val="left"/>
            </w:pPr>
            <w:r>
              <w:t xml:space="preserve">各场景相加交互对比为正，量级不同</w:t>
            </w:r>
          </w:p>
        </w:tc>
        <w:tc>
          <w:tcPr/>
          <w:p>
            <w:pPr>
              <w:pStyle w:val="Compact"/>
              <w:jc w:val="left"/>
            </w:pPr>
            <w:r>
              <w:t xml:space="preserve">在检验效能充分的情况下，中国以外无法拒绝相加性</w:t>
            </w:r>
          </w:p>
        </w:tc>
      </w:tr>
      <w:tr>
        <w:tc>
          <w:tcPr/>
          <w:p>
            <w:pPr>
              <w:pStyle w:val="Compact"/>
              <w:jc w:val="left"/>
            </w:pPr>
            <w:r>
              <w:t xml:space="preserve">调节层</w:t>
            </w:r>
          </w:p>
        </w:tc>
        <w:tc>
          <w:tcPr/>
          <w:p>
            <w:pPr>
              <w:pStyle w:val="Compact"/>
              <w:jc w:val="left"/>
            </w:pPr>
            <w:r>
              <w:t xml:space="preserve">适应能力削弱交互</w:t>
            </w:r>
          </w:p>
        </w:tc>
        <w:tc>
          <w:tcPr/>
          <w:p>
            <w:pPr>
              <w:pStyle w:val="Compact"/>
              <w:jc w:val="left"/>
            </w:pPr>
            <w:r>
              <w:t xml:space="preserve">元回归中制度调节变量系数符号符合预期</w:t>
            </w:r>
          </w:p>
        </w:tc>
        <w:tc>
          <w:tcPr/>
          <w:p>
            <w:pPr>
              <w:pStyle w:val="Compact"/>
              <w:jc w:val="left"/>
            </w:pPr>
            <w:r>
              <w:t xml:space="preserve">无调节作用，意味着交互是生物学的、对政策不敏感</w:t>
            </w:r>
          </w:p>
        </w:tc>
      </w:tr>
    </w:tbl>
    <w:p>
      <w:pPr>
        <w:pStyle w:val="BodyText"/>
      </w:pPr>
      <w:r>
        <w:t xml:space="preserve">第三行是本项目政策价值的集中所在。若交互存在但不受适应能力调节，其含义是只有削减暴露有效，家庭与学校层面的干预徒劳无功。这是一项后果重大的否定性发现，而本项目的设计使其能够报告该发现。</w:t>
      </w:r>
    </w:p>
    <w:p>
      <w:r>
        <w:pict>
          <v:rect style="width:0;height:1.5pt" o:hralign="center" o:hrstd="t" o:hr="t"/>
        </w:pict>
      </w:r>
    </w:p>
    <w:bookmarkEnd w:id="73"/>
    <w:bookmarkEnd w:id="74"/>
    <w:bookmarkStart w:id="78" w:name="产出基础设施与路线图"/>
    <w:p>
      <w:pPr>
        <w:pStyle w:val="Heading2"/>
      </w:pPr>
      <w:r>
        <w:t xml:space="preserve">13. 产出、基础设施与路线图</w:t>
      </w:r>
    </w:p>
    <w:bookmarkStart w:id="75" w:name="研究基础设施"/>
    <w:p>
      <w:pPr>
        <w:pStyle w:val="Heading3"/>
      </w:pPr>
      <w:r>
        <w:t xml:space="preserve">13.1 研究基础设施</w:t>
      </w:r>
    </w:p>
    <w:p>
      <w:pPr>
        <w:pStyle w:val="FirstParagraph"/>
      </w:pPr>
      <w:r>
        <w:t xml:space="preserve">项目产生四项独立于任何单篇论文的持久资产：带完整来源说明与不确定性的中国区县日度复合暴露记录（含版本管理）；GBD 风险因素定义与本项目暴露构念之间的对照表，并明确写出二者对应与不对应之处；以 R 与 Stata 实现、可用合成数据执行的可重复分析流水线；覆盖每一项链接决策的元数据字典，含第 7.3 节所述插值占比。</w:t>
      </w:r>
    </w:p>
    <w:bookmarkEnd w:id="75"/>
    <w:bookmarkStart w:id="76" w:name="论文规划"/>
    <w:p>
      <w:pPr>
        <w:pStyle w:val="Heading3"/>
      </w:pPr>
      <w:r>
        <w:t xml:space="preserve">13.2 论文规划</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工作标题</w:t>
            </w:r>
          </w:p>
        </w:tc>
        <w:tc>
          <w:tcPr/>
          <w:p>
            <w:pPr>
              <w:pStyle w:val="Compact"/>
              <w:jc w:val="left"/>
            </w:pPr>
            <w:r>
              <w:t xml:space="preserve">贡献类型</w:t>
            </w:r>
          </w:p>
        </w:tc>
        <w:tc>
          <w:tcPr/>
          <w:p>
            <w:pPr>
              <w:pStyle w:val="Compact"/>
              <w:jc w:val="left"/>
            </w:pPr>
            <w:r>
              <w:t xml:space="preserve">组件</w:t>
            </w:r>
          </w:p>
        </w:tc>
      </w:tr>
      <w:tr>
        <w:tc>
          <w:tcPr/>
          <w:p>
            <w:pPr>
              <w:pStyle w:val="Compact"/>
              <w:jc w:val="left"/>
            </w:pPr>
            <w:r>
              <w:t xml:space="preserve">1</w:t>
            </w:r>
          </w:p>
        </w:tc>
        <w:tc>
          <w:tcPr/>
          <w:p>
            <w:pPr>
              <w:pStyle w:val="Compact"/>
              <w:jc w:val="left"/>
            </w:pPr>
            <w:r>
              <w:t xml:space="preserve">2000 至 2023 年中国儿童复合气候与污染暴露</w:t>
            </w:r>
          </w:p>
        </w:tc>
        <w:tc>
          <w:tcPr/>
          <w:p>
            <w:pPr>
              <w:pStyle w:val="Compact"/>
              <w:jc w:val="left"/>
            </w:pPr>
            <w:r>
              <w:t xml:space="preserve">测量与描述</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是否超相加：出生结局中高温与污染的交互检验</w:t>
            </w:r>
          </w:p>
        </w:tc>
        <w:tc>
          <w:tcPr/>
          <w:p>
            <w:pPr>
              <w:pStyle w:val="Compact"/>
              <w:jc w:val="left"/>
            </w:pPr>
            <w:r>
              <w:t xml:space="preserve">因果，函数形式</w:t>
            </w:r>
          </w:p>
        </w:tc>
        <w:tc>
          <w:tcPr/>
          <w:p>
            <w:pPr>
              <w:pStyle w:val="Compact"/>
              <w:jc w:val="left"/>
            </w:pPr>
            <w:r>
              <w:t xml:space="preserve">B</w:t>
            </w:r>
          </w:p>
        </w:tc>
      </w:tr>
      <w:tr>
        <w:tc>
          <w:tcPr/>
          <w:p>
            <w:pPr>
              <w:pStyle w:val="Compact"/>
              <w:jc w:val="left"/>
            </w:pPr>
            <w:r>
              <w:t xml:space="preserve">3</w:t>
            </w:r>
          </w:p>
        </w:tc>
        <w:tc>
          <w:tcPr/>
          <w:p>
            <w:pPr>
              <w:pStyle w:val="Compact"/>
              <w:jc w:val="left"/>
            </w:pPr>
            <w:r>
              <w:t xml:space="preserve">同等暴露，不等福祉：复合环境风险的分层效应</w:t>
            </w:r>
          </w:p>
        </w:tc>
        <w:tc>
          <w:tcPr/>
          <w:p>
            <w:pPr>
              <w:pStyle w:val="Compact"/>
              <w:jc w:val="left"/>
            </w:pPr>
            <w:r>
              <w:t xml:space="preserve">因果，异质性</w:t>
            </w:r>
          </w:p>
        </w:tc>
        <w:tc>
          <w:tcPr/>
          <w:p>
            <w:pPr>
              <w:pStyle w:val="Compact"/>
              <w:jc w:val="left"/>
            </w:pPr>
            <w:r>
              <w:t xml:space="preserve">B 与 C</w:t>
            </w:r>
          </w:p>
        </w:tc>
      </w:tr>
      <w:tr>
        <w:tc>
          <w:tcPr/>
          <w:p>
            <w:pPr>
              <w:pStyle w:val="Compact"/>
              <w:jc w:val="left"/>
            </w:pPr>
            <w:r>
              <w:t xml:space="preserve">4</w:t>
            </w:r>
          </w:p>
        </w:tc>
        <w:tc>
          <w:tcPr/>
          <w:p>
            <w:pPr>
              <w:pStyle w:val="Compact"/>
              <w:jc w:val="left"/>
            </w:pPr>
            <w:r>
              <w:t xml:space="preserve">规避、补偿还是制度：环境风险保护机制的分解</w:t>
            </w:r>
          </w:p>
        </w:tc>
        <w:tc>
          <w:tcPr/>
          <w:p>
            <w:pPr>
              <w:pStyle w:val="Compact"/>
              <w:jc w:val="left"/>
            </w:pPr>
            <w:r>
              <w:t xml:space="preserve">机制</w:t>
            </w:r>
          </w:p>
        </w:tc>
        <w:tc>
          <w:tcPr/>
          <w:p>
            <w:pPr>
              <w:pStyle w:val="Compact"/>
              <w:jc w:val="left"/>
            </w:pPr>
            <w:r>
              <w:t xml:space="preserve">C</w:t>
            </w:r>
          </w:p>
        </w:tc>
      </w:tr>
      <w:tr>
        <w:tc>
          <w:tcPr/>
          <w:p>
            <w:pPr>
              <w:pStyle w:val="Compact"/>
              <w:jc w:val="left"/>
            </w:pPr>
            <w:r>
              <w:t xml:space="preserve">5</w:t>
            </w:r>
          </w:p>
        </w:tc>
        <w:tc>
          <w:tcPr/>
          <w:p>
            <w:pPr>
              <w:pStyle w:val="Compact"/>
              <w:jc w:val="left"/>
            </w:pPr>
            <w:r>
              <w:t xml:space="preserve">气候冲击、学校中断与中国农村学习损失</w:t>
            </w:r>
          </w:p>
        </w:tc>
        <w:tc>
          <w:tcPr/>
          <w:p>
            <w:pPr>
              <w:pStyle w:val="Compact"/>
              <w:jc w:val="left"/>
            </w:pPr>
            <w:r>
              <w:t xml:space="preserve">因果，教育</w:t>
            </w:r>
          </w:p>
        </w:tc>
        <w:tc>
          <w:tcPr/>
          <w:p>
            <w:pPr>
              <w:pStyle w:val="Compact"/>
              <w:jc w:val="left"/>
            </w:pPr>
            <w:r>
              <w:t xml:space="preserve">C</w:t>
            </w:r>
          </w:p>
        </w:tc>
      </w:tr>
      <w:tr>
        <w:tc>
          <w:tcPr/>
          <w:p>
            <w:pPr>
              <w:pStyle w:val="Compact"/>
              <w:jc w:val="left"/>
            </w:pPr>
            <w:r>
              <w:t xml:space="preserve">6</w:t>
            </w:r>
          </w:p>
        </w:tc>
        <w:tc>
          <w:tcPr/>
          <w:p>
            <w:pPr>
              <w:pStyle w:val="Compact"/>
              <w:jc w:val="left"/>
            </w:pPr>
            <w:r>
              <w:t xml:space="preserve">中低收入国家复合暴露与儿童福祉</w:t>
            </w:r>
          </w:p>
        </w:tc>
        <w:tc>
          <w:tcPr/>
          <w:p>
            <w:pPr>
              <w:pStyle w:val="Compact"/>
              <w:jc w:val="left"/>
            </w:pPr>
            <w:r>
              <w:t xml:space="preserve">外部效度与边界条件</w:t>
            </w:r>
          </w:p>
        </w:tc>
        <w:tc>
          <w:tcPr/>
          <w:p>
            <w:pPr>
              <w:pStyle w:val="Compact"/>
              <w:jc w:val="left"/>
            </w:pPr>
            <w:r>
              <w:t xml:space="preserve">D</w:t>
            </w:r>
          </w:p>
        </w:tc>
      </w:tr>
      <w:tr>
        <w:tc>
          <w:tcPr/>
          <w:p>
            <w:pPr>
              <w:pStyle w:val="Compact"/>
              <w:jc w:val="left"/>
            </w:pPr>
            <w:r>
              <w:t xml:space="preserve">7</w:t>
            </w:r>
          </w:p>
        </w:tc>
        <w:tc>
          <w:tcPr/>
          <w:p>
            <w:pPr>
              <w:pStyle w:val="Compact"/>
              <w:jc w:val="left"/>
            </w:pPr>
            <w:r>
              <w:t xml:space="preserve">可行暴露削减下儿童可预防福祉损失的分布</w:t>
            </w:r>
          </w:p>
        </w:tc>
        <w:tc>
          <w:tcPr/>
          <w:p>
            <w:pPr>
              <w:pStyle w:val="Compact"/>
              <w:jc w:val="left"/>
            </w:pPr>
            <w:r>
              <w:t xml:space="preserve">政策反事实</w:t>
            </w:r>
          </w:p>
        </w:tc>
        <w:tc>
          <w:tcPr/>
          <w:p>
            <w:pPr>
              <w:pStyle w:val="Compact"/>
              <w:jc w:val="left"/>
            </w:pPr>
            <w:r>
              <w:t xml:space="preserve">E</w:t>
            </w:r>
          </w:p>
        </w:tc>
      </w:tr>
    </w:tbl>
    <w:bookmarkEnd w:id="76"/>
    <w:bookmarkStart w:id="77" w:name="五年路线图"/>
    <w:p>
      <w:pPr>
        <w:pStyle w:val="Heading3"/>
      </w:pPr>
      <w:r>
        <w:t xml:space="preserve">13.3 五年路线图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年度</w:t>
            </w:r>
          </w:p>
        </w:tc>
        <w:tc>
          <w:tcPr/>
          <w:p>
            <w:pPr>
              <w:pStyle w:val="Compact"/>
              <w:jc w:val="left"/>
            </w:pPr>
            <w:r>
              <w:t xml:space="preserve">重点</w:t>
            </w:r>
          </w:p>
        </w:tc>
        <w:tc>
          <w:tcPr/>
          <w:p>
            <w:pPr>
              <w:pStyle w:val="Compact"/>
              <w:jc w:val="left"/>
            </w:pPr>
            <w:r>
              <w:t xml:space="preserve">里程碑</w:t>
            </w:r>
          </w:p>
        </w:tc>
        <w:tc>
          <w:tcPr/>
          <w:p>
            <w:pPr>
              <w:pStyle w:val="Compact"/>
              <w:jc w:val="left"/>
            </w:pPr>
            <w:r>
              <w:t xml:space="preserve">依赖条件</w:t>
            </w:r>
          </w:p>
        </w:tc>
      </w:tr>
      <w:tr>
        <w:tc>
          <w:tcPr/>
          <w:p>
            <w:pPr>
              <w:pStyle w:val="Compact"/>
              <w:jc w:val="left"/>
            </w:pPr>
            <w:r>
              <w:t xml:space="preserve">第 1 年</w:t>
            </w:r>
          </w:p>
        </w:tc>
        <w:tc>
          <w:tcPr/>
          <w:p>
            <w:pPr>
              <w:pStyle w:val="Compact"/>
              <w:jc w:val="left"/>
            </w:pPr>
            <w:r>
              <w:t xml:space="preserve">暴露记录构建、产品验证、数据协议</w:t>
            </w:r>
          </w:p>
        </w:tc>
        <w:tc>
          <w:tcPr/>
          <w:p>
            <w:pPr>
              <w:pStyle w:val="Compact"/>
              <w:jc w:val="left"/>
            </w:pPr>
            <w:r>
              <w:t xml:space="preserve">论文 1 投稿；暴露记录完成版本化并内部发布</w:t>
            </w:r>
          </w:p>
        </w:tc>
        <w:tc>
          <w:tcPr/>
          <w:p>
            <w:pPr>
              <w:pStyle w:val="Compact"/>
              <w:jc w:val="left"/>
            </w:pPr>
            <w:r>
              <w:t xml:space="preserve">地面监测档案可及</w:t>
            </w:r>
          </w:p>
        </w:tc>
      </w:tr>
      <w:tr>
        <w:tc>
          <w:tcPr/>
          <w:p>
            <w:pPr>
              <w:pStyle w:val="Compact"/>
              <w:jc w:val="left"/>
            </w:pPr>
            <w:r>
              <w:t xml:space="preserve">第 2 年</w:t>
            </w:r>
          </w:p>
        </w:tc>
        <w:tc>
          <w:tcPr/>
          <w:p>
            <w:pPr>
              <w:pStyle w:val="Compact"/>
              <w:jc w:val="left"/>
            </w:pPr>
            <w:r>
              <w:t xml:space="preserve">出生结局估计、交互检验、测量误差校正</w:t>
            </w:r>
          </w:p>
        </w:tc>
        <w:tc>
          <w:tcPr/>
          <w:p>
            <w:pPr>
              <w:pStyle w:val="Compact"/>
              <w:jc w:val="left"/>
            </w:pPr>
            <w:r>
              <w:t xml:space="preserve">论文 2 投稿；论文 3 成稿</w:t>
            </w:r>
          </w:p>
        </w:tc>
        <w:tc>
          <w:tcPr/>
          <w:p>
            <w:pPr>
              <w:pStyle w:val="Compact"/>
              <w:jc w:val="left"/>
            </w:pPr>
            <w:r>
              <w:t xml:space="preserve">行政出生数据协议签署生效</w:t>
            </w:r>
          </w:p>
        </w:tc>
      </w:tr>
      <w:tr>
        <w:tc>
          <w:tcPr/>
          <w:p>
            <w:pPr>
              <w:pStyle w:val="Compact"/>
              <w:jc w:val="left"/>
            </w:pPr>
            <w:r>
              <w:t xml:space="preserve">第 3 年</w:t>
            </w:r>
          </w:p>
        </w:tc>
        <w:tc>
          <w:tcPr/>
          <w:p>
            <w:pPr>
              <w:pStyle w:val="Compact"/>
              <w:jc w:val="left"/>
            </w:pPr>
            <w:r>
              <w:t xml:space="preserve">就学、冲击与适应；机制测量</w:t>
            </w:r>
          </w:p>
        </w:tc>
        <w:tc>
          <w:tcPr/>
          <w:p>
            <w:pPr>
              <w:pStyle w:val="Compact"/>
              <w:jc w:val="left"/>
            </w:pPr>
            <w:r>
              <w:t xml:space="preserve">论文 4 与论文 5 投稿</w:t>
            </w:r>
          </w:p>
        </w:tc>
        <w:tc>
          <w:tcPr/>
          <w:p>
            <w:pPr>
              <w:pStyle w:val="Compact"/>
              <w:jc w:val="left"/>
            </w:pPr>
            <w:r>
              <w:t xml:space="preserve">CFPS、CHNS、CEPS 相应期次可用</w:t>
            </w:r>
          </w:p>
        </w:tc>
      </w:tr>
      <w:tr>
        <w:tc>
          <w:tcPr/>
          <w:p>
            <w:pPr>
              <w:pStyle w:val="Compact"/>
              <w:jc w:val="left"/>
            </w:pPr>
            <w:r>
              <w:t xml:space="preserve">第 4 年</w:t>
            </w:r>
          </w:p>
        </w:tc>
        <w:tc>
          <w:tcPr/>
          <w:p>
            <w:pPr>
              <w:pStyle w:val="Compact"/>
              <w:jc w:val="left"/>
            </w:pPr>
            <w:r>
              <w:t xml:space="preserve">比较估计与元回归</w:t>
            </w:r>
          </w:p>
        </w:tc>
        <w:tc>
          <w:tcPr/>
          <w:p>
            <w:pPr>
              <w:pStyle w:val="Compact"/>
              <w:jc w:val="left"/>
            </w:pPr>
            <w:r>
              <w:t xml:space="preserve">论文 6 投稿</w:t>
            </w:r>
          </w:p>
        </w:tc>
        <w:tc>
          <w:tcPr/>
          <w:p>
            <w:pPr>
              <w:pStyle w:val="Compact"/>
              <w:jc w:val="left"/>
            </w:pPr>
            <w:r>
              <w:t xml:space="preserve">第 3 年完成比较结局测量协调</w:t>
            </w:r>
          </w:p>
        </w:tc>
      </w:tr>
      <w:tr>
        <w:tc>
          <w:tcPr/>
          <w:p>
            <w:pPr>
              <w:pStyle w:val="Compact"/>
              <w:jc w:val="left"/>
            </w:pPr>
            <w:r>
              <w:t xml:space="preserve">第 5 年</w:t>
            </w:r>
          </w:p>
        </w:tc>
        <w:tc>
          <w:tcPr/>
          <w:p>
            <w:pPr>
              <w:pStyle w:val="Compact"/>
              <w:jc w:val="left"/>
            </w:pPr>
            <w:r>
              <w:t xml:space="preserve">负担与分配模拟；综合</w:t>
            </w:r>
          </w:p>
        </w:tc>
        <w:tc>
          <w:tcPr/>
          <w:p>
            <w:pPr>
              <w:pStyle w:val="Compact"/>
              <w:jc w:val="left"/>
            </w:pPr>
            <w:r>
              <w:t xml:space="preserve">论文 7 投稿；政策报告与公共暴露图集发布</w:t>
            </w:r>
          </w:p>
        </w:tc>
        <w:tc>
          <w:tcPr/>
          <w:p>
            <w:pPr>
              <w:pStyle w:val="Compact"/>
              <w:jc w:val="left"/>
            </w:pPr>
            <w:r>
              <w:t xml:space="preserve">组件 A、B、D 估计定稿</w:t>
            </w:r>
          </w:p>
        </w:tc>
      </w:tr>
    </w:tbl>
    <w:p>
      <w:pPr>
        <w:pStyle w:val="BodyText"/>
      </w:pPr>
      <w:r>
        <w:t xml:space="preserve">依赖条件一列必须列出，因为路线图的主要风险是次序风险。组件 E 无法在组件 A、B、D 产出输入之前启动；组件 B 无法在行政数据协议生效之前启动。若该协议延后至第 2 年之后，组件 B 的母亲内部设计将由识别力较弱的调查设计替代，并在相应成果中如实说明，而非隐瞒。</w:t>
      </w:r>
    </w:p>
    <w:p>
      <w:r>
        <w:pict>
          <v:rect style="width:0;height:1.5pt" o:hralign="center" o:hrstd="t" o:hr="t"/>
        </w:pict>
      </w:r>
    </w:p>
    <w:bookmarkEnd w:id="77"/>
    <w:bookmarkEnd w:id="78"/>
    <w:bookmarkStart w:id="82" w:name="局限与本项目可能出错的条件"/>
    <w:p>
      <w:pPr>
        <w:pStyle w:val="Heading2"/>
      </w:pPr>
      <w:r>
        <w:t xml:space="preserve">14. 局限与本项目可能出错的条件</w:t>
      </w:r>
    </w:p>
    <w:bookmarkStart w:id="79" w:name="设计层面的局限"/>
    <w:p>
      <w:pPr>
        <w:pStyle w:val="Heading3"/>
      </w:pPr>
      <w:r>
        <w:t xml:space="preserve">14.1 设计层面的局限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局限</w:t>
            </w:r>
          </w:p>
        </w:tc>
        <w:tc>
          <w:tcPr/>
          <w:p>
            <w:pPr>
              <w:pStyle w:val="Compact"/>
              <w:jc w:val="left"/>
            </w:pPr>
            <w:r>
              <w:t xml:space="preserve">为何重要</w:t>
            </w:r>
          </w:p>
        </w:tc>
        <w:tc>
          <w:tcPr/>
          <w:p>
            <w:pPr>
              <w:pStyle w:val="Compact"/>
              <w:jc w:val="left"/>
            </w:pPr>
            <w:r>
              <w:t xml:space="preserve">应对</w:t>
            </w:r>
          </w:p>
        </w:tc>
      </w:tr>
      <w:tr>
        <w:tc>
          <w:tcPr/>
          <w:p>
            <w:pPr>
              <w:pStyle w:val="Compact"/>
              <w:jc w:val="left"/>
            </w:pPr>
            <w:r>
              <w:t xml:space="preserve">高温与污染之间的共线性</w:t>
            </w:r>
          </w:p>
        </w:tc>
        <w:tc>
          <w:tcPr/>
          <w:p>
            <w:pPr>
              <w:pStyle w:val="Compact"/>
              <w:jc w:val="left"/>
            </w:pPr>
            <w:r>
              <w:t xml:space="preserve">交互估计量要求两者具有独立变异，而部分区县与季节可能变异不足</w:t>
            </w:r>
          </w:p>
        </w:tc>
        <w:tc>
          <w:tcPr/>
          <w:p>
            <w:pPr>
              <w:pStyle w:val="Compact"/>
              <w:jc w:val="left"/>
            </w:pPr>
            <w:r>
              <w:t xml:space="preserve">在估计前报告联合暴露分布的支撑集；将交互论断限于非对角格具有足够质量的区域与季节；报告各格有效样本量</w:t>
            </w:r>
          </w:p>
        </w:tc>
      </w:tr>
      <w:tr>
        <w:tc>
          <w:tcPr/>
          <w:p>
            <w:pPr>
              <w:pStyle w:val="Compact"/>
              <w:jc w:val="left"/>
            </w:pPr>
            <w:r>
              <w:t xml:space="preserve">暴露产品误差在交互项中复合</w:t>
            </w:r>
          </w:p>
        </w:tc>
        <w:tc>
          <w:tcPr/>
          <w:p>
            <w:pPr>
              <w:pStyle w:val="Compact"/>
              <w:jc w:val="left"/>
            </w:pPr>
            <w:r>
              <w:t xml:space="preserve">对目标估计量的衰减强于对主效应的衰减</w:t>
            </w:r>
          </w:p>
        </w:tc>
        <w:tc>
          <w:tcPr/>
          <w:p>
            <w:pPr>
              <w:pStyle w:val="Compact"/>
              <w:jc w:val="left"/>
            </w:pPr>
            <w:r>
              <w:t xml:space="preserve">按第 9.6 节实施双代理校正、模拟外推与不确定性传递；未经校正的零结果不作为零结果报告</w:t>
            </w:r>
          </w:p>
        </w:tc>
      </w:tr>
      <w:tr>
        <w:tc>
          <w:tcPr/>
          <w:p>
            <w:pPr>
              <w:pStyle w:val="Compact"/>
              <w:jc w:val="left"/>
            </w:pPr>
            <w:r>
              <w:t xml:space="preserve">未测量的适应</w:t>
            </w:r>
          </w:p>
        </w:tc>
        <w:tc>
          <w:tcPr/>
          <w:p>
            <w:pPr>
              <w:pStyle w:val="Compact"/>
              <w:jc w:val="left"/>
            </w:pPr>
            <w:r>
              <w:t xml:space="preserve">遗漏适应会使暴露效应向零偏移并误判异质性来源</w:t>
            </w:r>
          </w:p>
        </w:tc>
        <w:tc>
          <w:tcPr/>
          <w:p>
            <w:pPr>
              <w:pStyle w:val="Compact"/>
              <w:jc w:val="left"/>
            </w:pPr>
            <w:r>
              <w:t xml:space="preserve">直接测量三条通道；逐数据集报告哪些通道未被测量</w:t>
            </w:r>
          </w:p>
        </w:tc>
      </w:tr>
      <w:tr>
        <w:tc>
          <w:tcPr/>
          <w:p>
            <w:pPr>
              <w:pStyle w:val="Compact"/>
              <w:jc w:val="left"/>
            </w:pPr>
            <w:r>
              <w:t xml:space="preserve">调查流失与选择</w:t>
            </w:r>
          </w:p>
        </w:tc>
        <w:tc>
          <w:tcPr/>
          <w:p>
            <w:pPr>
              <w:pStyle w:val="Compact"/>
              <w:jc w:val="left"/>
            </w:pPr>
            <w:r>
              <w:t xml:space="preserve">面板流失相对于冲击是非随机的</w:t>
            </w:r>
          </w:p>
        </w:tc>
        <w:tc>
          <w:tcPr/>
          <w:p>
            <w:pPr>
              <w:pStyle w:val="Compact"/>
              <w:jc w:val="left"/>
            </w:pPr>
            <w:r>
              <w:t xml:space="preserve">流失模型、逆概率加权与界限分析</w:t>
            </w:r>
          </w:p>
        </w:tc>
      </w:tr>
      <w:tr>
        <w:tc>
          <w:tcPr/>
          <w:p>
            <w:pPr>
              <w:pStyle w:val="Compact"/>
              <w:jc w:val="left"/>
            </w:pPr>
            <w:r>
              <w:t xml:space="preserve">跨国结局可比性</w:t>
            </w:r>
          </w:p>
        </w:tc>
        <w:tc>
          <w:tcPr/>
          <w:p>
            <w:pPr>
              <w:pStyle w:val="Compact"/>
              <w:jc w:val="left"/>
            </w:pPr>
            <w:r>
              <w:t xml:space="preserve">不同工具测量不同构念</w:t>
            </w:r>
          </w:p>
        </w:tc>
        <w:tc>
          <w:tcPr/>
          <w:p>
            <w:pPr>
              <w:pStyle w:val="Compact"/>
              <w:jc w:val="left"/>
            </w:pPr>
            <w:r>
              <w:t xml:space="preserve">仅在使用相同工具时作比较；不可比结局单独报告</w:t>
            </w:r>
          </w:p>
        </w:tc>
      </w:tr>
      <w:tr>
        <w:tc>
          <w:tcPr/>
          <w:p>
            <w:pPr>
              <w:pStyle w:val="Compact"/>
              <w:jc w:val="left"/>
            </w:pPr>
            <w:r>
              <w:t xml:space="preserve">行政数据可及性</w:t>
            </w:r>
          </w:p>
        </w:tc>
        <w:tc>
          <w:tcPr/>
          <w:p>
            <w:pPr>
              <w:pStyle w:val="Compact"/>
              <w:jc w:val="left"/>
            </w:pPr>
            <w:r>
              <w:t xml:space="preserve">识别力最强的设计依赖尚未签署的协议</w:t>
            </w:r>
          </w:p>
        </w:tc>
        <w:tc>
          <w:tcPr/>
          <w:p>
            <w:pPr>
              <w:pStyle w:val="Compact"/>
              <w:jc w:val="left"/>
            </w:pPr>
            <w:r>
              <w:t xml:space="preserve">第 13.3 节已写明备选安排</w:t>
            </w:r>
          </w:p>
        </w:tc>
      </w:tr>
      <w:tr>
        <w:tc>
          <w:tcPr/>
          <w:p>
            <w:pPr>
              <w:pStyle w:val="Compact"/>
              <w:jc w:val="left"/>
            </w:pPr>
            <w:r>
              <w:t xml:space="preserve">发表与报告激励</w:t>
            </w:r>
          </w:p>
        </w:tc>
        <w:tc>
          <w:tcPr/>
          <w:p>
            <w:pPr>
              <w:pStyle w:val="Compact"/>
              <w:jc w:val="left"/>
            </w:pPr>
            <w:r>
              <w:t xml:space="preserve">交互发现比相加性更易发表</w:t>
            </w:r>
          </w:p>
        </w:tc>
        <w:tc>
          <w:tcPr/>
          <w:p>
            <w:pPr>
              <w:pStyle w:val="Compact"/>
              <w:jc w:val="left"/>
            </w:pPr>
            <w:r>
              <w:t xml:space="preserve">将第 6 节的零结果报告承诺纳入预注册</w:t>
            </w:r>
          </w:p>
        </w:tc>
      </w:tr>
    </w:tbl>
    <w:bookmarkEnd w:id="79"/>
    <w:bookmarkStart w:id="80" w:name="何种证据将证伪本项目的核心命题"/>
    <w:p>
      <w:pPr>
        <w:pStyle w:val="Heading3"/>
      </w:pPr>
      <w:r>
        <w:t xml:space="preserve">14.2 何种证据将证伪本项目的核心命题</w:t>
      </w:r>
    </w:p>
    <w:p>
      <w:pPr>
        <w:pStyle w:val="FirstParagraph"/>
      </w:pPr>
      <w:r>
        <w:t xml:space="preserve">本项目的核心命题是命题二与命题三的合取：超相加，且按适应能力分层。它将被以下三项观察的合取所证伪：在完成测量误差校正、且检验效能有据可查地充分的前提下，各主要结局、三种复合暴露定义下的相加交互对比置信区间均覆盖零；在多重性校正后，上述对比在预设社会经济分层间无梯度；并且以上两种格局在至少两个比较场景中被重复。</w:t>
      </w:r>
    </w:p>
    <w:p>
      <w:pPr>
        <w:pStyle w:val="BodyText"/>
      </w:pPr>
      <w:r>
        <w:t xml:space="preserve">在该合取成立时，本项目的结论将是：复合暴露是环境的真实特征，却是福祉生成过程中的无关特征，因而单一暴露研究设计已经足够。本项目承诺发表这一结论。正是这项承诺，使证伪条件必须事先以可操作形式写明。</w:t>
      </w:r>
    </w:p>
    <w:bookmarkEnd w:id="80"/>
    <w:bookmarkStart w:id="81" w:name="本项目做不到什么"/>
    <w:p>
      <w:pPr>
        <w:pStyle w:val="Heading3"/>
      </w:pPr>
      <w:r>
        <w:t xml:space="preserve">14.3 本项目做不到什么</w:t>
      </w:r>
    </w:p>
    <w:p>
      <w:pPr>
        <w:pStyle w:val="FirstParagraph"/>
      </w:pPr>
      <w:r>
        <w:t xml:space="preserve">它无法由 GBD 产出确立个体层面因果效应，也不尝试如此。它无法在五年内估计儿童期复合暴露的长期成年结局，因为相关队列尚未成年。它在多数数据集中无法直接处理室内暴露，因为室内浓度极少被测量，而在规避行为存在差异的条件下，室外浓度是很差的代理变量，且该差异本身正是研究对象。在缺乏居住史的场景中，它无法判定观测到的社会经济梯度反映的是易感性差异还是暴露错配差异。</w:t>
      </w:r>
    </w:p>
    <w:p>
      <w:r>
        <w:pict>
          <v:rect style="width:0;height:1.5pt" o:hralign="center" o:hrstd="t" o:hr="t"/>
        </w:pict>
      </w:r>
    </w:p>
    <w:bookmarkEnd w:id="81"/>
    <w:bookmarkEnd w:id="82"/>
    <w:bookmarkStart w:id="83" w:name="贡献"/>
    <w:p>
      <w:pPr>
        <w:pStyle w:val="Heading2"/>
      </w:pPr>
      <w:r>
        <w:t xml:space="preserve">15. 贡献</w:t>
      </w:r>
    </w:p>
    <w:p>
      <w:pPr>
        <w:pStyle w:val="FirstParagraph"/>
      </w:pPr>
      <w:r>
        <w:t xml:space="preserve">预期贡献不是一组关于环境效应的论文，而是对问题提法本身的重组。</w:t>
      </w:r>
    </w:p>
    <w:p>
      <w:pPr>
        <w:pStyle w:val="BodyText"/>
      </w:pPr>
      <w:r>
        <w:rPr>
          <w:bCs/>
          <w:b/>
        </w:rPr>
        <w:t xml:space="preserve">概念层面。</w:t>
      </w:r>
      <w:r>
        <w:t xml:space="preserve"> </w:t>
      </w:r>
      <w:r>
        <w:t xml:space="preserve">项目将分析对象由单一暴露移至复合暴露，并将适应能力由用于解释异质性的残差性说法，变为具有三条可区分通道、被理论化并被测量的构念。</w:t>
      </w:r>
    </w:p>
    <w:p>
      <w:pPr>
        <w:pStyle w:val="BodyText"/>
      </w:pPr>
      <w:r>
        <w:rPr>
          <w:bCs/>
          <w:b/>
        </w:rPr>
        <w:t xml:space="preserve">方法层面。</w:t>
      </w:r>
      <w:r>
        <w:t xml:space="preserve"> </w:t>
      </w:r>
      <w:r>
        <w:t xml:space="preserve">项目在与决策相关的尺度上设定交互，校正使未经处理的交互估计不具信息量的复合衰减，并对归因负担与因果效应之间的边界实施可操作的强制区分，而这一边界在大量应用文献中被模糊处理。</w:t>
      </w:r>
    </w:p>
    <w:p>
      <w:pPr>
        <w:pStyle w:val="BodyText"/>
      </w:pPr>
      <w:r>
        <w:rPr>
          <w:bCs/>
          <w:b/>
        </w:rPr>
        <w:t xml:space="preserve">经验层面。</w:t>
      </w:r>
      <w:r>
        <w:t xml:space="preserve"> </w:t>
      </w:r>
      <w:r>
        <w:t xml:space="preserve">项目将给出儿童福祉结局上高温与污染相加尺度交互的首批估计，所处场景具备检出该交互所需的暴露与结局数据密度，并检验该交互本身是否存在社会分层。</w:t>
      </w:r>
    </w:p>
    <w:p>
      <w:pPr>
        <w:pStyle w:val="BodyText"/>
      </w:pPr>
      <w:r>
        <w:rPr>
          <w:bCs/>
          <w:b/>
        </w:rPr>
        <w:t xml:space="preserve">政策层面。</w:t>
      </w:r>
      <w:r>
        <w:t xml:space="preserve"> </w:t>
      </w:r>
      <w:r>
        <w:t xml:space="preserve">项目以分配问题取代平均效应问题：不再问“削减暴露平均能改善多少儿童健康”，而问“哪些儿童受益、受益多少、同等投入的定向配置能否带来更大的公平加权收益”。后者可被回答，且其答案在决策意义上具有平均值所不具备的相关性。</w:t>
      </w:r>
    </w:p>
    <w:p>
      <w:pPr>
        <w:pStyle w:val="BodyText"/>
      </w:pPr>
      <w:r>
        <w:t xml:space="preserve">本项目同时接受其研究对象本身所要求的纪律。它所依托的文献已经记录：模型化产出被常规地当作观测数据呈现，本领域的引用实践已有退化。第 16 节记录本项目自身的审计结果，第 9.8 节将本项目约束于它要求他人遵守的同一标准。</w:t>
      </w:r>
    </w:p>
    <w:p>
      <w:r>
        <w:pict>
          <v:rect style="width:0;height:1.5pt" o:hralign="center" o:hrstd="t" o:hr="t"/>
        </w:pict>
      </w:r>
    </w:p>
    <w:bookmarkEnd w:id="83"/>
    <w:bookmarkStart w:id="90" w:name="学术诚信审计报告"/>
    <w:p>
      <w:pPr>
        <w:pStyle w:val="Heading2"/>
      </w:pPr>
      <w:r>
        <w:t xml:space="preserve">16. 学术诚信审计报告</w:t>
      </w:r>
    </w:p>
    <w:p>
      <w:pPr>
        <w:pStyle w:val="FirstParagraph"/>
      </w:pPr>
      <w:r>
        <w:t xml:space="preserve">本节记录对本计划书证据基础所作的核验。它置于正文而非附录，因为第 9.8 节与第 10 节的方法论主张要求本项目以其要求于所批评文献的同一标准要求自身。</w:t>
      </w:r>
    </w:p>
    <w:bookmarkStart w:id="84" w:name="核验流程"/>
    <w:p>
      <w:pPr>
        <w:pStyle w:val="Heading3"/>
      </w:pPr>
      <w:r>
        <w:t xml:space="preserve">16.1 核验流程</w:t>
      </w:r>
    </w:p>
    <w:p>
      <w:pPr>
        <w:pStyle w:val="FirstParagraph"/>
      </w:pPr>
      <w:r>
        <w:t xml:space="preserve">第 17 节的每一条文献均经两个彼此独立的阶段核验。第一阶段通过数据库检索定位候选文献，仅保留其标题、作者、发表载体、年份与持久标识符均在已获取记录中被实际观察到的条目。第二阶段对每一保留下来的标识符重新独立解析，并将解析所得记录的标题与所声称的标题比对。设置第二阶段的目的，正是捕捉“真实且可解析的标识符被配以另一篇论文”这一失败模式，因为该模式能够通过仅确认标识符可解析的检查。</w:t>
      </w:r>
    </w:p>
    <w:p>
      <w:pPr>
        <w:pStyle w:val="BodyText"/>
      </w:pPr>
      <w:r>
        <w:t xml:space="preserve">解析以 Crossref 为主要注册库，在 Crossref 限流或覆盖不足时以 OpenAlex 与 Semantic Scholar 作为备用路径。当解析记录报告的在线优先年份早于所声称年份一年时，先获取卷期信息以确认印刷期年份，然后才接受该条目。</w:t>
      </w:r>
    </w:p>
    <w:bookmarkEnd w:id="84"/>
    <w:bookmarkStart w:id="85" w:name="结果"/>
    <w:p>
      <w:pPr>
        <w:pStyle w:val="Heading3"/>
      </w:pPr>
      <w:r>
        <w:t xml:space="preserve">16.2 结果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审计项</w:t>
            </w:r>
          </w:p>
        </w:tc>
        <w:tc>
          <w:tcPr/>
          <w:p>
            <w:pPr>
              <w:pStyle w:val="Compact"/>
              <w:jc w:val="left"/>
            </w:pPr>
            <w:r>
              <w:t xml:space="preserve">数量</w:t>
            </w:r>
          </w:p>
        </w:tc>
      </w:tr>
      <w:tr>
        <w:tc>
          <w:tcPr/>
          <w:p>
            <w:pPr>
              <w:pStyle w:val="Compact"/>
              <w:jc w:val="left"/>
            </w:pPr>
            <w:r>
              <w:t xml:space="preserve">提交核验的英文文献</w:t>
            </w:r>
          </w:p>
        </w:tc>
        <w:tc>
          <w:tcPr/>
          <w:p>
            <w:pPr>
              <w:pStyle w:val="Compact"/>
              <w:jc w:val="left"/>
            </w:pPr>
            <w:r>
              <w:t xml:space="preserve">127</w:t>
            </w:r>
          </w:p>
        </w:tc>
      </w:tr>
      <w:tr>
        <w:tc>
          <w:tcPr/>
          <w:p>
            <w:pPr>
              <w:pStyle w:val="Compact"/>
              <w:jc w:val="left"/>
            </w:pPr>
            <w:r>
              <w:t xml:space="preserve">解析成功且与所声称论文匹配</w:t>
            </w:r>
          </w:p>
        </w:tc>
        <w:tc>
          <w:tcPr/>
          <w:p>
            <w:pPr>
              <w:pStyle w:val="Compact"/>
              <w:jc w:val="left"/>
            </w:pPr>
            <w:r>
              <w:t xml:space="preserve">127</w:t>
            </w:r>
          </w:p>
        </w:tc>
      </w:tr>
      <w:tr>
        <w:tc>
          <w:tcPr/>
          <w:p>
            <w:pPr>
              <w:pStyle w:val="Compact"/>
              <w:jc w:val="left"/>
            </w:pPr>
            <w:r>
              <w:t xml:space="preserve">标题不匹配，即标识符解析至另一篇论文</w:t>
            </w:r>
          </w:p>
        </w:tc>
        <w:tc>
          <w:tcPr/>
          <w:p>
            <w:pPr>
              <w:pStyle w:val="Compact"/>
              <w:jc w:val="left"/>
            </w:pPr>
            <w:r>
              <w:t xml:space="preserve">0</w:t>
            </w:r>
          </w:p>
        </w:tc>
      </w:tr>
      <w:tr>
        <w:tc>
          <w:tcPr/>
          <w:p>
            <w:pPr>
              <w:pStyle w:val="Compact"/>
              <w:jc w:val="left"/>
            </w:pPr>
            <w:r>
              <w:t xml:space="preserve">无法解析的标识符</w:t>
            </w:r>
          </w:p>
        </w:tc>
        <w:tc>
          <w:tcPr/>
          <w:p>
            <w:pPr>
              <w:pStyle w:val="Compact"/>
              <w:jc w:val="left"/>
            </w:pPr>
            <w:r>
              <w:t xml:space="preserve">0</w:t>
            </w:r>
          </w:p>
        </w:tc>
      </w:tr>
      <w:tr>
        <w:tc>
          <w:tcPr/>
          <w:p>
            <w:pPr>
              <w:pStyle w:val="Compact"/>
              <w:jc w:val="left"/>
            </w:pPr>
            <w:r>
              <w:t xml:space="preserve">疑似虚构文献</w:t>
            </w:r>
          </w:p>
        </w:tc>
        <w:tc>
          <w:tcPr/>
          <w:p>
            <w:pPr>
              <w:pStyle w:val="Compact"/>
              <w:jc w:val="left"/>
            </w:pPr>
            <w:r>
              <w:t xml:space="preserve">0</w:t>
            </w:r>
          </w:p>
        </w:tc>
      </w:tr>
      <w:tr>
        <w:tc>
          <w:tcPr/>
          <w:p>
            <w:pPr>
              <w:pStyle w:val="Compact"/>
              <w:jc w:val="left"/>
            </w:pPr>
            <w:r>
              <w:t xml:space="preserve">因在线优先年份与印刷期年份不一致而作更正的条目</w:t>
            </w:r>
          </w:p>
        </w:tc>
        <w:tc>
          <w:tcPr/>
          <w:p>
            <w:pPr>
              <w:pStyle w:val="Compact"/>
              <w:jc w:val="left"/>
            </w:pPr>
            <w:r>
              <w:t xml:space="preserve">8</w:t>
            </w:r>
          </w:p>
        </w:tc>
      </w:tr>
      <w:tr>
        <w:tc>
          <w:tcPr/>
          <w:p>
            <w:pPr>
              <w:pStyle w:val="Compact"/>
              <w:jc w:val="left"/>
            </w:pPr>
            <w:r>
              <w:t xml:space="preserve">在出版方页面核验的中文文献</w:t>
            </w:r>
          </w:p>
        </w:tc>
        <w:tc>
          <w:tcPr/>
          <w:p>
            <w:pPr>
              <w:pStyle w:val="Compact"/>
              <w:jc w:val="left"/>
            </w:pPr>
            <w:r>
              <w:t xml:space="preserve">14</w:t>
            </w:r>
          </w:p>
        </w:tc>
      </w:tr>
      <w:tr>
        <w:tc>
          <w:tcPr/>
          <w:p>
            <w:pPr>
              <w:pStyle w:val="Compact"/>
              <w:jc w:val="left"/>
            </w:pPr>
            <w:r>
              <w:t xml:space="preserve">具有国际 DOI 的中文文献</w:t>
            </w:r>
          </w:p>
        </w:tc>
        <w:tc>
          <w:tcPr/>
          <w:p>
            <w:pPr>
              <w:pStyle w:val="Compact"/>
              <w:jc w:val="left"/>
            </w:pPr>
            <w:r>
              <w:t xml:space="preserve">0</w:t>
            </w:r>
          </w:p>
        </w:tc>
      </w:tr>
      <w:tr>
        <w:tc>
          <w:tcPr/>
          <w:p>
            <w:pPr>
              <w:pStyle w:val="Compact"/>
              <w:jc w:val="left"/>
            </w:pPr>
            <w:r>
              <w:t xml:space="preserve">使用中文 DOI 前缀标识的中文文献</w:t>
            </w:r>
          </w:p>
        </w:tc>
        <w:tc>
          <w:tcPr/>
          <w:p>
            <w:pPr>
              <w:pStyle w:val="Compact"/>
              <w:jc w:val="left"/>
            </w:pPr>
            <w:r>
              <w:t xml:space="preserve">13</w:t>
            </w:r>
          </w:p>
        </w:tc>
      </w:tr>
      <w:tr>
        <w:tc>
          <w:tcPr/>
          <w:p>
            <w:pPr>
              <w:pStyle w:val="Compact"/>
              <w:jc w:val="left"/>
            </w:pPr>
            <w:r>
              <w:t xml:space="preserve">无 DOI、以 ISSN 与 CN 号标识的中文文献</w:t>
            </w:r>
          </w:p>
        </w:tc>
        <w:tc>
          <w:tcPr/>
          <w:p>
            <w:pPr>
              <w:pStyle w:val="Compact"/>
              <w:jc w:val="left"/>
            </w:pPr>
            <w:r>
              <w:t xml:space="preserve">1</w:t>
            </w:r>
          </w:p>
        </w:tc>
      </w:tr>
      <w:tr>
        <w:tc>
          <w:tcPr/>
          <w:p>
            <w:pPr>
              <w:pStyle w:val="Compact"/>
              <w:jc w:val="left"/>
            </w:pPr>
            <w:r>
              <w:t xml:space="preserve">因核验未通过而删除的候选文献</w:t>
            </w:r>
          </w:p>
        </w:tc>
        <w:tc>
          <w:tcPr/>
          <w:p>
            <w:pPr>
              <w:pStyle w:val="Compact"/>
              <w:jc w:val="left"/>
            </w:pPr>
            <w:r>
              <w:t xml:space="preserve">5</w:t>
            </w:r>
          </w:p>
        </w:tc>
      </w:tr>
    </w:tbl>
    <w:bookmarkEnd w:id="85"/>
    <w:bookmarkStart w:id="86" w:name="删除了什么为什么删除"/>
    <w:p>
      <w:pPr>
        <w:pStyle w:val="Heading3"/>
      </w:pPr>
      <w:r>
        <w:t xml:space="preserve">16.3 删除了什么，为什么删除</w:t>
      </w:r>
    </w:p>
    <w:p>
      <w:pPr>
        <w:pStyle w:val="FirstParagraph"/>
      </w:pPr>
      <w:r>
        <w:t xml:space="preserve">五条看似合理的候选文献被删除，而非附加保留说明后予以收录。</w:t>
      </w:r>
    </w:p>
    <w:p>
      <w:pPr>
        <w:pStyle w:val="BodyText"/>
      </w:pPr>
      <w:r>
        <w:rPr>
          <w:iCs/>
          <w:i/>
        </w:rPr>
        <w:t xml:space="preserve">Biggeri、Libanora、Mariani 与 Menchini 关于儿童自身建构可行能力的论文。</w:t>
      </w:r>
      <w:r>
        <w:t xml:space="preserve"> </w:t>
      </w:r>
      <w:r>
        <w:t xml:space="preserve">最初与该条目关联的标识符解析至另一篇论文，即已被引用的 Sen 一文。这是典型的嵌合式引用格式，该条目被直接删除，而非以猜测替代标识符的方式修补。</w:t>
      </w:r>
    </w:p>
    <w:p>
      <w:pPr>
        <w:pStyle w:val="BodyText"/>
      </w:pPr>
      <w:r>
        <w:rPr>
          <w:iCs/>
          <w:i/>
        </w:rPr>
        <w:t xml:space="preserve">Xie 与 Hu 的《An Introduction to the China Family Panel Studies》。</w:t>
      </w:r>
      <w:r>
        <w:t xml:space="preserve"> </w:t>
      </w:r>
      <w:r>
        <w:t xml:space="preserve">该文的历史出版方标识符在 Crossref 返回 404。文章本身真实存在，其卷、期与页码已获确认，但由于本项目承诺每一条英文文献均须具备可完整解析的标识符，CFPS 方法学引用改为标识符可正常解析的 Xie 与 Lu（2015）关于 CFPS 抽样设计的论文。</w:t>
      </w:r>
    </w:p>
    <w:p>
      <w:pPr>
        <w:pStyle w:val="BodyText"/>
      </w:pPr>
      <w:r>
        <w:rPr>
          <w:iCs/>
          <w:i/>
        </w:rPr>
        <w:t xml:space="preserve">中国教育追踪调查的方法学或队列简介论文。</w:t>
      </w:r>
      <w:r>
        <w:t xml:space="preserve"> </w:t>
      </w:r>
      <w:r>
        <w:t xml:space="preserve">未能找到此类已发表论文，官方调查网站亦未给出推荐引用格式。因此第 7.2 节仅将 CEPS 表述为数据来源，不将其归属于一篇并不存在的简介论文。</w:t>
      </w:r>
    </w:p>
    <w:p>
      <w:pPr>
        <w:pStyle w:val="BodyText"/>
      </w:pPr>
      <w:r>
        <w:rPr>
          <w:iCs/>
          <w:i/>
        </w:rPr>
        <w:t xml:space="preserve">甘肃儿童与家庭调查的方法学或队列简介论文。</w:t>
      </w:r>
      <w:r>
        <w:t xml:space="preserve"> </w:t>
      </w:r>
      <w:r>
        <w:t xml:space="preserve">结论相同，处理相同。</w:t>
      </w:r>
    </w:p>
    <w:p>
      <w:pPr>
        <w:pStyle w:val="BodyText"/>
      </w:pPr>
      <w:r>
        <w:rPr>
          <w:iCs/>
          <w:i/>
        </w:rPr>
        <w:t xml:space="preserve">上一稿正文中的自动检索标记。</w:t>
      </w:r>
      <w:r>
        <w:t xml:space="preserve"> </w:t>
      </w:r>
      <w:r>
        <w:t xml:space="preserve">本计划书上一版本在行文中嵌有 12 处形如“cite”加检索结果标记的自动化工具产物。它们不是引用，不含任何书目信息，无法解析至任何来源，现已全部删除。这些标记原本所附着的实质性论断，已重新溯源至可核验文献；在不存在可核验来源之处，相关表述已改写为关于本项目自身设计的陈述，而非关于外部世界的陈述。</w:t>
      </w:r>
    </w:p>
    <w:bookmarkEnd w:id="86"/>
    <w:bookmarkStart w:id="87" w:name="需要延续的事实性更正"/>
    <w:p>
      <w:pPr>
        <w:pStyle w:val="Heading3"/>
      </w:pPr>
      <w:r>
        <w:t xml:space="preserve">16.4 需要延续的事实性更正</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上一稿中的表述</w:t>
            </w:r>
          </w:p>
        </w:tc>
        <w:tc>
          <w:tcPr/>
          <w:p>
            <w:pPr>
              <w:pStyle w:val="Compact"/>
              <w:jc w:val="left"/>
            </w:pPr>
            <w:r>
              <w:t xml:space="preserve">更正</w:t>
            </w:r>
          </w:p>
        </w:tc>
        <w:tc>
          <w:tcPr/>
          <w:p>
            <w:pPr>
              <w:pStyle w:val="Compact"/>
              <w:jc w:val="left"/>
            </w:pPr>
            <w:r>
              <w:t xml:space="preserve">依据</w:t>
            </w:r>
          </w:p>
        </w:tc>
      </w:tr>
      <w:tr>
        <w:tc>
          <w:tcPr/>
          <w:p>
            <w:pPr>
              <w:pStyle w:val="Compact"/>
              <w:jc w:val="left"/>
            </w:pPr>
            <w:r>
              <w:t xml:space="preserve">倡议名称写作“Climate, Environment, and Childhood Inequalities”</w:t>
            </w:r>
          </w:p>
        </w:tc>
        <w:tc>
          <w:tcPr/>
          <w:p>
            <w:pPr>
              <w:pStyle w:val="Compact"/>
              <w:jc w:val="left"/>
            </w:pPr>
            <w:r>
              <w:t xml:space="preserve">该倡议当前公开名称为 Climate, Environment, and Childhood Initiative，</w:t>
            </w:r>
            <w:r>
              <w:t xml:space="preserve">“</w:t>
            </w:r>
            <w:r>
              <w:t xml:space="preserve">Inequalities</w:t>
            </w:r>
            <w:r>
              <w:t xml:space="preserve">”</w:t>
            </w:r>
            <w:r>
              <w:t xml:space="preserve">属于比较研究项目标题</w:t>
            </w:r>
          </w:p>
        </w:tc>
        <w:tc>
          <w:tcPr/>
          <w:p>
            <w:pPr>
              <w:pStyle w:val="Compact"/>
              <w:jc w:val="left"/>
            </w:pPr>
            <w:r>
              <w:t xml:space="preserve">倡议官方网站</w:t>
            </w:r>
          </w:p>
        </w:tc>
      </w:tr>
      <w:tr>
        <w:tc>
          <w:tcPr/>
          <w:p>
            <w:pPr>
              <w:pStyle w:val="Compact"/>
              <w:jc w:val="left"/>
            </w:pPr>
            <w:r>
              <w:t xml:space="preserve">将 CECI 表述为 Penn Population Studies Center 或 PARC 下属倡议</w:t>
            </w:r>
          </w:p>
        </w:tc>
        <w:tc>
          <w:tcPr/>
          <w:p>
            <w:pPr>
              <w:pStyle w:val="Compact"/>
              <w:jc w:val="left"/>
            </w:pPr>
            <w:r>
              <w:t xml:space="preserve">无依据；可查证的关联为 PSC Quartet Pilot 种子经费</w:t>
            </w:r>
          </w:p>
        </w:tc>
        <w:tc>
          <w:tcPr/>
          <w:p>
            <w:pPr>
              <w:pStyle w:val="Compact"/>
              <w:jc w:val="left"/>
            </w:pPr>
            <w:r>
              <w:t xml:space="preserve">PSC 联合中心清单</w:t>
            </w:r>
          </w:p>
        </w:tc>
      </w:tr>
      <w:tr>
        <w:tc>
          <w:tcPr/>
          <w:p>
            <w:pPr>
              <w:pStyle w:val="Compact"/>
              <w:jc w:val="left"/>
            </w:pPr>
            <w:r>
              <w:t xml:space="preserve">华南出生体重论文第五作者写作 Qiong Zhao</w:t>
            </w:r>
          </w:p>
        </w:tc>
        <w:tc>
          <w:tcPr/>
          <w:p>
            <w:pPr>
              <w:pStyle w:val="Compact"/>
              <w:jc w:val="left"/>
            </w:pPr>
            <w:r>
              <w:t xml:space="preserve">该作者为 Qingguo Zhao</w:t>
            </w:r>
          </w:p>
        </w:tc>
        <w:tc>
          <w:tcPr/>
          <w:p>
            <w:pPr>
              <w:pStyle w:val="Compact"/>
              <w:jc w:val="left"/>
            </w:pPr>
            <w:r>
              <w:t xml:space="preserve">出版方与注册库记录</w:t>
            </w:r>
          </w:p>
        </w:tc>
      </w:tr>
      <w:tr>
        <w:tc>
          <w:tcPr/>
          <w:p>
            <w:pPr>
              <w:pStyle w:val="Compact"/>
              <w:jc w:val="left"/>
            </w:pPr>
            <w:r>
              <w:t xml:space="preserve">该文按标识符年份著录</w:t>
            </w:r>
          </w:p>
        </w:tc>
        <w:tc>
          <w:tcPr/>
          <w:p>
            <w:pPr>
              <w:pStyle w:val="Compact"/>
              <w:jc w:val="left"/>
            </w:pPr>
            <w:r>
              <w:t xml:space="preserve">印刷期年份为 2022 年，卷 105，论文编号 102691</w:t>
            </w:r>
          </w:p>
        </w:tc>
        <w:tc>
          <w:tcPr/>
          <w:p>
            <w:pPr>
              <w:pStyle w:val="Compact"/>
              <w:jc w:val="left"/>
            </w:pPr>
            <w:r>
              <w:t xml:space="preserve">出版方与注册库记录</w:t>
            </w:r>
          </w:p>
        </w:tc>
      </w:tr>
      <w:tr>
        <w:tc>
          <w:tcPr/>
          <w:p>
            <w:pPr>
              <w:pStyle w:val="Compact"/>
              <w:jc w:val="left"/>
            </w:pPr>
            <w:r>
              <w:t xml:space="preserve">暗示存在可单独引用的“GBD 2023 Risk Factors Collaborators”旗舰论文</w:t>
            </w:r>
          </w:p>
        </w:tc>
        <w:tc>
          <w:tcPr/>
          <w:p>
            <w:pPr>
              <w:pStyle w:val="Compact"/>
              <w:jc w:val="left"/>
            </w:pPr>
            <w:r>
              <w:t xml:space="preserve">不存在此类单独论文；GBD 2023 已将伤残调整生命年旗舰论文与风险因素旗舰论文合并为一篇</w:t>
            </w:r>
          </w:p>
        </w:tc>
        <w:tc>
          <w:tcPr/>
          <w:p>
            <w:pPr>
              <w:pStyle w:val="Compact"/>
              <w:jc w:val="left"/>
            </w:pPr>
            <w:r>
              <w:t xml:space="preserve">《The Lancet》406(10513)</w:t>
            </w:r>
          </w:p>
        </w:tc>
      </w:tr>
      <w:tr>
        <w:tc>
          <w:tcPr/>
          <w:p>
            <w:pPr>
              <w:pStyle w:val="Compact"/>
              <w:jc w:val="left"/>
            </w:pPr>
            <w:r>
              <w:t xml:space="preserve">沿用 GBD 2021 的次国家覆盖数</w:t>
            </w:r>
          </w:p>
        </w:tc>
        <w:tc>
          <w:tcPr/>
          <w:p>
            <w:pPr>
              <w:pStyle w:val="Compact"/>
              <w:jc w:val="left"/>
            </w:pPr>
            <w:r>
              <w:t xml:space="preserve">GBD 2023 覆盖 660 个次国家地点，GBD 2021 为 811 个</w:t>
            </w:r>
          </w:p>
        </w:tc>
        <w:tc>
          <w:tcPr/>
          <w:p>
            <w:pPr>
              <w:pStyle w:val="Compact"/>
              <w:jc w:val="left"/>
            </w:pPr>
            <w:r>
              <w:t xml:space="preserve">旗舰论文标题</w:t>
            </w:r>
          </w:p>
        </w:tc>
      </w:tr>
    </w:tbl>
    <w:bookmarkEnd w:id="87"/>
    <w:bookmarkStart w:id="88" w:name="审计自身的既有局限"/>
    <w:p>
      <w:pPr>
        <w:pStyle w:val="Heading3"/>
      </w:pPr>
      <w:r>
        <w:t xml:space="preserve">16.5 审计自身的既有局限</w:t>
      </w:r>
    </w:p>
    <w:p>
      <w:pPr>
        <w:pStyle w:val="FirstParagraph"/>
      </w:pPr>
      <w:r>
        <w:t xml:space="preserve">以下三点予以记录，以免过度解读本次审计的效力。</w:t>
      </w:r>
    </w:p>
    <w:p>
      <w:pPr>
        <w:pStyle w:val="BodyText"/>
      </w:pPr>
      <w:r>
        <w:t xml:space="preserve">第一，核验确立的是文献存在且其标识符解析至所声称的论文，并不确立第 4 节归于该文献的每一项结论都以来源本意的精确程度陈述。凡本文引述具体数值结论之处，该数值取自已获取的摘要或记录；凡仅能获取书目元数据之处，该文献用以支持某一文献群的存在，而非支持某一具体定量论断。</w:t>
      </w:r>
    </w:p>
    <w:p>
      <w:pPr>
        <w:pStyle w:val="BodyText"/>
      </w:pPr>
      <w:r>
        <w:t xml:space="preserve">第二，中文文献在其出版方自有摘要页核验，因为这些期刊所用的中文 DOI 前缀无法通过 Crossref 接口解析。这是中国学术基础设施的属性，而非可靠性问题，相应条目已在第 17.2 节标注。另有若干实质相关的中文论文因所在期刊设有访问控制而无法核验，因此已被排除；这意味着第 17.2 节低估而非高估了中文文献的实际厚度。</w:t>
      </w:r>
    </w:p>
    <w:p>
      <w:pPr>
        <w:pStyle w:val="BodyText"/>
      </w:pPr>
      <w:r>
        <w:t xml:space="preserve">第三，未对每一条目系统检查撤稿状态，因为本环境无法访问撤稿注册库。此事记录为待办事项而非已完成的检查，并将在这些文献被带入任何投稿论文之前执行。</w:t>
      </w:r>
    </w:p>
    <w:bookmarkEnd w:id="88"/>
    <w:bookmarkStart w:id="89" w:name="总体评估"/>
    <w:p>
      <w:pPr>
        <w:pStyle w:val="Heading3"/>
      </w:pPr>
      <w:r>
        <w:t xml:space="preserve">16.6 总体评估</w:t>
      </w:r>
    </w:p>
    <w:p>
      <w:pPr>
        <w:pStyle w:val="FirstParagraph"/>
      </w:pPr>
      <w:r>
        <w:t xml:space="preserve">英文文献列表的引用置信度为高：127 条标识符全部解析成功并匹配。中文文献列表的引用置信度为中：14 条全部在出版方页面获得确认，但仅经单一路径而非两个独立注册库确认。第 4 节实质性论断的证据等级为：污染与儿童健康关系为高，高温与人力资本关系为高，成人死亡中高温与污染的交互为中，儿童福祉结局中的交互为低。最后一项之所以为低，正是它成为本项目核心问题而非前提假设的原因。</w:t>
      </w:r>
    </w:p>
    <w:p>
      <w:r>
        <w:pict>
          <v:rect style="width:0;height:1.5pt" o:hralign="center" o:hrstd="t" o:hr="t"/>
        </w:pict>
      </w:r>
    </w:p>
    <w:bookmarkEnd w:id="89"/>
    <w:bookmarkEnd w:id="90"/>
    <w:bookmarkStart w:id="94" w:name="参考文献"/>
    <w:p>
      <w:pPr>
        <w:pStyle w:val="Heading2"/>
      </w:pPr>
      <w:r>
        <w:t xml:space="preserve">17. 参考文献</w:t>
      </w:r>
    </w:p>
    <w:bookmarkStart w:id="91" w:name="英文文献"/>
    <w:p>
      <w:pPr>
        <w:pStyle w:val="Heading3"/>
      </w:pPr>
      <w:r>
        <w:t xml:space="preserve">17.1 英文文献</w:t>
      </w:r>
    </w:p>
    <w:p>
      <w:pPr>
        <w:pStyle w:val="FirstParagraph"/>
      </w:pPr>
      <w:r>
        <w:t xml:space="preserve">以下每一条目均附经独立解析并与所引标题匹配的持久标识符。全文统一采用 APA 第 7 版格式。</w:t>
      </w:r>
    </w:p>
    <w:p>
      <w:pPr>
        <w:numPr>
          <w:ilvl w:val="0"/>
          <w:numId w:val="1001"/>
        </w:numPr>
        <w:pStyle w:val="Compact"/>
      </w:pPr>
      <w:r>
        <w:t xml:space="preserve">Alkire, S., &amp; Foster, J. (2011). Counting and multidimensional poverty measurement. Journal of Public Economics, 95(7-8), 476-487. https://doi.org/10.1016/j.jpubeco.2010.11.006</w:t>
      </w:r>
    </w:p>
    <w:p>
      <w:pPr>
        <w:numPr>
          <w:ilvl w:val="0"/>
          <w:numId w:val="1001"/>
        </w:numPr>
        <w:pStyle w:val="Compact"/>
      </w:pPr>
      <w:r>
        <w:t xml:space="preserve">Almond, D., &amp; Currie, J. (2011). Killing me softly: The fetal origins hypothesis. Journal of Economic Perspectives, 25(3), 153-172. https://doi.org/10.1257/jep.25.3.153</w:t>
      </w:r>
    </w:p>
    <w:p>
      <w:pPr>
        <w:numPr>
          <w:ilvl w:val="0"/>
          <w:numId w:val="1001"/>
        </w:numPr>
        <w:pStyle w:val="Compact"/>
      </w:pPr>
      <w:r>
        <w:t xml:space="preserve">Almond, D., &amp; Mazumder, B. (2013). Fetal origins and parental responses. Annual Review of Economics, 5(1), 37-56. https://doi.org/10.1146/annurev-economics-082912-110145</w:t>
      </w:r>
    </w:p>
    <w:p>
      <w:pPr>
        <w:numPr>
          <w:ilvl w:val="0"/>
          <w:numId w:val="1001"/>
        </w:numPr>
        <w:pStyle w:val="Compact"/>
      </w:pPr>
      <w:r>
        <w:t xml:space="preserve">Almond, D., Currie, J., &amp; Duque, V. (2018). Childhood circumstances and adult outcomes: Act II. Journal of Economic Literature, 56(4), 1360-1446. https://doi.org/10.1257/jel.20171164</w:t>
      </w:r>
    </w:p>
    <w:p>
      <w:pPr>
        <w:numPr>
          <w:ilvl w:val="0"/>
          <w:numId w:val="1001"/>
        </w:numPr>
        <w:pStyle w:val="Compact"/>
      </w:pPr>
      <w:r>
        <w:t xml:space="preserve">Analitis, A., Michelozzi, P., D’Ippoliti, D., de’Donato, F., Menne, B., Matthies, F., Atkinson, R. W., Iniguez, C., Basagana, X., Schneider, A., Lefranc, A., Paldy, A., Bisanti, L., &amp; Katsouyanni, K. (2014). Effects of heat waves on mortality: Effect modification and confounding by air pollutants. Epidemiology, 25(1), 15-22. https://doi.org/10.1097/EDE.0b013e31828ac01b</w:t>
      </w:r>
    </w:p>
    <w:p>
      <w:pPr>
        <w:numPr>
          <w:ilvl w:val="0"/>
          <w:numId w:val="1001"/>
        </w:numPr>
        <w:pStyle w:val="Compact"/>
      </w:pPr>
      <w:r>
        <w:t xml:space="preserve">Anderson, M. L. (2008). Multiple inference and gender differences in the effects of early intervention: A reevaluation of the Abecedarian, Perry Preschool, and Early Training Projects. Journal of the American Statistical Association, 103(484), 1481-1495. https://doi.org/10.1198/016214508000000841</w:t>
      </w:r>
    </w:p>
    <w:p>
      <w:pPr>
        <w:numPr>
          <w:ilvl w:val="0"/>
          <w:numId w:val="1001"/>
        </w:numPr>
        <w:pStyle w:val="Compact"/>
      </w:pPr>
      <w:r>
        <w:t xml:space="preserve">Arceo, E., Hanna, R., &amp; Oliva, P. (2016). Does the effect of pollution on infant mortality differ between developing and developed countries? Evidence from Mexico City. The Economic Journal, 126(591), 257-280. https://doi.org/10.1111/ecoj.12273</w:t>
      </w:r>
    </w:p>
    <w:p>
      <w:pPr>
        <w:numPr>
          <w:ilvl w:val="0"/>
          <w:numId w:val="1001"/>
        </w:numPr>
        <w:pStyle w:val="Compact"/>
      </w:pPr>
      <w:r>
        <w:t xml:space="preserve">Asaria, M., Griffin, S., &amp; Cookson, R. (2016). Distributional cost-effectiveness analysis: A tutorial. Medical Decision Making, 36(1), 8-19. https://doi.org/10.1177/0272989X15583266</w:t>
      </w:r>
    </w:p>
    <w:p>
      <w:pPr>
        <w:numPr>
          <w:ilvl w:val="0"/>
          <w:numId w:val="1001"/>
        </w:numPr>
        <w:pStyle w:val="Compact"/>
      </w:pPr>
      <w:r>
        <w:t xml:space="preserve">Barnett, I., Ariana, P., Petrou, S., Penny, M. E., Duc, L. T., Galab, S., Woldehanna, T., Escobal, J. A., Plugge, E., &amp; Boyden, J. (2013). Cohort profile: The Young Lives Study. International Journal of Epidemiology, 42(3), 701-708. https://doi.org/10.1093/ije/dys082</w:t>
      </w:r>
    </w:p>
    <w:p>
      <w:pPr>
        <w:numPr>
          <w:ilvl w:val="0"/>
          <w:numId w:val="1001"/>
        </w:numPr>
        <w:pStyle w:val="Compact"/>
      </w:pPr>
      <w:r>
        <w:t xml:space="preserve">Barreca, A., &amp; Schaller, J. (2020). The impact of high ambient temperatures on delivery timing and gestational lengths. Nature Climate Change, 10(1), 77-82. https://doi.org/10.1038/s41558-019-0632-4</w:t>
      </w:r>
    </w:p>
    <w:p>
      <w:pPr>
        <w:numPr>
          <w:ilvl w:val="0"/>
          <w:numId w:val="1001"/>
        </w:numPr>
        <w:pStyle w:val="Compact"/>
      </w:pPr>
      <w:r>
        <w:t xml:space="preserve">Bekkar, B., Pacheco, S., Basu, R., &amp; DeNicola, N. (2020). Association of air pollution and heat exposure with preterm birth, low birth weight, and stillbirth in the US: A systematic review. JAMA Network Open, 3(6), e208243. https://doi.org/10.1001/jamanetworkopen.2020.8243</w:t>
      </w:r>
    </w:p>
    <w:p>
      <w:pPr>
        <w:numPr>
          <w:ilvl w:val="0"/>
          <w:numId w:val="1001"/>
        </w:numPr>
        <w:pStyle w:val="Compact"/>
      </w:pPr>
      <w:r>
        <w:t xml:space="preserve">Besag, J., York, J., &amp; Mollie, A. (1991). Bayesian image restoration, with two applications in spatial statistics. Annals of the Institute of Statistical Mathematics, 43(1), 1-20. https://doi.org/10.1007/BF00116466</w:t>
      </w:r>
    </w:p>
    <w:p>
      <w:pPr>
        <w:numPr>
          <w:ilvl w:val="0"/>
          <w:numId w:val="1001"/>
        </w:numPr>
        <w:pStyle w:val="Compact"/>
      </w:pPr>
      <w:r>
        <w:t xml:space="preserve">Bharadwaj, P., Eberhard, J. P., &amp; Neilson, C. A. (2018). Health at birth, parental investments, and academic outcomes. Journal of Labor Economics, 36(2), 349-394. https://doi.org/10.1086/695616</w:t>
      </w:r>
    </w:p>
    <w:p>
      <w:pPr>
        <w:numPr>
          <w:ilvl w:val="0"/>
          <w:numId w:val="1001"/>
        </w:numPr>
        <w:pStyle w:val="Compact"/>
      </w:pPr>
      <w:r>
        <w:t xml:space="preserve">Bharadwaj, P., Gibson, M., Graff Zivin, J., &amp; Neilson, C. (2017). Gray matters: Fetal pollution exposure and human capital formation. Journal of the Association of Environmental and Resource Economists, 4(2), 505-542. https://doi.org/10.1086/691591</w:t>
      </w:r>
    </w:p>
    <w:p>
      <w:pPr>
        <w:numPr>
          <w:ilvl w:val="0"/>
          <w:numId w:val="1001"/>
        </w:numPr>
        <w:pStyle w:val="Compact"/>
      </w:pPr>
      <w:r>
        <w:t xml:space="preserve">Bhutta, Z. A. (2025). Global Burden of Disease 2023: Challenges and opportunities for a growing collaboration. PLOS Medicine, 22(11), Article e1004838. https://doi.org/10.1371/journal.pmed.1004838</w:t>
      </w:r>
    </w:p>
    <w:p>
      <w:pPr>
        <w:numPr>
          <w:ilvl w:val="0"/>
          <w:numId w:val="1001"/>
        </w:numPr>
        <w:pStyle w:val="Compact"/>
      </w:pPr>
      <w:r>
        <w:t xml:space="preserve">Bobb, J. F., Valeri, L., Claus Henn, B., Christiani, D. C., Wright, R. O., Mazumdar, M., Godleski, J. J., &amp; Coull, B. A. (2015). Bayesian kernel machine regression for estimating the health effects of multi-pollutant mixtures. Biostatistics, 16(3), 493-508. https://doi.org/10.1093/biostatistics/kxu058</w:t>
      </w:r>
    </w:p>
    <w:p>
      <w:pPr>
        <w:numPr>
          <w:ilvl w:val="0"/>
          <w:numId w:val="1001"/>
        </w:numPr>
        <w:pStyle w:val="Compact"/>
      </w:pPr>
      <w:r>
        <w:t xml:space="preserve">Borusyak, K., Jaravel, X., &amp; Spiess, J. (2024). Revisiting event-study designs: Robust and efficient estimation. The Review of Economic Studies, 91(6), 3253-3285. https://doi.org/10.1093/restud/rdae007</w:t>
      </w:r>
    </w:p>
    <w:p>
      <w:pPr>
        <w:numPr>
          <w:ilvl w:val="0"/>
          <w:numId w:val="1001"/>
        </w:numPr>
        <w:pStyle w:val="Compact"/>
      </w:pPr>
      <w:r>
        <w:t xml:space="preserve">Burke, M., Childs, M. L., de la Cuesta, B., Qiu, M., Li, J., Gould, C. F., Heft-Neal, S., &amp; Wara, M. (2023). The contribution of wildfire to PM2.5 trends in the USA. Nature, 622(7984), 761-766. https://doi.org/10.1038/s41586-023-06522-6</w:t>
      </w:r>
    </w:p>
    <w:p>
      <w:pPr>
        <w:numPr>
          <w:ilvl w:val="0"/>
          <w:numId w:val="1001"/>
        </w:numPr>
        <w:pStyle w:val="Compact"/>
      </w:pPr>
      <w:r>
        <w:t xml:space="preserve">Burnett, R. T., Pope, C. A., III, Ezzati, M., Olives, C., Lim, S. S., Mehta, S., Shin, H. H., Singh, G., Hubbell, B., Brauer, M., Anderson, H. R., Smith, K. R., Balmes, J. R., Bruce, N. G., Kan, H., Laden, F., Pruss-Ustun, A., Turner, M. C., Gapstur, S. M., … Cohen, A. (2014). An integrated risk function for estimating the global burden of disease attributable to ambient fine particulate matter exposure. Environmental Health Perspectives, 122(4), 397-403. https://doi.org/10.1289/ehp.1307049</w:t>
      </w:r>
    </w:p>
    <w:p>
      <w:pPr>
        <w:numPr>
          <w:ilvl w:val="0"/>
          <w:numId w:val="1001"/>
        </w:numPr>
        <w:pStyle w:val="Compact"/>
      </w:pPr>
      <w:r>
        <w:t xml:space="preserve">Burnett, R., Chen, H., Szyszkowicz, M., Fann, N., Hubbell, B., Pope, C. A., III, Apte, J. S., Brauer, M., Cohen, A., Weichenthal, S., Coggins, J., Di, Q., Brunekreef, B., Frostad, J., Lim, S. S., Kan, H., Walker, K. D., Thurston, G. D., Hayes, R. B., … Spadaro, J. V. (2018). Global estimates of mortality associated with long-term exposure to outdoor fine particulate matter. Proceedings of the National Academy of Sciences, 115(38), 9592-9597. https://doi.org/10.1073/pnas.1803222115</w:t>
      </w:r>
    </w:p>
    <w:p>
      <w:pPr>
        <w:numPr>
          <w:ilvl w:val="0"/>
          <w:numId w:val="1001"/>
        </w:numPr>
        <w:pStyle w:val="Compact"/>
      </w:pPr>
      <w:r>
        <w:t xml:space="preserve">Byass, P., de Courten, M., Graham, W. J., Laflamme, L., McCaw-Binns, A., Sankoh, O. A., Tollman, S. M., &amp; Zaba, B. (2013). Reflections on the Global Burden of Disease 2010 estimates. PLoS Medicine, 10(7), Article e1001477. https://doi.org/10.1371/journal.pmed.1001477</w:t>
      </w:r>
    </w:p>
    <w:p>
      <w:pPr>
        <w:numPr>
          <w:ilvl w:val="0"/>
          <w:numId w:val="1001"/>
        </w:numPr>
        <w:pStyle w:val="Compact"/>
      </w:pPr>
      <w:r>
        <w:t xml:space="preserve">Cai, J., Zhao, Y., Kan, J., Chen, R., Martin, R. V., van Donkelaar, A., Ao, J., Zhang, J., Kan, H., &amp; Hua, J. (2020). Prenatal exposure to specific PM2.5 chemical constituents and preterm birth in China: A nationwide cohort study. Environmental Science and Technology, 54(22), 14494-14501. https://doi.org/10.1021/acs.est.0c02373</w:t>
      </w:r>
    </w:p>
    <w:p>
      <w:pPr>
        <w:numPr>
          <w:ilvl w:val="0"/>
          <w:numId w:val="1001"/>
        </w:numPr>
        <w:pStyle w:val="Compact"/>
      </w:pPr>
      <w:r>
        <w:t xml:space="preserve">Callaway, B., &amp; Sant’Anna, P. H. C. (2021). Difference-in-differences with multiple time periods. Journal of Econometrics, 225(2), 200-230. https://doi.org/10.1016/j.jeconom.2020.12.001</w:t>
      </w:r>
    </w:p>
    <w:p>
      <w:pPr>
        <w:numPr>
          <w:ilvl w:val="0"/>
          <w:numId w:val="1001"/>
        </w:numPr>
        <w:pStyle w:val="Compact"/>
      </w:pPr>
      <w:r>
        <w:t xml:space="preserve">Carrico, C., Gennings, C., Wheeler, D. C., &amp; Factor-Litvak, P. (2015). Characterization of weighted quantile sum regression for highly correlated data in a risk analysis setting. Journal of Agricultural, Biological, and Environmental Statistics, 20(1), 100-120. https://doi.org/10.1007/s13253-014-0180-3</w:t>
      </w:r>
    </w:p>
    <w:p>
      <w:pPr>
        <w:numPr>
          <w:ilvl w:val="0"/>
          <w:numId w:val="1001"/>
        </w:numPr>
        <w:pStyle w:val="Compact"/>
      </w:pPr>
      <w:r>
        <w:t xml:space="preserve">Caruso, G. (2017). The legacy of natural disasters: The intergenerational impact of 100 years of disasters in Latin America. Journal of Development Economics, 127, 209-233. https://doi.org/10.1016/j.jdeveco.2017.03.007</w:t>
      </w:r>
    </w:p>
    <w:p>
      <w:pPr>
        <w:numPr>
          <w:ilvl w:val="0"/>
          <w:numId w:val="1001"/>
        </w:numPr>
        <w:pStyle w:val="Compact"/>
      </w:pPr>
      <w:r>
        <w:t xml:space="preserve">Chay, K. Y., &amp; Greenstone, M. (2003). The impact of air pollution on infant mortality: Evidence from geographic variation in pollution shocks induced by a recession. The Quarterly Journal of Economics, 118(3), 1121-1167. https://doi.org/10.1162/00335530360698513</w:t>
      </w:r>
    </w:p>
    <w:p>
      <w:pPr>
        <w:numPr>
          <w:ilvl w:val="0"/>
          <w:numId w:val="1001"/>
        </w:numPr>
        <w:pStyle w:val="Compact"/>
      </w:pPr>
      <w:r>
        <w:t xml:space="preserve">Chen, K. Z., Zeng, P., Song, Z., &amp; Shi, X. (2026). Opportunities swept away: How do floods affect children’s educational outcomes in rural China? Review of Development Economics. Advance online publication. https://doi.org/10.1111/rode.70166</w:t>
      </w:r>
    </w:p>
    <w:p>
      <w:pPr>
        <w:numPr>
          <w:ilvl w:val="0"/>
          <w:numId w:val="1001"/>
        </w:numPr>
        <w:pStyle w:val="Compact"/>
      </w:pPr>
      <w:r>
        <w:t xml:space="preserve">Chen, K., Wolf, K., Breitner, S., Gasparrini, A., Stafoggia, M., Samoli, E., Andersen, Z. J., Bero-Bedada, G., Bellander, T., Hennig, F., Jacquemin, B., Pekkanen, J., Hampel, R., Cyrys, J., Peters, A., &amp; Schneider, A. (2018). Two-way effect modifications of air pollution and air temperature on total natural and cardiovascular mortality in eight European urban areas. Environment International, 116, 186-196. https://doi.org/10.1016/j.envint.2018.04.021</w:t>
      </w:r>
    </w:p>
    <w:p>
      <w:pPr>
        <w:numPr>
          <w:ilvl w:val="0"/>
          <w:numId w:val="1001"/>
        </w:numPr>
        <w:pStyle w:val="Compact"/>
      </w:pPr>
      <w:r>
        <w:t xml:space="preserve">Chen, R., Yin, P., Wang, L., Liu, C., Niu, Y., Wang, W., Jiang, Y., Liu, Y., Liu, J., Qi, J., You, J., Kan, H., &amp; Zhou, M. (2018). Association between ambient temperature and mortality risk and burden: Time series study in 272 main Chinese cities. BMJ, 363, k4306. https://doi.org/10.1136/bmj.k4306</w:t>
      </w:r>
    </w:p>
    <w:p>
      <w:pPr>
        <w:numPr>
          <w:ilvl w:val="0"/>
          <w:numId w:val="1001"/>
        </w:numPr>
        <w:pStyle w:val="Compact"/>
      </w:pPr>
      <w:r>
        <w:t xml:space="preserve">Chen, Y., Ebenstein, A., Greenstone, M., &amp; Li, H. (2013). Evidence on the impact of sustained exposure to air pollution on life expectancy from China’s Huai River policy. Proceedings of the National Academy of Sciences, 110(32), 12936-12941. https://doi.org/10.1073/pnas.1300018110</w:t>
      </w:r>
    </w:p>
    <w:p>
      <w:pPr>
        <w:numPr>
          <w:ilvl w:val="0"/>
          <w:numId w:val="1001"/>
        </w:numPr>
        <w:pStyle w:val="Compact"/>
      </w:pPr>
      <w:r>
        <w:t xml:space="preserve">Chersich, M. F., Pham, M. D., Areal, A., Haghighi, M. M., Manyuchi, A., Swift, C. P., Wernecke, B., Robinson, M., Hetem, R., Boeckmann, M., &amp; Hajat, S. (2020). Associations between high temperatures in pregnancy and risk of preterm birth, low birth weight, and stillbirths: Systematic review and meta-analysis. BMJ, 371, m3811. https://doi.org/10.1136/bmj.m3811</w:t>
      </w:r>
    </w:p>
    <w:p>
      <w:pPr>
        <w:numPr>
          <w:ilvl w:val="0"/>
          <w:numId w:val="1001"/>
        </w:numPr>
        <w:pStyle w:val="Compact"/>
      </w:pPr>
      <w:r>
        <w:t xml:space="preserve">Clasen, T. F., Chang, H. H., Thompson, L. M., Kirby, M. A., Balakrishnan, K., Diaz-Artiga, A., McCracken, J. P., Rosa, G., Steenland, K., Younger, A., Aravindalochanan, V., Barr, D. B., Castanaza, A., Chen, Y., Chiang, M., Clark, M. L., Garg, S., Hartinger, S., Jabbarzadeh, S., … Peel, J. L. (2022). Liquefied petroleum gas or biomass for cooking and effects on birth weight. New England Journal of Medicine, 387(19), 1735-1746. https://doi.org/10.1056/NEJMoa2206734</w:t>
      </w:r>
    </w:p>
    <w:p>
      <w:pPr>
        <w:numPr>
          <w:ilvl w:val="0"/>
          <w:numId w:val="1001"/>
        </w:numPr>
        <w:pStyle w:val="Compact"/>
      </w:pPr>
      <w:r>
        <w:t xml:space="preserve">Cookson, R., Mirelman, A. J., Griffin, S., Asaria, M., Dawkins, B., Norheim, O. F., Verguet, S., &amp; Culyer, A. J. (2017). Using cost-effectiveness analysis to address health equity concerns. Value in Health, 20(2), 206-212. https://doi.org/10.1016/j.jval.2016.11.027</w:t>
      </w:r>
    </w:p>
    <w:p>
      <w:pPr>
        <w:numPr>
          <w:ilvl w:val="0"/>
          <w:numId w:val="1001"/>
        </w:numPr>
        <w:pStyle w:val="Compact"/>
      </w:pPr>
      <w:r>
        <w:t xml:space="preserve">Corsi, D. J., Neuman, M., Finlay, J. E., &amp; Subramanian, S. V. (2012). Demographic and health surveys: A profile. International Journal of Epidemiology, 41(6), 1602-1613. https://doi.org/10.1093/ije/dys184</w:t>
      </w:r>
    </w:p>
    <w:p>
      <w:pPr>
        <w:numPr>
          <w:ilvl w:val="0"/>
          <w:numId w:val="1001"/>
        </w:numPr>
        <w:pStyle w:val="Compact"/>
      </w:pPr>
      <w:r>
        <w:t xml:space="preserve">Currie, J., &amp; Vogl, T. (2013). Early-life health and adult circumstance in developing countries. Annual Review of Economics, 5(1), 1-36. https://doi.org/10.1146/annurev-economics-081412-103704</w:t>
      </w:r>
    </w:p>
    <w:p>
      <w:pPr>
        <w:numPr>
          <w:ilvl w:val="0"/>
          <w:numId w:val="1001"/>
        </w:numPr>
        <w:pStyle w:val="Compact"/>
      </w:pPr>
      <w:r>
        <w:t xml:space="preserve">de Chaisemartin, C., &amp; D’Haultfoeuille, X. (2020). Two-way fixed effects estimators with heterogeneous treatment effects. American Economic Review, 110(9), 2964-2996. https://doi.org/10.1257/aer.20181169</w:t>
      </w:r>
    </w:p>
    <w:p>
      <w:pPr>
        <w:numPr>
          <w:ilvl w:val="0"/>
          <w:numId w:val="1001"/>
        </w:numPr>
        <w:pStyle w:val="Compact"/>
      </w:pPr>
      <w:r>
        <w:t xml:space="preserve">Deuchert, E., &amp; Felfe, C. (2015). The tempest: Short- and long-term consequences of a natural disaster for children’s development. European Economic Review, 80, 280-294. https://doi.org/10.1016/j.euroecorev.2015.09.004</w:t>
      </w:r>
    </w:p>
    <w:p>
      <w:pPr>
        <w:numPr>
          <w:ilvl w:val="0"/>
          <w:numId w:val="1001"/>
        </w:numPr>
        <w:pStyle w:val="Compact"/>
      </w:pPr>
      <w:r>
        <w:t xml:space="preserve">Dimitrova, A., Dimitrova, A., Mengel, M., Gasparrini, A., Lotze-Campen, H., &amp; Gabrysch, S. (2024). Temperature-related neonatal deaths attributable to climate change in 29 low- and middle-income countries. Nature Communications, 15(1), 5504. https://doi.org/10.1038/s41467-024-49890-x</w:t>
      </w:r>
    </w:p>
    <w:p>
      <w:pPr>
        <w:numPr>
          <w:ilvl w:val="0"/>
          <w:numId w:val="1001"/>
        </w:numPr>
        <w:pStyle w:val="Compact"/>
      </w:pPr>
      <w:r>
        <w:t xml:space="preserve">Ebenstein, A., Fan, M., Greenstone, M., He, G., &amp; Zhou, M. (2017). New evidence on the impact of sustained exposure to air pollution on life expectancy from China’s Huai River Policy. Proceedings of the National Academy of Sciences, 114(39), 10384-10389. https://doi.org/10.1073/pnas.1616784114</w:t>
      </w:r>
    </w:p>
    <w:p>
      <w:pPr>
        <w:numPr>
          <w:ilvl w:val="0"/>
          <w:numId w:val="1001"/>
        </w:numPr>
        <w:pStyle w:val="Compact"/>
      </w:pPr>
      <w:r>
        <w:t xml:space="preserve">Eyring, V., Bony, S., Meehl, G. A., Senior, C. A., Stevens, B., Stouffer, R. J., &amp; Taylor, K. E. (2016). Overview of the Coupled Model Intercomparison Project Phase 6 (CMIP6) experimental design and organization. Geoscientific Model Development, 9(5), 1937-1958. https://doi.org/10.5194/gmd-9-1937-2016</w:t>
      </w:r>
    </w:p>
    <w:p>
      <w:pPr>
        <w:numPr>
          <w:ilvl w:val="0"/>
          <w:numId w:val="1001"/>
        </w:numPr>
        <w:pStyle w:val="Compact"/>
      </w:pPr>
      <w:r>
        <w:t xml:space="preserve">Fan, M., He, G., &amp; Zhou, M. (2020). The winter choke: Coal-fired heating, air pollution, and mortality in China. Journal of Health Economics, 71, 102316. https://doi.org/10.1016/j.jhealeco.2020.102316</w:t>
      </w:r>
    </w:p>
    <w:p>
      <w:pPr>
        <w:numPr>
          <w:ilvl w:val="0"/>
          <w:numId w:val="1001"/>
        </w:numPr>
        <w:pStyle w:val="Compact"/>
      </w:pPr>
      <w:r>
        <w:t xml:space="preserve">Favara, M., Crivello, G., Penny, M., Porter, C., Revathi, E., Sanchez, A., Scott, D., Duc, L. T., Woldehanna, T., &amp; McKay, A. (2021). Cohort profile update: The Young Lives study. International Journal of Epidemiology, 50(6), 1784-1785e. https://doi.org/10.1093/ije/dyab111</w:t>
      </w:r>
    </w:p>
    <w:p>
      <w:pPr>
        <w:numPr>
          <w:ilvl w:val="0"/>
          <w:numId w:val="1001"/>
        </w:numPr>
        <w:pStyle w:val="Compact"/>
      </w:pPr>
      <w:r>
        <w:t xml:space="preserve">Fiore, A. M., Naik, V., &amp; Leibensperger, E. M. (2015). Air quality and climate connections. Journal of the Air and Waste Management Association, 65(6), 645-685. https://doi.org/10.1080/10962247.2015.1040526</w:t>
      </w:r>
    </w:p>
    <w:p>
      <w:pPr>
        <w:numPr>
          <w:ilvl w:val="0"/>
          <w:numId w:val="1001"/>
        </w:numPr>
        <w:pStyle w:val="Compact"/>
      </w:pPr>
      <w:r>
        <w:t xml:space="preserve">Funk, C., Peterson, P., Landsfeld, M., Pedreros, D., Verdin, J., Shukla, S., Husak, G., Rowland, J., Harrison, L., Hoell, A., &amp; Michaelsen, J. (2015). The climate hazards infrared precipitation with stations, a new environmental record for monitoring extremes. Scientific Data, 2(1), Article 150066. https://doi.org/10.1038/sdata.2015.66</w:t>
      </w:r>
    </w:p>
    <w:p>
      <w:pPr>
        <w:numPr>
          <w:ilvl w:val="0"/>
          <w:numId w:val="1001"/>
        </w:numPr>
        <w:pStyle w:val="Compact"/>
      </w:pPr>
      <w:r>
        <w:t xml:space="preserve">Gao, M., Wang, F., Ding, Y., Wu, Z., Xu, Y., Lu, X., Wang, Z., Carmichael, G. R., &amp; McElroy, M. B. (2023). Large-scale climate patterns offer preseasonal hints on the co-occurrence of heat wave and O3 pollution in China. Proceedings of the National Academy of Sciences, 120(26), Article e2218274120. https://doi.org/10.1073/pnas.2218274120</w:t>
      </w:r>
    </w:p>
    <w:p>
      <w:pPr>
        <w:numPr>
          <w:ilvl w:val="0"/>
          <w:numId w:val="1001"/>
        </w:numPr>
        <w:pStyle w:val="Compact"/>
      </w:pPr>
      <w:r>
        <w:t xml:space="preserve">Garg, T., Jagnani, M., &amp; Taraz, V. (2020). Temperature and human capital in India. Journal of the Association of Environmental and Resource Economists, 7(6), 1113-1150. https://doi.org/10.1086/710066</w:t>
      </w:r>
    </w:p>
    <w:p>
      <w:pPr>
        <w:numPr>
          <w:ilvl w:val="0"/>
          <w:numId w:val="1001"/>
        </w:numPr>
        <w:pStyle w:val="Compact"/>
      </w:pPr>
      <w:r>
        <w:t xml:space="preserve">Gasparrini, A., Armstrong, B., &amp; Kenward, M. G. (2010). Distributed lag non-linear models. Statistics in Medicine, 29(21), 2224-2234. https://doi.org/10.1002/sim.3940</w:t>
      </w:r>
    </w:p>
    <w:p>
      <w:pPr>
        <w:numPr>
          <w:ilvl w:val="0"/>
          <w:numId w:val="1001"/>
        </w:numPr>
        <w:pStyle w:val="Compact"/>
      </w:pPr>
      <w:r>
        <w:t xml:space="preserve">Gasparrini, A., Guo, Y., Hashizume, M., Lavigne, E., Zanobetti, A., Schwartz, J., Tobias, A., Tong, S., Rocklov, J., Forsberg, B., Leone, M., De Sario, M., Bell, M. L., Guo, Y.-L. L., Wu, C.-F., Kan, H., Yi, S.-M., Coelho, M. de S. Z. S., Saldiva, P. H. N., … Armstrong, B. (2015). Mortality risk attributable to high and low ambient temperature: A multicountry observational study. The Lancet, 386(9991), 369-375. https://doi.org/10.1016/S0140-6736(14)62114-0</w:t>
      </w:r>
    </w:p>
    <w:p>
      <w:pPr>
        <w:numPr>
          <w:ilvl w:val="0"/>
          <w:numId w:val="1001"/>
        </w:numPr>
        <w:pStyle w:val="Compact"/>
      </w:pPr>
      <w:r>
        <w:t xml:space="preserve">GBD 2019 Risk Factors Collaborators. (2020). Global burden of 87 risk factors in 204 countries and territories, 1990-2019: A systematic analysis for the Global Burden of Disease Study 2019. The Lancet, 396(10258), 1223-1249. https://doi.org/10.1016/S0140-6736(20)30752-2</w:t>
      </w:r>
    </w:p>
    <w:p>
      <w:pPr>
        <w:numPr>
          <w:ilvl w:val="0"/>
          <w:numId w:val="1001"/>
        </w:numPr>
        <w:pStyle w:val="Compact"/>
      </w:pPr>
      <w:r>
        <w:t xml:space="preserve">GBD 2021 Risk Factors Collaborators. (2024). Global burden and strength of evidence for 88 risk factors in 204 countries and 811 subnational locations, 1990-2021: A systematic analysis for the Global Burden of Disease Study 2021. The Lancet, 403(10440), 2162-2203. https://doi.org/10.1016/S0140-6736(24)00933-4</w:t>
      </w:r>
    </w:p>
    <w:p>
      <w:pPr>
        <w:numPr>
          <w:ilvl w:val="0"/>
          <w:numId w:val="1001"/>
        </w:numPr>
        <w:pStyle w:val="Compact"/>
      </w:pPr>
      <w:r>
        <w:t xml:space="preserve">GBD 2023 Causes of Death Collaborators. (2025). Global burden of 292 causes of death in 204 countries and territories and 660 subnational locations, 1990-2023: A systematic analysis for the Global Burden of Disease Study 2023. The Lancet, 406(10513), 1811-1872. https://doi.org/10.1016/S0140-6736(25)01917-8</w:t>
      </w:r>
    </w:p>
    <w:p>
      <w:pPr>
        <w:numPr>
          <w:ilvl w:val="0"/>
          <w:numId w:val="1001"/>
        </w:numPr>
        <w:pStyle w:val="Compact"/>
      </w:pPr>
      <w:r>
        <w:t xml:space="preserve">GBD 2023 Disease and Injury and Risk Factor Collaborators. (2025). Burden of 375 diseases and injuries, risk-attributable burden of 88 risk factors, and healthy life expectancy in 204 countries and territories, including 660 subnational locations, 1990-2023: A systematic analysis for the Global Burden of Disease Study 2023. The Lancet, 406(10513), 1873-1922. https://doi.org/10.1016/S0140-6736(25)01637-X</w:t>
      </w:r>
    </w:p>
    <w:p>
      <w:pPr>
        <w:numPr>
          <w:ilvl w:val="0"/>
          <w:numId w:val="1001"/>
        </w:numPr>
        <w:pStyle w:val="Compact"/>
      </w:pPr>
      <w:r>
        <w:t xml:space="preserve">Geng, G., Xiao, Q., Liu, S., Liu, X., Cheng, J., Zheng, Y., Xue, T., Tong, D., Zheng, B., Peng, Y., Huang, X., He, K., &amp; Zhang, Q. (2021). Tracking air pollution in China: Near real-time PM2.5 retrievals from multisource data fusion. Environmental Science and Technology, 55(17), 12106-12115. https://doi.org/10.1021/acs.est.1c01863</w:t>
      </w:r>
    </w:p>
    <w:p>
      <w:pPr>
        <w:numPr>
          <w:ilvl w:val="0"/>
          <w:numId w:val="1001"/>
        </w:numPr>
        <w:pStyle w:val="Compact"/>
      </w:pPr>
      <w:r>
        <w:t xml:space="preserve">Ghosh, R., Causey, K., Burkart, K., Wozniak, S., Cohen, A., &amp; Brauer, M. (2021). Ambient and household PM2.5 pollution and adverse perinatal outcomes: A meta-regression and analysis of attributable global burden for 204 countries and territories. PLOS Medicine, 18(9), e1003718. https://doi.org/10.1371/journal.pmed.1003718</w:t>
      </w:r>
    </w:p>
    <w:p>
      <w:pPr>
        <w:numPr>
          <w:ilvl w:val="0"/>
          <w:numId w:val="1001"/>
        </w:numPr>
        <w:pStyle w:val="Compact"/>
      </w:pPr>
      <w:r>
        <w:t xml:space="preserve">Gilraine, M. (2025). Air filters, pollution, and student achievement. Journal of Human Resources, 60(5), 1469-1506. https://doi.org/10.3368/jhr.0421-11642R2</w:t>
      </w:r>
    </w:p>
    <w:p>
      <w:pPr>
        <w:numPr>
          <w:ilvl w:val="0"/>
          <w:numId w:val="1001"/>
        </w:numPr>
        <w:pStyle w:val="Compact"/>
      </w:pPr>
      <w:r>
        <w:t xml:space="preserve">Glenn, A. J., Gu, X., Hu, F. B., Wang, M., &amp; Willett, W. C. (2023). Concerns about the Burden of Proof studies. Nature Medicine, 29(4), 823-825. https://doi.org/10.1038/s41591-023-02294-8</w:t>
      </w:r>
    </w:p>
    <w:p>
      <w:pPr>
        <w:numPr>
          <w:ilvl w:val="0"/>
          <w:numId w:val="1001"/>
        </w:numPr>
        <w:pStyle w:val="Compact"/>
      </w:pPr>
      <w:r>
        <w:t xml:space="preserve">Goodman-Bacon, A. (2021). Difference-in-differences with variation in treatment timing. Journal of Econometrics, 225(2), 254-277. https://doi.org/10.1016/j.jeconom.2021.03.014</w:t>
      </w:r>
    </w:p>
    <w:p>
      <w:pPr>
        <w:numPr>
          <w:ilvl w:val="0"/>
          <w:numId w:val="1001"/>
        </w:numPr>
        <w:pStyle w:val="Compact"/>
      </w:pPr>
      <w:r>
        <w:t xml:space="preserve">Graff Zivin, J., &amp; Neidell, M. (2009). Days of haze: Environmental information disclosure and intertemporal avoidance behavior. Journal of Environmental Economics and Management, 58(2), 119-128. https://doi.org/10.1016/j.jeem.2009.03.001</w:t>
      </w:r>
    </w:p>
    <w:p>
      <w:pPr>
        <w:numPr>
          <w:ilvl w:val="0"/>
          <w:numId w:val="1001"/>
        </w:numPr>
        <w:pStyle w:val="Compact"/>
      </w:pPr>
      <w:r>
        <w:t xml:space="preserve">Graff Zivin, J., Hsiang, S., &amp; Neidell, M. (2018). Temperature and human capital in the short and long run. Journal of the Association of Environmental and Resource Economists, 5(1), 77-105. https://doi.org/10.1086/694177</w:t>
      </w:r>
    </w:p>
    <w:p>
      <w:pPr>
        <w:numPr>
          <w:ilvl w:val="0"/>
          <w:numId w:val="1001"/>
        </w:numPr>
        <w:pStyle w:val="Compact"/>
      </w:pPr>
      <w:r>
        <w:t xml:space="preserve">Graff Zivin, J., Song, Y., Tang, Q., &amp; Zhang, P. (2020). Temperature and high-stakes cognitive performance: Evidence from the national college entrance examination in China. Journal of Environmental Economics and Management, 104, 102365. https://doi.org/10.1016/j.jeem.2020.102365</w:t>
      </w:r>
    </w:p>
    <w:p>
      <w:pPr>
        <w:numPr>
          <w:ilvl w:val="0"/>
          <w:numId w:val="1001"/>
        </w:numPr>
        <w:pStyle w:val="Compact"/>
      </w:pPr>
      <w:r>
        <w:t xml:space="preserve">Grant, L., Vanderkelen, I., Gudmundsson, L., Fischer, E., Seneviratne, S. I., &amp; Thiery, W. (2025). Global emergence of unprecedented lifetime exposure to climate extremes. Nature, 641(8062), 374-379. https://doi.org/10.1038/s41586-025-08907-1</w:t>
      </w:r>
    </w:p>
    <w:p>
      <w:pPr>
        <w:numPr>
          <w:ilvl w:val="0"/>
          <w:numId w:val="1001"/>
        </w:numPr>
        <w:pStyle w:val="Compact"/>
      </w:pPr>
      <w:r>
        <w:t xml:space="preserve">Gray, C. L., &amp; Mueller, V. (2012). Natural disasters and population mobility in Bangladesh. Proceedings of the National Academy of Sciences, 109(16), 6000-6005. https://doi.org/10.1073/pnas.1115944109</w:t>
      </w:r>
    </w:p>
    <w:p>
      <w:pPr>
        <w:numPr>
          <w:ilvl w:val="0"/>
          <w:numId w:val="1001"/>
        </w:numPr>
        <w:pStyle w:val="Compact"/>
      </w:pPr>
      <w:r>
        <w:t xml:space="preserve">Groppo, V., &amp; Kraehnert, K. (2017). The impact of extreme weather events on education. Journal of Population Economics, 30(2), 433-472. https://doi.org/10.1007/s00148-016-0628-6</w:t>
      </w:r>
    </w:p>
    <w:p>
      <w:pPr>
        <w:numPr>
          <w:ilvl w:val="0"/>
          <w:numId w:val="1001"/>
        </w:numPr>
        <w:pStyle w:val="Compact"/>
      </w:pPr>
      <w:r>
        <w:t xml:space="preserve">Hammer, M. S., van Donkelaar, A., Li, C., Lyapustin, A., Sayer, A. M., Hsu, N. C., Levy, R. C., Garay, M. J., Kalashnikova, O. V., Kahn, R. A., Brauer, M., Apte, J. S., Henze, D. K., Zhang, L., Zhang, Q., Ford, B., Pierce, J. R., &amp; Martin, R. V. (2020). Global estimates and long-term trends of fine particulate matter concentrations (1998-2018). Environmental Science and Technology, 54(13), 7879-7890. https://doi.org/10.1021/acs.est.0c01764</w:t>
      </w:r>
    </w:p>
    <w:p>
      <w:pPr>
        <w:numPr>
          <w:ilvl w:val="0"/>
          <w:numId w:val="1001"/>
        </w:numPr>
        <w:pStyle w:val="Compact"/>
      </w:pPr>
      <w:r>
        <w:t xml:space="preserve">Heft-Neal, S., Burney, J., Bendavid, E., &amp; Burke, M. (2018). Robust relationship between air quality and infant mortality in Africa. Nature, 559(7713), 254-258. https://doi.org/10.1038/s41586-018-0263-3</w:t>
      </w:r>
    </w:p>
    <w:p>
      <w:pPr>
        <w:numPr>
          <w:ilvl w:val="0"/>
          <w:numId w:val="1001"/>
        </w:numPr>
        <w:pStyle w:val="Compact"/>
      </w:pPr>
      <w:r>
        <w:t xml:space="preserve">Heft-Neal, S., Burney, J., Bendavid, E., Voss, K. K., &amp; Burke, M. (2020). Dust pollution from the Sahara and African infant mortality. Nature Sustainability, 3(10), 863-871. https://doi.org/10.1038/s41893-020-0562-1</w:t>
      </w:r>
    </w:p>
    <w:p>
      <w:pPr>
        <w:numPr>
          <w:ilvl w:val="0"/>
          <w:numId w:val="1001"/>
        </w:numPr>
        <w:pStyle w:val="Compact"/>
      </w:pPr>
      <w:r>
        <w:t xml:space="preserve">Heft-Neal, S., Driscoll, A., Yang, W., Shaw, G., &amp; Burke, M. (2022). Associations between wildfire smoke exposure during pregnancy and risk of preterm birth in California. Environmental Research, 203, Article 111872. https://doi.org/10.1016/j.envres.2021.111872</w:t>
      </w:r>
    </w:p>
    <w:p>
      <w:pPr>
        <w:numPr>
          <w:ilvl w:val="0"/>
          <w:numId w:val="1001"/>
        </w:numPr>
        <w:pStyle w:val="Compact"/>
      </w:pPr>
      <w:r>
        <w:t xml:space="preserve">Hersbach, H., Bell, B., Berrisford, P., Hirahara, S., Horanyi, A., Munoz-Sabater, J., Nicolas, J., Peubey, C., Radu, R., Schepers, D., Simmons, A., Soci, C., Abdalla, S., Abellan, X., Balsamo, G., Bechtold, P., Biavati, G., Bidlot, J., Bonavita, M., … Thepaut, J.-N. (2020). The ERA5 global reanalysis. Quarterly Journal of the Royal Meteorological Society, 146(730), 1999-2049. https://doi.org/10.1002/qj.3803</w:t>
      </w:r>
    </w:p>
    <w:p>
      <w:pPr>
        <w:numPr>
          <w:ilvl w:val="0"/>
          <w:numId w:val="1001"/>
        </w:numPr>
        <w:pStyle w:val="Compact"/>
      </w:pPr>
      <w:r>
        <w:t xml:space="preserve">Horton, D. E., Skinner, C. B., Singh, D., &amp; Diffenbaugh, N. S. (2014). Occurrence and persistence of future atmospheric stagnation events. Nature Climate Change, 4(8), 698-703. https://doi.org/10.1038/nclimate2272</w:t>
      </w:r>
    </w:p>
    <w:p>
      <w:pPr>
        <w:numPr>
          <w:ilvl w:val="0"/>
          <w:numId w:val="1001"/>
        </w:numPr>
        <w:pStyle w:val="Compact"/>
      </w:pPr>
      <w:r>
        <w:t xml:space="preserve">Huang, J., Pan, X., Guo, X., &amp; Li, G. (2018). Health impact of China’s Air Pollution Prevention and Control Action Plan: An analysis of national air quality monitoring and mortality data. The Lancet Planetary Health, 2(7), e313-e323. https://doi.org/10.1016/S2542-5196(18)30141-4</w:t>
      </w:r>
    </w:p>
    <w:p>
      <w:pPr>
        <w:numPr>
          <w:ilvl w:val="0"/>
          <w:numId w:val="1001"/>
        </w:numPr>
        <w:pStyle w:val="Compact"/>
      </w:pPr>
      <w:r>
        <w:t xml:space="preserve">Husoy, A. K., Stovner, L. J., &amp; Steiner, T. J. (2025). GBD, secondary analyses, paper mills and abuse of a valuable but vulnerable resource: A problem that must be confronted. Cephalalgia, 45(11), Article 03331024251392884. https://doi.org/10.1177/03331024251392884</w:t>
      </w:r>
    </w:p>
    <w:p>
      <w:pPr>
        <w:numPr>
          <w:ilvl w:val="0"/>
          <w:numId w:val="1001"/>
        </w:numPr>
        <w:pStyle w:val="Compact"/>
      </w:pPr>
      <w:r>
        <w:t xml:space="preserve">Imai, K., Keele, L., &amp; Tingley, D. (2010). A general approach to causal mediation analysis. Psychological Methods, 15(4), 309-334. https://doi.org/10.1037/a0020761</w:t>
      </w:r>
    </w:p>
    <w:p>
      <w:pPr>
        <w:numPr>
          <w:ilvl w:val="0"/>
          <w:numId w:val="1001"/>
        </w:numPr>
        <w:pStyle w:val="Compact"/>
      </w:pPr>
      <w:r>
        <w:t xml:space="preserve">Isen, A., Rossin-Slater, M., &amp; Walker, R. (2017). Relationship between season of birth, temperature exposure, and later life wellbeing. Proceedings of the National Academy of Sciences, 114(51), 13447-13452. https://doi.org/10.1073/pnas.1702436114</w:t>
      </w:r>
    </w:p>
    <w:p>
      <w:pPr>
        <w:numPr>
          <w:ilvl w:val="0"/>
          <w:numId w:val="1001"/>
        </w:numPr>
        <w:pStyle w:val="Compact"/>
      </w:pPr>
      <w:r>
        <w:t xml:space="preserve">Ito, K., &amp; Zhang, S. (2020). Willingness to pay for clean air: Evidence from air purifier markets in China. Journal of Political Economy, 128(5), 1627-1672. https://doi.org/10.1086/705554</w:t>
      </w:r>
    </w:p>
    <w:p>
      <w:pPr>
        <w:numPr>
          <w:ilvl w:val="0"/>
          <w:numId w:val="1001"/>
        </w:numPr>
        <w:pStyle w:val="Compact"/>
      </w:pPr>
      <w:r>
        <w:t xml:space="preserve">Jacob, D. J., &amp; Winner, D. A. (2009). Effect of climate change on air quality. Atmospheric Environment, 43(1), 51-63. https://doi.org/10.1016/j.atmosenv.2008.09.051</w:t>
      </w:r>
    </w:p>
    <w:p>
      <w:pPr>
        <w:numPr>
          <w:ilvl w:val="0"/>
          <w:numId w:val="1001"/>
        </w:numPr>
        <w:pStyle w:val="Compact"/>
      </w:pPr>
      <w:r>
        <w:t xml:space="preserve">Jayachandran, S. (2009). Air quality and early-life mortality: Evidence from Indonesia’s wildfires. Journal of Human Resources, 44(4), 916-954. https://doi.org/10.3368/jhr.44.4.916</w:t>
      </w:r>
    </w:p>
    <w:p>
      <w:pPr>
        <w:numPr>
          <w:ilvl w:val="0"/>
          <w:numId w:val="1001"/>
        </w:numPr>
        <w:pStyle w:val="Compact"/>
      </w:pPr>
      <w:r>
        <w:t xml:space="preserve">Jiang, Y., He, Y., Wu, S., Chen, R., Yang, Y., Xu, J., Zhang, Y., Wang, Q., Shen, H., Zhang, Y., Yan, D., Peng, Z., Dong, X., Zhang, H., Jiang, L., Li, H., Zhu, Y., Liu, C., Wang, W., … Kan, H. (2022). Improved air quality and reduced burden of preterm birth in China: 2013-2017. Science Bulletin, 67(9), 879-882. https://doi.org/10.1016/j.scib.2022.01.022</w:t>
      </w:r>
    </w:p>
    <w:p>
      <w:pPr>
        <w:numPr>
          <w:ilvl w:val="0"/>
          <w:numId w:val="1001"/>
        </w:numPr>
        <w:pStyle w:val="Compact"/>
      </w:pPr>
      <w:r>
        <w:t xml:space="preserve">Keil, A. P., Buckley, J. P., O’Brien, K. M., Ferguson, K. K., Zhao, S., &amp; White, A. J. (2020). A quantile-based g-computation approach to addressing the effects of exposure mixtures. Environmental Health Perspectives, 128(4), Article 047004. https://doi.org/10.1289/EHP5838</w:t>
      </w:r>
    </w:p>
    <w:p>
      <w:pPr>
        <w:numPr>
          <w:ilvl w:val="0"/>
          <w:numId w:val="1001"/>
        </w:numPr>
        <w:pStyle w:val="Compact"/>
      </w:pPr>
      <w:r>
        <w:t xml:space="preserve">Khan, S., &amp; Hancioglu, A. (2019). Multiple indicator cluster surveys: Delivering robust data on children and women across the globe. Studies in Family Planning, 50(3), 279-286. https://doi.org/10.1111/sifp.12103</w:t>
      </w:r>
    </w:p>
    <w:p>
      <w:pPr>
        <w:numPr>
          <w:ilvl w:val="0"/>
          <w:numId w:val="1001"/>
        </w:numPr>
        <w:pStyle w:val="Compact"/>
      </w:pPr>
      <w:r>
        <w:t xml:space="preserve">Knol, M. J., &amp; VanderWeele, T. J. (2012). Recommendations for presenting analyses of effect modification and interaction. International Journal of Epidemiology, 41(2), 514-520. https://doi.org/10.1093/ije/dyr218</w:t>
      </w:r>
    </w:p>
    <w:p>
      <w:pPr>
        <w:numPr>
          <w:ilvl w:val="0"/>
          <w:numId w:val="1001"/>
        </w:numPr>
        <w:pStyle w:val="Compact"/>
      </w:pPr>
      <w:r>
        <w:t xml:space="preserve">Liu, X., Behrman, J., Hannum, E., Wang, F., &amp; Zhao, Q. (2022). Same environment, stratified impacts? Air pollution, extreme temperatures, and birth weight in South China. Social Science Research, 105, Article 102691. https://doi.org/10.1016/j.ssresearch.2021.102691</w:t>
      </w:r>
    </w:p>
    <w:p>
      <w:pPr>
        <w:numPr>
          <w:ilvl w:val="0"/>
          <w:numId w:val="1001"/>
        </w:numPr>
        <w:pStyle w:val="Compact"/>
      </w:pPr>
      <w:r>
        <w:t xml:space="preserve">Lu, X., Hong, J., Zhang, L., Cooper, O. R., Schultz, M. G., Xu, X., Wang, T., Gao, M., Zhao, Y., &amp; Zhang, Y. (2018). Severe surface ozone pollution in China: A global perspective. Environmental Science and Technology Letters, 5(8), 487-494. https://doi.org/10.1021/acs.estlett.8b00366</w:t>
      </w:r>
    </w:p>
    <w:p>
      <w:pPr>
        <w:numPr>
          <w:ilvl w:val="0"/>
          <w:numId w:val="1001"/>
        </w:numPr>
        <w:pStyle w:val="Compact"/>
      </w:pPr>
      <w:r>
        <w:t xml:space="preserve">Maccini, S., &amp; Yang, D. (2009). Under the weather: Health, schooling, and economic consequences of early-life rainfall. American Economic Review, 99(3), 1006-1026. https://doi.org/10.1257/aer.99.3.1006</w:t>
      </w:r>
    </w:p>
    <w:p>
      <w:pPr>
        <w:numPr>
          <w:ilvl w:val="0"/>
          <w:numId w:val="1001"/>
        </w:numPr>
        <w:pStyle w:val="Compact"/>
      </w:pPr>
      <w:r>
        <w:t xml:space="preserve">Maclure, M. (1991). The case-crossover design: A method for studying transient effects on the risk of acute events. American Journal of Epidemiology, 133(2), 144-153. https://doi.org/10.1093/oxfordjournals.aje.a115853</w:t>
      </w:r>
    </w:p>
    <w:p>
      <w:pPr>
        <w:numPr>
          <w:ilvl w:val="0"/>
          <w:numId w:val="1001"/>
        </w:numPr>
        <w:pStyle w:val="Compact"/>
      </w:pPr>
      <w:r>
        <w:t xml:space="preserve">Murray, C. J. L. (2022). The Global Burden of Disease Study at 30 years. Nature Medicine, 28(10), 2019-2026. https://doi.org/10.1038/s41591-022-01990-1</w:t>
      </w:r>
    </w:p>
    <w:p>
      <w:pPr>
        <w:numPr>
          <w:ilvl w:val="0"/>
          <w:numId w:val="1001"/>
        </w:numPr>
        <w:pStyle w:val="Compact"/>
      </w:pPr>
      <w:r>
        <w:t xml:space="preserve">Murray, C. J. L., &amp; Acharya, A. K. (1997). Understanding DALYs. Journal of Health Economics, 16(6), 703-730. https://doi.org/10.1016/S0167-6296(97)00004-0</w:t>
      </w:r>
    </w:p>
    <w:p>
      <w:pPr>
        <w:numPr>
          <w:ilvl w:val="0"/>
          <w:numId w:val="1001"/>
        </w:numPr>
        <w:pStyle w:val="Compact"/>
      </w:pPr>
      <w:r>
        <w:t xml:space="preserve">O’Neill, B. C., Tebaldi, C., van Vuuren, D. P., Eyring, V., Friedlingstein, P., Hurtt, G., Knutti, R., Kriegler, E., Lamarque, J.-F., Lowe, J., Meehl, G. A., Moss, R., Riahi, K., &amp; Sanderson, B. M. (2016). The Scenario Model Intercomparison Project (ScenarioMIP) for CMIP6. Geoscientific Model Development, 9(9), 3461-3482. https://doi.org/10.5194/gmd-9-3461-2016</w:t>
      </w:r>
    </w:p>
    <w:p>
      <w:pPr>
        <w:numPr>
          <w:ilvl w:val="0"/>
          <w:numId w:val="1001"/>
        </w:numPr>
        <w:pStyle w:val="Compact"/>
      </w:pPr>
      <w:r>
        <w:t xml:space="preserve">Park, R. J. (2022). Hot temperature and high-stakes performance. Journal of Human Resources, 57(2), 400-434. https://doi.org/10.3368/jhr.57.2.0618-9535R3</w:t>
      </w:r>
    </w:p>
    <w:p>
      <w:pPr>
        <w:numPr>
          <w:ilvl w:val="0"/>
          <w:numId w:val="1001"/>
        </w:numPr>
        <w:pStyle w:val="Compact"/>
      </w:pPr>
      <w:r>
        <w:t xml:space="preserve">Park, R. J., Behrer, A. P., &amp; Goodman, J. (2021). Learning is inhibited by heat exposure, both internationally and within the United States. Nature Human Behaviour, 5(1), 19-27. https://doi.org/10.1038/s41562-020-00959-9</w:t>
      </w:r>
    </w:p>
    <w:p>
      <w:pPr>
        <w:numPr>
          <w:ilvl w:val="0"/>
          <w:numId w:val="1001"/>
        </w:numPr>
        <w:pStyle w:val="Compact"/>
      </w:pPr>
      <w:r>
        <w:t xml:space="preserve">Park, R. J., Goodman, J., Hurwitz, M., &amp; Smith, J. (2020). Heat and learning. American Economic Journal: Economic Policy, 12(2), 306-339. https://doi.org/10.1257/pol.20180612</w:t>
      </w:r>
    </w:p>
    <w:p>
      <w:pPr>
        <w:numPr>
          <w:ilvl w:val="0"/>
          <w:numId w:val="1001"/>
        </w:numPr>
        <w:pStyle w:val="Compact"/>
      </w:pPr>
      <w:r>
        <w:t xml:space="preserve">Popkin, B. M., Du, S., Zhai, F., &amp; Zhang, B. (2010). Cohort profile: The China Health and Nutrition Survey, monitoring and understanding socio-economic and health change in China, 1989-2011. International Journal of Epidemiology, 39(6), 1435-1440. https://doi.org/10.1093/ije/dyp322</w:t>
      </w:r>
    </w:p>
    <w:p>
      <w:pPr>
        <w:numPr>
          <w:ilvl w:val="0"/>
          <w:numId w:val="1001"/>
        </w:numPr>
        <w:pStyle w:val="Compact"/>
      </w:pPr>
      <w:r>
        <w:t xml:space="preserve">Povall, S. L., Haigh, F. A., Abrahams, D., &amp; Scott-Samuel, A. (2014). Health equity impact assessment. Health Promotion International, 29(4), 621-633. https://doi.org/10.1093/heapro/dat012</w:t>
      </w:r>
    </w:p>
    <w:p>
      <w:pPr>
        <w:numPr>
          <w:ilvl w:val="0"/>
          <w:numId w:val="1001"/>
        </w:numPr>
        <w:pStyle w:val="Compact"/>
      </w:pPr>
      <w:r>
        <w:t xml:space="preserve">Pullabhotla, H. K., Zahid, M., Heft-Neal, S., Rathi, V., &amp; Burke, M. (2023). Global biomass fires and infant mortality. Proceedings of the National Academy of Sciences, 120(23), Article e2218210120. https://doi.org/10.1073/pnas.2218210120</w:t>
      </w:r>
    </w:p>
    <w:p>
      <w:pPr>
        <w:numPr>
          <w:ilvl w:val="0"/>
          <w:numId w:val="1001"/>
        </w:numPr>
        <w:pStyle w:val="Compact"/>
      </w:pPr>
      <w:r>
        <w:t xml:space="preserve">Rahman, M. M., McConnell, R., Schlaerth, H., Ko, J., Silva, S., Lurmann, F. W., Palinkas, L., Johnston, J., Hurlburt, M., Yin, H., Ban-Weiss, G., &amp; Garcia, E. (2022). The effects of coexposure to extremes of heat and particulate air pollution on mortality in California: Implications for climate change. American Journal of Respiratory and Critical Care Medicine, 206(9), 1117-1127. https://doi.org/10.1164/rccm.202204-0657OC</w:t>
      </w:r>
    </w:p>
    <w:p>
      <w:pPr>
        <w:numPr>
          <w:ilvl w:val="0"/>
          <w:numId w:val="1001"/>
        </w:numPr>
        <w:pStyle w:val="Compact"/>
      </w:pPr>
      <w:r>
        <w:t xml:space="preserve">Randell, H., &amp; Gray, C. (2019). Climate change and educational attainment in the global tropics. Proceedings of the National Academy of Sciences, 116(18), 8840-8845. https://doi.org/10.1073/pnas.1817480116</w:t>
      </w:r>
    </w:p>
    <w:p>
      <w:pPr>
        <w:numPr>
          <w:ilvl w:val="0"/>
          <w:numId w:val="1001"/>
        </w:numPr>
        <w:pStyle w:val="Compact"/>
      </w:pPr>
      <w:r>
        <w:t xml:space="preserve">Ren, C., Williams, G. M., &amp; Tong, S. (2006). Does particulate matter modify the association between temperature and cardiorespiratory diseases? Environmental Health Perspectives, 114(11), 1690-1696. https://doi.org/10.1289/ehp.9266</w:t>
      </w:r>
    </w:p>
    <w:p>
      <w:pPr>
        <w:numPr>
          <w:ilvl w:val="0"/>
          <w:numId w:val="1001"/>
        </w:numPr>
        <w:pStyle w:val="Compact"/>
      </w:pPr>
      <w:r>
        <w:t xml:space="preserve">Riahi, K., van Vuuren, D. P., Kriegler, E., Edmonds, J., O’Neill, B. C., Fujimori, S., Bauer, N., Calvin, K., Dellink, R., Fricko, O., Lutz, W., Popp, A., Crespo Cuaresma, J., KC, S., Leimbach, M., Jiang, L., Kram, T., Rao, S., Emmerling, J., … Tavoni, M. (2017). The Shared Socioeconomic Pathways and their energy, land use, and greenhouse gas emissions implications: An overview. Global Environmental Change, 42, 153-168. https://doi.org/10.1016/j.gloenvcha.2016.05.009</w:t>
      </w:r>
    </w:p>
    <w:p>
      <w:pPr>
        <w:numPr>
          <w:ilvl w:val="0"/>
          <w:numId w:val="1001"/>
        </w:numPr>
        <w:pStyle w:val="Compact"/>
      </w:pPr>
      <w:r>
        <w:t xml:space="preserve">Rich, D. Q., Liu, K., Zhang, J., Thurston, S. W., Stevens, T. P., Pan, Y., Kane, C., Weinberger, B., Ohman-Strickland, P., Woodruff, T. J., Duan, X., Assibey-Mensah, V., &amp; Zhang, J. (2015). Differences in birth weight associated with the 2008 Beijing Olympics air pollution reduction: Results from a natural experiment. Environmental Health Perspectives, 123(9), 880-887. https://doi.org/10.1289/ehp.1408795</w:t>
      </w:r>
    </w:p>
    <w:p>
      <w:pPr>
        <w:numPr>
          <w:ilvl w:val="0"/>
          <w:numId w:val="1001"/>
        </w:numPr>
        <w:pStyle w:val="Compact"/>
      </w:pPr>
      <w:r>
        <w:t xml:space="preserve">Rosales-Rueda, M. (2018). The impact of early life shocks on human capital formation: Evidence from El Nino floods in Ecuador. Journal of Health Economics, 62, 13-44. https://doi.org/10.1016/j.jhealeco.2018.07.003</w:t>
      </w:r>
    </w:p>
    <w:p>
      <w:pPr>
        <w:numPr>
          <w:ilvl w:val="0"/>
          <w:numId w:val="1001"/>
        </w:numPr>
        <w:pStyle w:val="Compact"/>
      </w:pPr>
      <w:r>
        <w:t xml:space="preserve">Rue, H., Martino, S., &amp; Chopin, N. (2009). Approximate Bayesian inference for latent Gaussian models by using integrated nested Laplace approximations. Journal of the Royal Statistical Society Series B: Statistical Methodology, 71(2), 319-392. https://doi.org/10.1111/j.1467-9868.2008.00700.x</w:t>
      </w:r>
    </w:p>
    <w:p>
      <w:pPr>
        <w:numPr>
          <w:ilvl w:val="0"/>
          <w:numId w:val="1001"/>
        </w:numPr>
        <w:pStyle w:val="Compact"/>
      </w:pPr>
      <w:r>
        <w:t xml:space="preserve">Schnell, J. L., &amp; Prather, M. J. (2017). Co-occurrence of extremes in surface ozone, particulate matter, and temperature over eastern North America. Proceedings of the National Academy of Sciences, 114(11), 2854-2859. https://doi.org/10.1073/pnas.1614453114</w:t>
      </w:r>
    </w:p>
    <w:p>
      <w:pPr>
        <w:numPr>
          <w:ilvl w:val="0"/>
          <w:numId w:val="1001"/>
        </w:numPr>
        <w:pStyle w:val="Compact"/>
      </w:pPr>
      <w:r>
        <w:t xml:space="preserve">Schoolman, E. D., &amp; Ma, C. (2012). Migration, class and environmental inequality: Exposure to pollution in China’s Jiangsu Province. Ecological Economics, 75, 140-151. https://doi.org/10.1016/j.ecolecon.2012.01.015</w:t>
      </w:r>
    </w:p>
    <w:p>
      <w:pPr>
        <w:numPr>
          <w:ilvl w:val="0"/>
          <w:numId w:val="1001"/>
        </w:numPr>
        <w:pStyle w:val="Compact"/>
      </w:pPr>
      <w:r>
        <w:t xml:space="preserve">Sen, A. (2005). Human rights and capabilities. Journal of Human Development, 6(2), 151-166. https://doi.org/10.1080/14649880500120491</w:t>
      </w:r>
    </w:p>
    <w:p>
      <w:pPr>
        <w:numPr>
          <w:ilvl w:val="0"/>
          <w:numId w:val="1001"/>
        </w:numPr>
        <w:pStyle w:val="Compact"/>
      </w:pPr>
      <w:r>
        <w:t xml:space="preserve">Shah, M., &amp; Steinberg, B. M. (2017). Drought of opportunities: Contemporaneous and long-term impacts of rainfall shocks on human capital. Journal of Political Economy, 125(2), 527-561. https://doi.org/10.1086/690828</w:t>
      </w:r>
    </w:p>
    <w:p>
      <w:pPr>
        <w:numPr>
          <w:ilvl w:val="0"/>
          <w:numId w:val="1001"/>
        </w:numPr>
        <w:pStyle w:val="Compact"/>
      </w:pPr>
      <w:r>
        <w:t xml:space="preserve">Smith, K. R., McCracken, J. P., Weber, M. W., Hubbard, A., Jenny, A., Thompson, L. M., Balmes, J., Diaz, A., Arana, B., &amp; Bruce, N. (2011). Effect of reduction in household air pollution on childhood pneumonia in Guatemala (RESPIRE): A randomised controlled trial. The Lancet, 378(9804), 1717-1726. https://doi.org/10.1016/S0140-6736(11)60921-5</w:t>
      </w:r>
    </w:p>
    <w:p>
      <w:pPr>
        <w:numPr>
          <w:ilvl w:val="0"/>
          <w:numId w:val="1001"/>
        </w:numPr>
        <w:pStyle w:val="Compact"/>
      </w:pPr>
      <w:r>
        <w:t xml:space="preserve">Stafoggia, M., Schwartz, J., Forastiere, F., &amp; Perucci, C. A. (2008). Does temperature modify the association between air pollution and mortality? A multicity case-crossover analysis in Italy. American Journal of Epidemiology, 167(12), 1476-1485. https://doi.org/10.1093/aje/kwn074</w:t>
      </w:r>
    </w:p>
    <w:p>
      <w:pPr>
        <w:numPr>
          <w:ilvl w:val="0"/>
          <w:numId w:val="1001"/>
        </w:numPr>
        <w:pStyle w:val="Compact"/>
      </w:pPr>
      <w:r>
        <w:t xml:space="preserve">Su, J., Jiao, L., &amp; Xu, G. (2025). Intensified exposure to compound extreme heat and ozone pollution in summer across Chinese cities. npj Climate and Atmospheric Science, 8(1), Article 78. https://doi.org/10.1038/s41612-025-00966-5</w:t>
      </w:r>
    </w:p>
    <w:p>
      <w:pPr>
        <w:numPr>
          <w:ilvl w:val="0"/>
          <w:numId w:val="1001"/>
        </w:numPr>
        <w:pStyle w:val="Compact"/>
      </w:pPr>
      <w:r>
        <w:t xml:space="preserve">Sun, L., &amp; Abraham, S. (2021). Estimating dynamic treatment effects in event studies with heterogeneous treatment effects. Journal of Econometrics, 225(2), 175-199. https://doi.org/10.1016/j.jeconom.2020.09.006</w:t>
      </w:r>
    </w:p>
    <w:p>
      <w:pPr>
        <w:numPr>
          <w:ilvl w:val="0"/>
          <w:numId w:val="1001"/>
        </w:numPr>
        <w:pStyle w:val="Compact"/>
      </w:pPr>
      <w:r>
        <w:t xml:space="preserve">Tan, J., Yan, P., Wang, J., Chen, S., Bai, J., Zhang, Z., Nicholas, S., Maitland, E., Li, P., Hu, Y., Sun, J., &amp; Chen, C. (2024). Environmental inequality in eastern China: Socio-economic status and air pollution. Population and Environment, 46(2), Article 13. https://doi.org/10.1007/s11111-024-00454-7</w:t>
      </w:r>
    </w:p>
    <w:p>
      <w:pPr>
        <w:numPr>
          <w:ilvl w:val="0"/>
          <w:numId w:val="1001"/>
        </w:numPr>
        <w:pStyle w:val="Compact"/>
      </w:pPr>
      <w:r>
        <w:t xml:space="preserve">Tanaka, S. (2015). Environmental regulations on air pollution in China and their impact on infant mortality. Journal of Health Economics, 42, 90-103. https://doi.org/10.1016/j.jhealeco.2015.02.004</w:t>
      </w:r>
    </w:p>
    <w:p>
      <w:pPr>
        <w:numPr>
          <w:ilvl w:val="0"/>
          <w:numId w:val="1001"/>
        </w:numPr>
        <w:pStyle w:val="Compact"/>
      </w:pPr>
      <w:r>
        <w:t xml:space="preserve">Thiede, B. C., &amp; Gray, C. (2020). Climate exposures and child undernutrition: Evidence from Indonesia. Social Science and Medicine, 265, Article 113298. https://doi.org/10.1016/j.socscimed.2020.113298</w:t>
      </w:r>
    </w:p>
    <w:p>
      <w:pPr>
        <w:numPr>
          <w:ilvl w:val="0"/>
          <w:numId w:val="1001"/>
        </w:numPr>
        <w:pStyle w:val="Compact"/>
      </w:pPr>
      <w:r>
        <w:t xml:space="preserve">Thiery, W., Lange, S., Rogelj, J., Schleussner, C.-F., Gudmundsson, L., Seneviratne, S. I., Andrijevic, M., Frieler, K., Emanuel, K., Geiger, T., Bresch, D. N., Zhao, F., Willner, S. N., Buchner, M., Volkholz, J., Bauer, N., Chang, J., Ciais, P., Dury, M., … Wada, Y. (2021). Intergenerational inequities in exposure to climate extremes. Science, 374(6564), 158-160. https://doi.org/10.1126/science.abi7339</w:t>
      </w:r>
    </w:p>
    <w:p>
      <w:pPr>
        <w:numPr>
          <w:ilvl w:val="0"/>
          <w:numId w:val="1001"/>
        </w:numPr>
        <w:pStyle w:val="Compact"/>
      </w:pPr>
      <w:r>
        <w:t xml:space="preserve">van Donkelaar, A., Hammer, M. S., Bindle, L., Brauer, M., Brook, J. R., Garay, M. J., Hsu, N. C., Kalashnikova, O. V., Kahn, R. A., Lee, C., Levy, R. C., Lyapustin, A., Sayer, A. M., &amp; Martin, R. V. (2021). Monthly global estimates of fine particulate matter and their uncertainty. Environmental Science and Technology, 55(22), 15287-15300. https://doi.org/10.1021/acs.est.1c05309</w:t>
      </w:r>
    </w:p>
    <w:p>
      <w:pPr>
        <w:numPr>
          <w:ilvl w:val="0"/>
          <w:numId w:val="1001"/>
        </w:numPr>
        <w:pStyle w:val="Compact"/>
      </w:pPr>
      <w:r>
        <w:t xml:space="preserve">VanderWeele, T. J. (2016). Mediation analysis: A practitioner’s guide. Annual Review of Public Health, 37(1), 17-32. https://doi.org/10.1146/annurev-publhealth-032315-021402</w:t>
      </w:r>
    </w:p>
    <w:p>
      <w:pPr>
        <w:numPr>
          <w:ilvl w:val="0"/>
          <w:numId w:val="1001"/>
        </w:numPr>
        <w:pStyle w:val="Compact"/>
      </w:pPr>
      <w:r>
        <w:t xml:space="preserve">Vicedo-Cabrera, A. M., Scovronick, N., Sera, F., Roye, D., Schneider, R., Tobias, A., Astrom, C., Guo, Y., Honda, Y., Hondula, D. M., Abrutzky, R., Tong, S., Coelho, M. de S. Z. S., Saldiva, P. H. N., Lavigne, E., Correa, P. M., Ortega, N. V., Kan, H., Osorio, S., … Gasparrini, A. (2021). The burden of heat-related mortality attributable to recent human-induced climate change. Nature Climate Change, 11(6), 492-500. https://doi.org/10.1038/s41558-021-01058-x</w:t>
      </w:r>
    </w:p>
    <w:p>
      <w:pPr>
        <w:numPr>
          <w:ilvl w:val="0"/>
          <w:numId w:val="1001"/>
        </w:numPr>
        <w:pStyle w:val="Compact"/>
      </w:pPr>
      <w:r>
        <w:t xml:space="preserve">Wei, J., Li, Z., Lyapustin, A., Sun, L., Peng, Y., Xue, W., Su, T., &amp; Cribb, M. (2021). Reconstructing 1-km-resolution high-quality PM2.5 data records from 2000 to 2018 in China: Spatiotemporal variations and policy implications. Remote Sensing of Environment, 252, Article 112136. https://doi.org/10.1016/j.rse.2020.112136</w:t>
      </w:r>
    </w:p>
    <w:p>
      <w:pPr>
        <w:numPr>
          <w:ilvl w:val="0"/>
          <w:numId w:val="1001"/>
        </w:numPr>
        <w:pStyle w:val="Compact"/>
      </w:pPr>
      <w:r>
        <w:t xml:space="preserve">Wen, J., &amp; Burke, M. (2022). Lower test scores from wildfire smoke exposure. Nature Sustainability, 5(11), 947-955. https://doi.org/10.1038/s41893-022-00956-y</w:t>
      </w:r>
    </w:p>
    <w:p>
      <w:pPr>
        <w:numPr>
          <w:ilvl w:val="0"/>
          <w:numId w:val="1001"/>
        </w:numPr>
        <w:pStyle w:val="Compact"/>
      </w:pPr>
      <w:r>
        <w:t xml:space="preserve">Xie, Y., &amp; Lu, P. (2015). The sampling design of the China Family Panel Studies (CFPS). Chinese Journal of Sociology, 1(4), 471-484. https://doi.org/10.1177/2057150X15614535</w:t>
      </w:r>
    </w:p>
    <w:p>
      <w:pPr>
        <w:numPr>
          <w:ilvl w:val="0"/>
          <w:numId w:val="1001"/>
        </w:numPr>
        <w:pStyle w:val="Compact"/>
      </w:pPr>
      <w:r>
        <w:t xml:space="preserve">Xue, T., Wang, R., Wang, M., Wang, Y., Tong, D., Meng, X., Huang, C., Ai, S., Li, F., Cao, J., Tong, M., Ni, X., Liu, H., Deng, J., Lu, H., Wan, W., Gong, J., Zhang, S., &amp; Zhu, T. (2024). Health benefits from the rapid reduction in ambient exposure to air pollutants after China’s clean air actions: Progress in efficacy and geographic equality. National Science Review, 11(2), Article nwad263. https://doi.org/10.1093/nsr/nwad263</w:t>
      </w:r>
    </w:p>
    <w:p>
      <w:pPr>
        <w:numPr>
          <w:ilvl w:val="0"/>
          <w:numId w:val="1001"/>
        </w:numPr>
        <w:pStyle w:val="Compact"/>
      </w:pPr>
      <w:r>
        <w:t xml:space="preserve">Yao, M., Li, L., Yang, M., Wu, Y., &amp; Cheng, F. (2022). Household air pollution and childhood stunting in China: A prospective cohort study. Frontiers in Public Health, 10, Article 985786. https://doi.org/10.3389/fpubh.2022.985786</w:t>
      </w:r>
    </w:p>
    <w:p>
      <w:pPr>
        <w:numPr>
          <w:ilvl w:val="0"/>
          <w:numId w:val="1001"/>
        </w:numPr>
        <w:pStyle w:val="Compact"/>
      </w:pPr>
      <w:r>
        <w:t xml:space="preserve">Yu, G., Yang, L., Liu, M., Wang, C., Shen, X., Fan, L., &amp; Zhang, J. (2023). Extreme temperature exposure and risks of preterm birth subtypes based on a nationwide survey in China. Environmental Health Perspectives, 131(8), Article 087009. https://doi.org/10.1289/EHP10831</w:t>
      </w:r>
    </w:p>
    <w:p>
      <w:pPr>
        <w:numPr>
          <w:ilvl w:val="0"/>
          <w:numId w:val="1001"/>
        </w:numPr>
        <w:pStyle w:val="Compact"/>
      </w:pPr>
      <w:r>
        <w:t xml:space="preserve">Zhang, Q., Zheng, Y., Tong, D., Shao, M., Wang, S., Zhang, Y., Xu, X., Wang, J., He, H., Liu, W., Ding, Y., Lei, Y., Li, J., Wang, Z., Zhang, X., Wang, Y., Cheng, J., Liu, Y., Shi, Q., … Hao, J. (2019). Drivers of improved PM2.5 air quality in China from 2013 to 2017. Proceedings of the National Academy of Sciences, 116(49), 24463-24469. https://doi.org/10.1073/pnas.1907956116</w:t>
      </w:r>
    </w:p>
    <w:p>
      <w:pPr>
        <w:numPr>
          <w:ilvl w:val="0"/>
          <w:numId w:val="1001"/>
        </w:numPr>
        <w:pStyle w:val="Compact"/>
      </w:pPr>
      <w:r>
        <w:t xml:space="preserve">Zhang, X., Chen, X., &amp; Zhang, X. (2018). The impact of exposure to air pollution on cognitive performance. Proceedings of the National Academy of Sciences, 115(37), 9193-9197. https://doi.org/10.1073/pnas.1809474115</w:t>
      </w:r>
    </w:p>
    <w:p>
      <w:pPr>
        <w:numPr>
          <w:ilvl w:val="0"/>
          <w:numId w:val="1001"/>
        </w:numPr>
        <w:pStyle w:val="Compact"/>
      </w:pPr>
      <w:r>
        <w:t xml:space="preserve">Zhao, Y., &amp; Kim, B. (2022). Environmental regulation and chronic conditions: Evidence from China’s Air Pollution Prevention and Control Action Plan. International Journal of Environmental Research and Public Health, 19(19), Article 12584. https://doi.org/10.3390/ijerph191912584</w:t>
      </w:r>
    </w:p>
    <w:p>
      <w:pPr>
        <w:numPr>
          <w:ilvl w:val="0"/>
          <w:numId w:val="1001"/>
        </w:numPr>
        <w:pStyle w:val="Compact"/>
      </w:pPr>
      <w:r>
        <w:t xml:space="preserve">Zheng, P., Afshin, A., Biryukov, S., Bisignano, C., Brauer, M., Bryazka, D., Burkart, K., Cercy, K. M., Cornaby, L., Dai, X., Dirac, M. A., Estep, K., Fay, K. A., Feldman, R., Ferrari, A. J., Gakidou, E., Gil, G. F., Griswold, M., Hay, S. I., … Murray, C. J. L. (2022). The Burden of Proof studies: Assessing the evidence of risk. Nature Medicine, 28(10), 2038-2044. https://doi.org/10.1038/s41591-022-01973-2</w:t>
      </w:r>
    </w:p>
    <w:p>
      <w:pPr>
        <w:numPr>
          <w:ilvl w:val="0"/>
          <w:numId w:val="1001"/>
        </w:numPr>
        <w:pStyle w:val="Compact"/>
      </w:pPr>
      <w:r>
        <w:t xml:space="preserve">Zheng, P., Barber, R., Sorensen, R. J. D., Murray, C. J. L., &amp; Aravkin, A. Y. (2021). Trimmed constrained mixed effects models: Formulations and algorithms. Journal of Computational and Graphical Statistics, 30(3), 544-556. https://doi.org/10.1080/10618600.2020.1868303</w:t>
      </w:r>
    </w:p>
    <w:p>
      <w:pPr>
        <w:numPr>
          <w:ilvl w:val="0"/>
          <w:numId w:val="1001"/>
        </w:numPr>
        <w:pStyle w:val="Compact"/>
      </w:pPr>
      <w:r>
        <w:t xml:space="preserve">Zhou, M., Wang, H., Zeng, X., Yin, P., Zhu, J., Chen, W., Li, X., Wang, L., Wang, L., Liu, Y., Liu, J., Zhang, M., Qi, J., Yu, S., Afshin, A., Gakidou, E., Glenn, S., Krish, V., Miller-Petrie, M. K., … Liang, X. (2019). Mortality, morbidity, and risk factors in China and its provinces, 1990-2017: A systematic analysis for the Global Burden of Disease Study 2017. The Lancet, 394(10204), 1145-1158. https://doi.org/10.1016/S0140-6736(19)30427-1</w:t>
      </w:r>
    </w:p>
    <w:bookmarkEnd w:id="91"/>
    <w:bookmarkStart w:id="92" w:name="中文文献"/>
    <w:p>
      <w:pPr>
        <w:pStyle w:val="Heading3"/>
      </w:pPr>
      <w:r>
        <w:t xml:space="preserve">17.2 中文文献</w:t>
      </w:r>
    </w:p>
    <w:p>
      <w:pPr>
        <w:pStyle w:val="FirstParagraph"/>
      </w:pPr>
      <w:r>
        <w:t xml:space="preserve">中文期刊论文以中文 DOI 前缀、ISSN 与 CN 号标识，而非以 Crossref 注册的 DOI 标识。缺少 Crossref DOI 是中国学术出版基础设施的属性，不构成可靠性证据。以下每一条目均在出版方自有摘要页获得确认。</w:t>
      </w:r>
    </w:p>
    <w:p>
      <w:pPr>
        <w:numPr>
          <w:ilvl w:val="0"/>
          <w:numId w:val="1002"/>
        </w:numPr>
        <w:pStyle w:val="Compact"/>
      </w:pPr>
      <w:r>
        <w:t xml:space="preserve">毕鹏, 施小明, 刘起勇. (2020). 过去十年中国气候变化与人群健康研究进展及未来展望. 气候变化研究进展, 16(6), 763-769. DOI: 10.12006/j.issn.1673-1719.2020.190</w:t>
      </w:r>
    </w:p>
    <w:p>
      <w:pPr>
        <w:numPr>
          <w:ilvl w:val="0"/>
          <w:numId w:val="1002"/>
        </w:numPr>
        <w:pStyle w:val="Compact"/>
      </w:pPr>
      <w:r>
        <w:t xml:space="preserve">杜本峰, 王翾, 耿蕊. (2020). 困境家庭环境与儿童健康状况的影响因素. 人口研究, 44(1), 70-84. ISSN 1000-6087; CN 11-1489/C. 无 DOI, 以刊号与卷期页码为标识.</w:t>
      </w:r>
    </w:p>
    <w:p>
      <w:pPr>
        <w:numPr>
          <w:ilvl w:val="0"/>
          <w:numId w:val="1002"/>
        </w:numPr>
        <w:pStyle w:val="Compact"/>
      </w:pPr>
      <w:r>
        <w:t xml:space="preserve">高景宏, 李丽萍, 王君, 刘小波, 吴海霞, 李京, 李静, 刘起勇. (2017). 气候变化对儿童健康影响的研究进展. 中华流行病学杂志, 38(6), 832-836. DOI: 10.3760/cma.j.issn.0254-6450.2017.06.028</w:t>
      </w:r>
    </w:p>
    <w:p>
      <w:pPr>
        <w:numPr>
          <w:ilvl w:val="0"/>
          <w:numId w:val="1002"/>
        </w:numPr>
        <w:pStyle w:val="Compact"/>
      </w:pPr>
      <w:r>
        <w:t xml:space="preserve">和红, 谈甜. (2021). 家庭健康生产视角下儿童健康的影响因素及其相对贡献度研究. 中国卫生政策研究, 14(9), 25-34. DOI: 10.3969/j.issn.1674-2982.2021.09.005</w:t>
      </w:r>
    </w:p>
    <w:p>
      <w:pPr>
        <w:numPr>
          <w:ilvl w:val="0"/>
          <w:numId w:val="1002"/>
        </w:numPr>
        <w:pStyle w:val="Compact"/>
      </w:pPr>
      <w:r>
        <w:t xml:space="preserve">胡建雄, 何冠豪, 马文军. (2022). 高温热浪增加人群死亡风险的脆弱性理论框架. 环境与职业医学, 39(3), 240-246. DOI: 10.11836/JEOM21454</w:t>
      </w:r>
    </w:p>
    <w:p>
      <w:pPr>
        <w:numPr>
          <w:ilvl w:val="0"/>
          <w:numId w:val="1002"/>
        </w:numPr>
        <w:pStyle w:val="Compact"/>
      </w:pPr>
      <w:r>
        <w:t xml:space="preserve">黄存瑞, 刘起勇. (2022). IPCC AR6报告解读: 气候变化与人类健康. 气候变化研究进展, 18(4), 442-451. DOI: 10.12006/j.issn.1673-1719.2022.143</w:t>
      </w:r>
    </w:p>
    <w:p>
      <w:pPr>
        <w:numPr>
          <w:ilvl w:val="0"/>
          <w:numId w:val="1002"/>
        </w:numPr>
        <w:pStyle w:val="Compact"/>
      </w:pPr>
      <w:r>
        <w:t xml:space="preserve">李扬, 刘昌新, 宋瑶. (2021). 高温热浪频发对经济系统影响的研究进展. 气候变化研究进展, 17(1), 121-130. DOI: 10.12006/j.issn.1673-1719.2019.233</w:t>
      </w:r>
    </w:p>
    <w:p>
      <w:pPr>
        <w:numPr>
          <w:ilvl w:val="0"/>
          <w:numId w:val="1002"/>
        </w:numPr>
        <w:pStyle w:val="Compact"/>
      </w:pPr>
      <w:r>
        <w:t xml:space="preserve">刘聪, 陈仁杰, 阚海东. (2023).</w:t>
      </w:r>
      <w:r>
        <w:t xml:space="preserve"> </w:t>
      </w:r>
      <w:r>
        <w:t xml:space="preserve">“</w:t>
      </w:r>
      <w:r>
        <w:t xml:space="preserve">双碳</w:t>
      </w:r>
      <w:r>
        <w:t xml:space="preserve">”</w:t>
      </w:r>
      <w:r>
        <w:t xml:space="preserve">背景下的空气污染和气候变化流行病学研究进展与展望. 中华流行病学杂志, 44(3), 353-359. DOI: 10.3760/cma.j.cn112338-20220824-00732</w:t>
      </w:r>
    </w:p>
    <w:p>
      <w:pPr>
        <w:numPr>
          <w:ilvl w:val="0"/>
          <w:numId w:val="1002"/>
        </w:numPr>
        <w:pStyle w:val="Compact"/>
      </w:pPr>
      <w:r>
        <w:t xml:space="preserve">马静, 柴彦威, 符婷婷. (2017). 居民时空行为与环境污染暴露对健康影响的研究进展. 地理科学进展, 36(10), 1260-1269. DOI: 10.18306/dlkxjz.2017.10.008</w:t>
      </w:r>
    </w:p>
    <w:p>
      <w:pPr>
        <w:numPr>
          <w:ilvl w:val="0"/>
          <w:numId w:val="1002"/>
        </w:numPr>
        <w:pStyle w:val="Compact"/>
      </w:pPr>
      <w:r>
        <w:t xml:space="preserve">秦耀辰, 谢志祥, 李阳. (2019). 大气污染对居民健康影响研究进展. 环境科学, 40(3), 1512-1520. DOI: 10.13227/j.hjkx.201807108</w:t>
      </w:r>
    </w:p>
    <w:p>
      <w:pPr>
        <w:numPr>
          <w:ilvl w:val="0"/>
          <w:numId w:val="1002"/>
        </w:numPr>
        <w:pStyle w:val="Compact"/>
      </w:pPr>
      <w:r>
        <w:t xml:space="preserve">武卫玲, 薛文博, 王燕丽, 雷宇, 冯涛, 蔡泽林. (2019). 《大气污染防治行动计划》实施的环境健康效果评估. 环境科学, 40(7), 2961-2966. DOI: 10.13227/j.hjkx.201811110</w:t>
      </w:r>
    </w:p>
    <w:p>
      <w:pPr>
        <w:numPr>
          <w:ilvl w:val="0"/>
          <w:numId w:val="1002"/>
        </w:numPr>
        <w:pStyle w:val="Compact"/>
      </w:pPr>
      <w:r>
        <w:t xml:space="preserve">张莉君, 郭常义, 许慧慧, 许东, 沈先标, 杜向阳, 章敏华, 谈建国, 张江华, 东春阳, 钱海雷, 施烨闻, 潘梅竹, 周晓丹. (2017). 上海市大气污染对小学生肺功能小气道指标的急性效应研究. 中华流行病学杂志, 38(2), 147-153. DOI: 10.3760/cma.j.issn.0254-6450.2017.02.003</w:t>
      </w:r>
    </w:p>
    <w:p>
      <w:pPr>
        <w:numPr>
          <w:ilvl w:val="0"/>
          <w:numId w:val="1002"/>
        </w:numPr>
        <w:pStyle w:val="Compact"/>
      </w:pPr>
      <w:r>
        <w:t xml:space="preserve">郑璐, 刘博蕊, 万宁钰, 王小川, 杨喆, 胡嘉晋. (2024). 孕期大气污染暴露与儿童肥胖风险关系的系统综述. 环境与职业医学, 41(1), 70-76. DOI: 10.11836/JEOM23218</w:t>
      </w:r>
    </w:p>
    <w:p>
      <w:pPr>
        <w:numPr>
          <w:ilvl w:val="0"/>
          <w:numId w:val="1002"/>
        </w:numPr>
        <w:pStyle w:val="Compact"/>
      </w:pPr>
      <w:r>
        <w:t xml:space="preserve">朱鹏飞, 张翼, 班婕, 李湉湉, 施小明. (2017). 中国空气污染与不良出生结局的研究进展. 中华流行病学杂志, 38(3), 393-399. DOI: 10.3760/cma.j.issn.0254-6450.2017.03.024</w:t>
      </w:r>
    </w:p>
    <w:bookmarkEnd w:id="92"/>
    <w:bookmarkStart w:id="93" w:name="未附期刊标识符的机构与数据来源"/>
    <w:p>
      <w:pPr>
        <w:pStyle w:val="Heading3"/>
      </w:pPr>
      <w:r>
        <w:t xml:space="preserve">17.3 未附期刊标识符的机构与数据来源</w:t>
      </w:r>
    </w:p>
    <w:p>
      <w:pPr>
        <w:numPr>
          <w:ilvl w:val="0"/>
          <w:numId w:val="1003"/>
        </w:numPr>
        <w:pStyle w:val="Compact"/>
      </w:pPr>
      <w:r>
        <w:t xml:space="preserve">Climate, Environment, and Childhood Initiative, University of Pennsylvania. 中国项目（Prenatal Air Pollution Exposures and Early Childhood Outcomes）、印度项目（Flooding, Schooling and Learning in Rural India: A Mixed Method Study）与比较研究项目（PIRE: Climate Risk, Pollution, and Childhood Inequalities in Low- and Middle-Income Countries）页面；比较研究项目部分由美国国家科学基金会 PIRE OISE-2230615 项目资助。https://ceci.sas.upenn.edu</w:t>
      </w:r>
    </w:p>
    <w:p>
      <w:pPr>
        <w:numPr>
          <w:ilvl w:val="0"/>
          <w:numId w:val="1003"/>
        </w:numPr>
        <w:pStyle w:val="Compact"/>
      </w:pPr>
      <w:r>
        <w:t xml:space="preserve">中国教育追踪调查，中国人民大学中国调查与数据中心。调查文档。无已发表的方法学或队列简介论文，仅作为数据来源引用。</w:t>
      </w:r>
    </w:p>
    <w:p>
      <w:pPr>
        <w:numPr>
          <w:ilvl w:val="0"/>
          <w:numId w:val="1003"/>
        </w:numPr>
        <w:pStyle w:val="Compact"/>
      </w:pPr>
      <w:r>
        <w:t xml:space="preserve">甘肃儿童与家庭调查。项目文档，宾夕法尼亚大学。无已发表的队列简介论文，仅作为数据来源引用。</w:t>
      </w:r>
    </w:p>
    <w:p>
      <w:pPr>
        <w:numPr>
          <w:ilvl w:val="0"/>
          <w:numId w:val="1003"/>
        </w:numPr>
        <w:pStyle w:val="Compact"/>
      </w:pPr>
      <w:r>
        <w:t xml:space="preserve">ChinaHighAirPollutants（CHAP）数据档案。方法见 Wei 等（2021）。</w:t>
      </w:r>
    </w:p>
    <w:p>
      <w:pPr>
        <w:numPr>
          <w:ilvl w:val="0"/>
          <w:numId w:val="1003"/>
        </w:numPr>
        <w:pStyle w:val="Compact"/>
      </w:pPr>
      <w:r>
        <w:t xml:space="preserve">Tracking Air Pollution in China（TAP）数据档案。方法见 Geng 等（2021）。</w:t>
      </w:r>
    </w:p>
    <w:p>
      <w:r>
        <w:pict>
          <v:rect style="width:0;height:1.5pt" o:hralign="center" o:hrstd="t" o:hr="t"/>
        </w:pict>
      </w:r>
    </w:p>
    <w:p>
      <w:pPr>
        <w:pStyle w:val="FirstParagraph"/>
      </w:pPr>
      <w:r>
        <w:rPr>
          <w:iCs/>
          <w:i/>
        </w:rPr>
        <w:t xml:space="preserve">全文完。</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Noto Serif CJK SC" w:hAnsi="Georgi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Georgia" w:cs="Georgia" w:eastAsia="Noto Serif CJK SC"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Georgia" w:cs="Georgia" w:eastAsia="Noto Serif CJK SC"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Georgia" w:cs="Georgia" w:eastAsia="Noto Serif CJK SC"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Georgia" w:cs="Georgia" w:eastAsia="Noto Serif CJK SC"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Georgia" w:cs="Georgia" w:eastAsia="Noto Serif CJK SC"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Georgia" w:cs="Georgia" w:eastAsia="Noto Serif CJK SC"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Georgia" w:cs="Georgia" w:eastAsia="Noto Serif CJK SC"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Georgia" w:cs="Georgia" w:eastAsia="Noto Serif CJK SC"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Georgia" w:cs="Georgia" w:eastAsia="Noto Serif CJK SC"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Georgia" w:cs="Georgia" w:eastAsia="Noto Serif CJK SC"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Georgia" w:cs="Georgia" w:eastAsia="Noto Serif CJK SC" w:hAnsi="Georgia"/>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Georgia" w:cs="Georgia" w:eastAsia="Noto Serif CJK SC" w:hAnsi="Georg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Noto Serif CJK SC"/>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eorgia"/>
        <a:ea typeface="Noto Serif CJK SC"/>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DocSecurity>0</DocSecurity>
  <ScaleCrop>false</ScaleCrop>
  <SharedDoc>false</SharedDoc>
  <HyperlinksChanged>false</HyperlinksChanged>
  <LinksUpToDate>false</LinksUpToDate>
</Properties>
</file>

<file path=docProps/core.xml><?xml version="1.0" encoding="utf-8"?>
<cp:coreProperties xmlns:cp="http://schemas.openxmlformats.org/package/2006/metadata/core-properties" xmlns:dc="http://purl.org/dc/elements/1.1/" xmlns:dcterms="http://purl.org/dc/terms/" xmlns:xsi="http://www.w3.org/2001/XMLSchema-instance">
  <dc:title>气候风险、环境污染与儿童福祉：中国及跨国比较研究</dc:title>
  <dc:creator>蔡其新</dc:creator>
  <cp:lastModifiedBy>蔡其新</cp:lastModifiedBy>
  <dcterms:created xsi:type="dcterms:W3CDTF">2026-08-24T00:00:00Z</dcterms:created>
  <dcterms:modified xsi:type="dcterms:W3CDTF">2026-08-24T00:00:00Z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vt:lpwstr>
  </property>
</Properties>
</file>