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5" w:name="Xc7c4aa924fd8550c914438549cfeaafa4d3017a"/>
    <w:p>
      <w:pPr>
        <w:pStyle w:val="Heading1"/>
      </w:pPr>
      <w:r>
        <w:t xml:space="preserve">Climate Risk, Pollution, and Children’s Welfare in China and in Comparative Perspective</w:t>
      </w:r>
    </w:p>
    <w:bookmarkStart w:id="20" w:name="X9f29beb68a1116733860eb3a1ac339518374d8c"/>
    <w:p>
      <w:pPr>
        <w:pStyle w:val="Heading2"/>
      </w:pPr>
      <w:r>
        <w:t xml:space="preserve">An Institutional Research Programme Proposal</w:t>
      </w:r>
    </w:p>
    <w:p>
      <w:pPr>
        <w:pStyle w:val="FirstParagraph"/>
      </w:pPr>
      <w:r>
        <w:rPr>
          <w:bCs/>
          <w:b/>
        </w:rPr>
        <w:t xml:space="preserve">Version 2.0 (expanded and evidence-audited)</w:t>
      </w:r>
      <w:r>
        <w:t xml:space="preserve"> </w:t>
      </w:r>
      <w:r>
        <w:t xml:space="preserve">| Prepared 24 August 2026</w:t>
      </w:r>
    </w:p>
    <w:p>
      <w:r>
        <w:pict>
          <v:rect style="width:0;height:1.5pt" o:hralign="center" o:hrstd="t" o:hr="t"/>
        </w:pict>
      </w:r>
    </w:p>
    <w:bookmarkEnd w:id="20"/>
    <w:bookmarkStart w:id="21" w:name="how-to-read-this-document"/>
    <w:p>
      <w:pPr>
        <w:pStyle w:val="Heading2"/>
      </w:pPr>
      <w:r>
        <w:t xml:space="preserve">0. How to read this document</w:t>
      </w:r>
    </w:p>
    <w:p>
      <w:pPr>
        <w:pStyle w:val="FirstParagraph"/>
      </w:pPr>
      <w:r>
        <w:t xml:space="preserve">This is an internal programme proposal, not a manuscript and not a grant application. It is written to be argued with. Every substantive claim about the world carries a verified citation; every empirical claim the programme intends to make carries an identification strategy, a stated assumption, a diagnostic test, and a contingency for the case in which the assumption fails. Section 16 reports the citation audit in full, including what could not be verified and was therefore removed from the earlier draft.</w:t>
      </w:r>
    </w:p>
    <w:p>
      <w:pPr>
        <w:pStyle w:val="BodyText"/>
      </w:pPr>
      <w:r>
        <w:t xml:space="preserve">Three conventions govern the text. First, the document distinguishes at all times between three epistemic registers: descriptive measurement, associational estimation, and causal identification. Statements are labelled accordingly, and the programme’s credibility rests on never allowing one register to borrow authority from another. Second, comparative risk assessment outputs from the Global Burden of Disease framework are treated as standardised population accounting, not as individual-level causal effects; Section 10 makes the boundary explicit and operational. Third, welfare is treated as a multidimensional and irreducible construct; the programme resists collapsing it into a single index except as a clearly labelled secondary analysis.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Children in China and in other low- and middle-income settings are not exposed to climate hazards and to air pollution as two independent risks. The two exposures share atmospheric drivers, co-occur in time and space with increasing frequency, and plausibly interact within the developing body and within the household economy that surrounds it. Existing research nevertheless studies them separately, which risks two errors of opposite sign: understating total risk where the exposures reinforce one another, and misidentifying which children are most vulnerable when vulnerability is defined on one exposure axis only.</w:t>
      </w:r>
    </w:p>
    <w:p>
      <w:pPr>
        <w:pStyle w:val="BodyText"/>
      </w:pPr>
      <w:r>
        <w:t xml:space="preserve">This programme takes compound exposure as its organising object. It asks when climate risk and pollution become welfare risks, for which children, through which mechanisms, and with what preventable share. It anchors on China, where the density of environmental monitoring, satellite-derived exposure surfaces, administrative birth records, and nationally representative longitudinal household surveys makes fine-grained exposure-to-outcome linkage feasible at a scale rarely available elsewhere. It then tests whether the mechanisms identified in China generalise, using harmonised child data from other low- and middle-income settings, and it treats failures of generalisation as findings rather than as nuisance.</w:t>
      </w:r>
    </w:p>
    <w:p>
      <w:pPr>
        <w:pStyle w:val="BodyText"/>
      </w:pPr>
      <w:r>
        <w:t xml:space="preserve">The programme has five components. Component A builds a county-day compound exposure record for China from 2000 to 2023 and quantifies how compound exposure is distributed across the child population and across socioeconomic strata. Component B estimates the effect of trimester-specific compound exposure on birth and early childhood outcomes, using within-mother and within-county designs and testing interaction on the additive scale rather than assuming a multiplicative form. Component C examines how climate shocks propagate to schooling and learning through household resources, school disruption, and parental investment, and treats household response as an outcome in its own right rather than as an unmeasured residual. Component D tests external validity across comparative settings, estimating country-specific models before any pooling and using institutional features as explicit moderators. Component E connects the estimated exposure-response relationships to standardised burden accounting and to distributionally weighted policy counterfactuals, reporting both aggregate health gains and the share of avoided burden accruing to the most disadvantaged children.</w:t>
      </w:r>
    </w:p>
    <w:p>
      <w:pPr>
        <w:pStyle w:val="BodyText"/>
      </w:pPr>
      <w:r>
        <w:t xml:space="preserve">The programme’s central testable proposition is that welfare losses under joint high pollution and high heat exceed the sum of the losses attributable to each exposure alone, and that this departure from additivity is larger among children with fewer household and institutional protective resources. The proposition is falsifiable. Section 6 states the conditions under which it would be rejected, and Section 14 states what the programme would do next in that case.</w:t>
      </w:r>
    </w:p>
    <w:p>
      <w:r>
        <w:pict>
          <v:rect style="width:0;height:1.5pt" o:hralign="center" o:hrstd="t" o:hr="t"/>
        </w:pict>
      </w:r>
    </w:p>
    <w:bookmarkEnd w:id="22"/>
    <w:bookmarkStart w:id="25" w:name="Xce447dbb76b04f1c7196b2de43d658a0fec33d7"/>
    <w:p>
      <w:pPr>
        <w:pStyle w:val="Heading2"/>
      </w:pPr>
      <w:r>
        <w:t xml:space="preserve">2. Position within the existing research portfolio</w:t>
      </w:r>
    </w:p>
    <w:bookmarkStart w:id="23" w:name="what-already-exists-stated-accurately"/>
    <w:p>
      <w:pPr>
        <w:pStyle w:val="Heading3"/>
      </w:pPr>
      <w:r>
        <w:t xml:space="preserve">2.1 What already exists, stated accurately</w:t>
      </w:r>
    </w:p>
    <w:p>
      <w:pPr>
        <w:pStyle w:val="FirstParagraph"/>
      </w:pPr>
      <w:r>
        <w:t xml:space="preserve">The University of Pennsylvania hosts the Climate, Environment, and Childhood Initiative (CECI), whose public materials describe three regionally organised projects. The China project is titled</w:t>
      </w:r>
      <w:r>
        <w:t xml:space="preserve"> </w:t>
      </w:r>
      <w:r>
        <w:rPr>
          <w:iCs/>
          <w:i/>
        </w:rPr>
        <w:t xml:space="preserve">Prenatal Air Pollution Exposures and Early Childhood Outcomes</w:t>
      </w:r>
      <w:r>
        <w:t xml:space="preserve"> </w:t>
      </w:r>
      <w:r>
        <w:t xml:space="preserve">and is supported by the Penn China Research and Engagement Fund, National Science Foundation award SES-1756738, and NYU Shanghai CASER. The India project is titled</w:t>
      </w:r>
      <w:r>
        <w:t xml:space="preserve"> </w:t>
      </w:r>
      <w:r>
        <w:rPr>
          <w:iCs/>
          <w:i/>
        </w:rPr>
        <w:t xml:space="preserve">Flooding, Schooling and Learning in Rural India: A Mixed Method Study</w:t>
      </w:r>
      <w:r>
        <w:t xml:space="preserve"> </w:t>
      </w:r>
      <w:r>
        <w:t xml:space="preserve">and is supported by the Penn India Research Engagement Fund, the Penn University Research Foundation, and NSF PIRE award OISE-2230615. The comparative project is titled</w:t>
      </w:r>
      <w:r>
        <w:t xml:space="preserve"> </w:t>
      </w:r>
      <w:r>
        <w:rPr>
          <w:iCs/>
          <w:i/>
        </w:rPr>
        <w:t xml:space="preserve">PIRE: Climate Risk, Pollution, and Childhood Inequalities in Low- and Middle-Income Countries</w:t>
      </w:r>
      <w:r>
        <w:t xml:space="preserve">, funded under the same PIRE award, with seed support from a Penn Population Studies Center Quartet Pilot Research Award.</w:t>
      </w:r>
    </w:p>
    <w:p>
      <w:pPr>
        <w:pStyle w:val="BodyText"/>
      </w:pPr>
      <w:r>
        <w:t xml:space="preserve">Two corrections to the previous draft of this proposal are recorded here because they matter for institutional accuracy. First, the initiative’s current public name is the Climate, Environment, and Childhood Initiative; the word</w:t>
      </w:r>
      <w:r>
        <w:t xml:space="preserve"> </w:t>
      </w:r>
      <w:r>
        <w:t xml:space="preserve">“</w:t>
      </w:r>
      <w:r>
        <w:t xml:space="preserve">Inequalities</w:t>
      </w:r>
      <w:r>
        <w:t xml:space="preserve">”</w:t>
      </w:r>
      <w:r>
        <w:t xml:space="preserve"> </w:t>
      </w:r>
      <w:r>
        <w:t xml:space="preserve">belongs to the title of the comparative project, not to the initiative. Second, CECI is not listed among the Population Studies Center’s allied centers and initiatives, and this proposal therefore does not describe it as a PSC or PARC unit. The only institutional link that can be documented is the Quartet Pilot seed award.</w:t>
      </w:r>
    </w:p>
    <w:p>
      <w:pPr>
        <w:pStyle w:val="BodyText"/>
      </w:pPr>
      <w:r>
        <w:t xml:space="preserve">The most directly relevant published output is Liu, Behrman, Hannum, Wang, and Zhao (2022), which links birth records in South China to ambient pollution and temperature and finds that the negative associations with birth weight are roughly twice as large at lower conditional quantiles of the birth weight distribution, and that maternal college education is protective, with the protective margin larger under more severe environmental conditions. That paper establishes two things this programme builds on directly: that stratified impacts are detectable in Chinese administrative birth data, and that parental resources operate as effect modifiers rather than as simple covariates.</w:t>
      </w:r>
    </w:p>
    <w:bookmarkEnd w:id="23"/>
    <w:bookmarkStart w:id="24" w:name="X11f752beca26007b7f8f9baf563ad696937cde6"/>
    <w:p>
      <w:pPr>
        <w:pStyle w:val="Heading3"/>
      </w:pPr>
      <w:r>
        <w:t xml:space="preserve">2.2 The division of labour this programme proposes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Existing portfolio emphasis</w:t>
            </w:r>
          </w:p>
        </w:tc>
        <w:tc>
          <w:tcPr/>
          <w:p>
            <w:pPr>
              <w:pStyle w:val="Compact"/>
              <w:jc w:val="left"/>
            </w:pPr>
            <w:r>
              <w:t xml:space="preserve">This programme’s emphasis</w:t>
            </w:r>
          </w:p>
        </w:tc>
      </w:tr>
      <w:tr>
        <w:tc>
          <w:tcPr/>
          <w:p>
            <w:pPr>
              <w:pStyle w:val="Compact"/>
              <w:jc w:val="left"/>
            </w:pPr>
            <w:r>
              <w:t xml:space="preserve">Exposure object</w:t>
            </w:r>
          </w:p>
        </w:tc>
        <w:tc>
          <w:tcPr/>
          <w:p>
            <w:pPr>
              <w:pStyle w:val="Compact"/>
              <w:jc w:val="left"/>
            </w:pPr>
            <w:r>
              <w:t xml:space="preserve">Single exposures studied in parallel: ambient pollution, heat, floods</w:t>
            </w:r>
          </w:p>
        </w:tc>
        <w:tc>
          <w:tcPr/>
          <w:p>
            <w:pPr>
              <w:pStyle w:val="Compact"/>
              <w:jc w:val="left"/>
            </w:pPr>
            <w:r>
              <w:t xml:space="preserve">Compound exposure as the unit of analysis, with the interaction term as the estimand of interest</w:t>
            </w:r>
          </w:p>
        </w:tc>
      </w:tr>
      <w:tr>
        <w:tc>
          <w:tcPr/>
          <w:p>
            <w:pPr>
              <w:pStyle w:val="Compact"/>
              <w:jc w:val="left"/>
            </w:pPr>
            <w:r>
              <w:t xml:space="preserve">Primary question</w:t>
            </w:r>
          </w:p>
        </w:tc>
        <w:tc>
          <w:tcPr/>
          <w:p>
            <w:pPr>
              <w:pStyle w:val="Compact"/>
              <w:jc w:val="left"/>
            </w:pPr>
            <w:r>
              <w:t xml:space="preserve">Who is exposed, and with what consequences for a given outcome</w:t>
            </w:r>
          </w:p>
        </w:tc>
        <w:tc>
          <w:tcPr/>
          <w:p>
            <w:pPr>
              <w:pStyle w:val="Compact"/>
              <w:jc w:val="left"/>
            </w:pPr>
            <w:r>
              <w:t xml:space="preserve">Under what conditions exposure becomes welfare loss, and how much of that loss is preventable</w:t>
            </w:r>
          </w:p>
        </w:tc>
      </w:tr>
      <w:tr>
        <w:tc>
          <w:tcPr/>
          <w:p>
            <w:pPr>
              <w:pStyle w:val="Compact"/>
              <w:jc w:val="left"/>
            </w:pPr>
            <w:r>
              <w:t xml:space="preserve">Outcome space</w:t>
            </w:r>
          </w:p>
        </w:tc>
        <w:tc>
          <w:tcPr/>
          <w:p>
            <w:pPr>
              <w:pStyle w:val="Compact"/>
              <w:jc w:val="left"/>
            </w:pPr>
            <w:r>
              <w:t xml:space="preserve">Birth outcomes, learning, attendance, health</w:t>
            </w:r>
          </w:p>
        </w:tc>
        <w:tc>
          <w:tcPr/>
          <w:p>
            <w:pPr>
              <w:pStyle w:val="Compact"/>
              <w:jc w:val="left"/>
            </w:pPr>
            <w:r>
              <w:t xml:space="preserve">Multidimensional welfare with distinct domains preserved, plus household adaptive response as an outcome</w:t>
            </w:r>
          </w:p>
        </w:tc>
      </w:tr>
      <w:tr>
        <w:tc>
          <w:tcPr/>
          <w:p>
            <w:pPr>
              <w:pStyle w:val="Compact"/>
              <w:jc w:val="left"/>
            </w:pPr>
            <w:r>
              <w:t xml:space="preserve">Social position</w:t>
            </w:r>
          </w:p>
        </w:tc>
        <w:tc>
          <w:tcPr/>
          <w:p>
            <w:pPr>
              <w:pStyle w:val="Compact"/>
              <w:jc w:val="left"/>
            </w:pPr>
            <w:r>
              <w:t xml:space="preserve">Heterogeneity by education, wealth, gender</w:t>
            </w:r>
          </w:p>
        </w:tc>
        <w:tc>
          <w:tcPr/>
          <w:p>
            <w:pPr>
              <w:pStyle w:val="Compact"/>
              <w:jc w:val="left"/>
            </w:pPr>
            <w:r>
              <w:t xml:space="preserve">Adaptive capacity treated as a measured construct with its own theory, decomposed into avoidance, compensation, and institutional substitution</w:t>
            </w:r>
          </w:p>
        </w:tc>
      </w:tr>
      <w:tr>
        <w:tc>
          <w:tcPr/>
          <w:p>
            <w:pPr>
              <w:pStyle w:val="Compact"/>
              <w:jc w:val="left"/>
            </w:pPr>
            <w:r>
              <w:t xml:space="preserve">Policy layer</w:t>
            </w:r>
          </w:p>
        </w:tc>
        <w:tc>
          <w:tcPr/>
          <w:p>
            <w:pPr>
              <w:pStyle w:val="Compact"/>
              <w:jc w:val="left"/>
            </w:pPr>
            <w:r>
              <w:t xml:space="preserve">Implications discussed</w:t>
            </w:r>
          </w:p>
        </w:tc>
        <w:tc>
          <w:tcPr/>
          <w:p>
            <w:pPr>
              <w:pStyle w:val="Compact"/>
              <w:jc w:val="left"/>
            </w:pPr>
            <w:r>
              <w:t xml:space="preserve">Explicit counterfactual simulation with distributional weighting</w:t>
            </w:r>
          </w:p>
        </w:tc>
      </w:tr>
      <w:tr>
        <w:tc>
          <w:tcPr/>
          <w:p>
            <w:pPr>
              <w:pStyle w:val="Compact"/>
              <w:jc w:val="left"/>
            </w:pPr>
            <w:r>
              <w:t xml:space="preserve">Comparative logic</w:t>
            </w:r>
          </w:p>
        </w:tc>
        <w:tc>
          <w:tcPr/>
          <w:p>
            <w:pPr>
              <w:pStyle w:val="Compact"/>
              <w:jc w:val="left"/>
            </w:pPr>
            <w:r>
              <w:t xml:space="preserve">Region-specific projects</w:t>
            </w:r>
          </w:p>
        </w:tc>
        <w:tc>
          <w:tcPr/>
          <w:p>
            <w:pPr>
              <w:pStyle w:val="Compact"/>
              <w:jc w:val="left"/>
            </w:pPr>
            <w:r>
              <w:t xml:space="preserve">Scope conditions and moderators estimated, with non-generalisation reported as a finding</w:t>
            </w:r>
          </w:p>
        </w:tc>
      </w:tr>
    </w:tbl>
    <w:p>
      <w:pPr>
        <w:pStyle w:val="BodyText"/>
      </w:pPr>
      <w:r>
        <w:t xml:space="preserve">The intent is complementarity, not competition. Component B, for example, is designed so that its exposure record and its within-mother design can be applied to the CECI China birth data without duplicating that project’s research questions, and Component D is designed to consume rather than to re-collect comparative survey data.</w:t>
      </w:r>
    </w:p>
    <w:p>
      <w:r>
        <w:pict>
          <v:rect style="width:0;height:1.5pt" o:hralign="center" o:hrstd="t" o:hr="t"/>
        </w:pict>
      </w:r>
    </w:p>
    <w:bookmarkEnd w:id="24"/>
    <w:bookmarkEnd w:id="25"/>
    <w:bookmarkStart w:id="29" w:name="conceptual-framework"/>
    <w:p>
      <w:pPr>
        <w:pStyle w:val="Heading2"/>
      </w:pPr>
      <w:r>
        <w:t xml:space="preserve">3. Conceptual framework</w:t>
      </w:r>
    </w:p>
    <w:bookmarkStart w:id="26" w:name="measurement-precedes-mechanism"/>
    <w:p>
      <w:pPr>
        <w:pStyle w:val="Heading3"/>
      </w:pPr>
      <w:r>
        <w:t xml:space="preserve">3.1 Measurement precedes mechanism</w:t>
      </w:r>
    </w:p>
    <w:p>
      <w:pPr>
        <w:pStyle w:val="FirstParagraph"/>
      </w:pPr>
      <w:r>
        <w:t xml:space="preserve">The framework begins with definitions because the substantive claims depend on them and because several disagreements in this literature are definitional rather than empirical.</w:t>
      </w:r>
    </w:p>
    <w:p>
      <w:pPr>
        <w:pStyle w:val="BodyText"/>
      </w:pPr>
      <w:r>
        <w:rPr>
          <w:bCs/>
          <w:b/>
        </w:rPr>
        <w:t xml:space="preserve">Climate risk</w:t>
      </w:r>
      <w:r>
        <w:t xml:space="preserve"> </w:t>
      </w:r>
      <w:r>
        <w:t xml:space="preserve">is used here in the restricted sense of realised meteorological hazard: the intensity, duration, timing, and spatial extent of heat, cold, precipitation deficit or excess, and derived hazards such as flood and wildfire. It is distinguished from</w:t>
      </w:r>
      <w:r>
        <w:t xml:space="preserve"> </w:t>
      </w:r>
      <w:r>
        <w:rPr>
          <w:bCs/>
          <w:b/>
        </w:rPr>
        <w:t xml:space="preserve">climate change</w:t>
      </w:r>
      <w:r>
        <w:t xml:space="preserve">, which is a statement about the distribution from which those hazards are drawn. The programme measures the former directly and uses the latter only in the projection component, where the distinction between an observed hazard and a modelled distributional shift must be preserved.</w:t>
      </w:r>
    </w:p>
    <w:p>
      <w:pPr>
        <w:pStyle w:val="BodyText"/>
      </w:pPr>
      <w:r>
        <w:rPr>
          <w:bCs/>
          <w:b/>
        </w:rPr>
        <w:t xml:space="preserve">Pollution</w:t>
      </w:r>
      <w:r>
        <w:t xml:space="preserve"> </w:t>
      </w:r>
      <w:r>
        <w:t xml:space="preserve">refers to ambient fine particulate matter, surface ozone, and household air pollution from solid fuel combustion. These three are kept separate because their sources, seasonality, and relationship to temperature differ. Ozone in particular is photochemically produced and rises with temperature and solar radiation, which makes the ozone and heat pairing mechanistically different from the particulate and heat pairing.</w:t>
      </w:r>
    </w:p>
    <w:p>
      <w:pPr>
        <w:pStyle w:val="BodyText"/>
      </w:pPr>
      <w:r>
        <w:rPr>
          <w:bCs/>
          <w:b/>
        </w:rPr>
        <w:t xml:space="preserve">Compound exposure</w:t>
      </w:r>
      <w:r>
        <w:t xml:space="preserve"> </w:t>
      </w:r>
      <w:r>
        <w:t xml:space="preserve">is defined operationally rather than conceptually, because a conceptual definition would not be testable. Section 8.1 gives the operational definition: co-occurrence within a defined temporal window of exposures each above a locally referenced percentile threshold, with a minimum persistence requirement. Three alternative operationalisations are pre-specified and reported side by side, because the substantive conclusion should not depend on an arbitrary threshold.</w:t>
      </w:r>
    </w:p>
    <w:p>
      <w:pPr>
        <w:pStyle w:val="BodyText"/>
      </w:pPr>
      <w:r>
        <w:rPr>
          <w:bCs/>
          <w:b/>
        </w:rPr>
        <w:t xml:space="preserve">Welfare</w:t>
      </w:r>
      <w:r>
        <w:t xml:space="preserve"> </w:t>
      </w:r>
      <w:r>
        <w:t xml:space="preserve">follows the capability tradition (Sen, 2005) rather than a utility or income framing: the relevant quantity is the set of functionings a child can actually achieve. Operationally this yields six domains, specified in Section 11, which are measured and reported separately. The programme rejects a single composite as the primary outcome on the grounds that aggregation requires weights that the data cannot supply and that the aggregation itself would conceal the distributional pattern the programme exists to detect. Where a composite is used, it follows counting-based multidimensional measurement (Alkire &amp; Foster, 2011) so that decomposition by domain and by subgroup remains possible.</w:t>
      </w:r>
    </w:p>
    <w:p>
      <w:pPr>
        <w:pStyle w:val="BodyText"/>
      </w:pPr>
      <w:r>
        <w:rPr>
          <w:bCs/>
          <w:b/>
        </w:rPr>
        <w:t xml:space="preserve">Adaptive capacity</w:t>
      </w:r>
      <w:r>
        <w:t xml:space="preserve"> </w:t>
      </w:r>
      <w:r>
        <w:t xml:space="preserve">is the household, school, and institutional resource base that converts a given exposure into a smaller welfare loss. It is decomposed into three channels that have different policy implications: avoidance, which reduces exposure; compensation, which offsets damage after exposure; and institutional substitution, which shifts protection from households to schools and health systems.</w:t>
      </w:r>
    </w:p>
    <w:bookmarkEnd w:id="26"/>
    <w:bookmarkStart w:id="27" w:name="the-five-stage-chain"/>
    <w:p>
      <w:pPr>
        <w:pStyle w:val="Heading3"/>
      </w:pPr>
      <w:r>
        <w:t xml:space="preserve">3.2 The five-stage chain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Process</w:t>
            </w:r>
          </w:p>
        </w:tc>
        <w:tc>
          <w:tcPr/>
          <w:p>
            <w:pPr>
              <w:pStyle w:val="Compact"/>
              <w:jc w:val="left"/>
            </w:pPr>
            <w:r>
              <w:t xml:space="preserve">Empirical construct</w:t>
            </w:r>
          </w:p>
        </w:tc>
        <w:tc>
          <w:tcPr/>
          <w:p>
            <w:pPr>
              <w:pStyle w:val="Compact"/>
              <w:jc w:val="left"/>
            </w:pPr>
            <w:r>
              <w:t xml:space="preserve">Where social position enters</w:t>
            </w:r>
          </w:p>
        </w:tc>
      </w:tr>
      <w:tr>
        <w:tc>
          <w:tcPr/>
          <w:p>
            <w:pPr>
              <w:pStyle w:val="Compact"/>
              <w:jc w:val="left"/>
            </w:pPr>
            <w:r>
              <w:t xml:space="preserve">1. Hazard</w:t>
            </w:r>
          </w:p>
        </w:tc>
        <w:tc>
          <w:tcPr/>
          <w:p>
            <w:pPr>
              <w:pStyle w:val="Compact"/>
              <w:jc w:val="left"/>
            </w:pPr>
            <w:r>
              <w:t xml:space="preserve">Meteorological conditions realise as heat, precipitation anomaly, flood, or fire</w:t>
            </w:r>
          </w:p>
        </w:tc>
        <w:tc>
          <w:tcPr/>
          <w:p>
            <w:pPr>
              <w:pStyle w:val="Compact"/>
              <w:jc w:val="left"/>
            </w:pPr>
            <w:r>
              <w:t xml:space="preserve">Intensity, duration, timing, spatial extent</w:t>
            </w:r>
          </w:p>
        </w:tc>
        <w:tc>
          <w:tcPr/>
          <w:p>
            <w:pPr>
              <w:pStyle w:val="Compact"/>
              <w:jc w:val="left"/>
            </w:pPr>
            <w:r>
              <w:t xml:space="preserve">Residential location, housing stock, infrastructure quality</w:t>
            </w:r>
          </w:p>
        </w:tc>
      </w:tr>
      <w:tr>
        <w:tc>
          <w:tcPr/>
          <w:p>
            <w:pPr>
              <w:pStyle w:val="Compact"/>
              <w:jc w:val="left"/>
            </w:pPr>
            <w:r>
              <w:t xml:space="preserve">2. Pollution response</w:t>
            </w:r>
          </w:p>
        </w:tc>
        <w:tc>
          <w:tcPr/>
          <w:p>
            <w:pPr>
              <w:pStyle w:val="Compact"/>
              <w:jc w:val="left"/>
            </w:pPr>
            <w:r>
              <w:t xml:space="preserve">Meteorology conditions pollutant formation, transport, and stagnation</w:t>
            </w:r>
          </w:p>
        </w:tc>
        <w:tc>
          <w:tcPr/>
          <w:p>
            <w:pPr>
              <w:pStyle w:val="Compact"/>
              <w:jc w:val="left"/>
            </w:pPr>
            <w:r>
              <w:t xml:space="preserve">PM2.5, surface ozone, household air pollution</w:t>
            </w:r>
          </w:p>
        </w:tc>
        <w:tc>
          <w:tcPr/>
          <w:p>
            <w:pPr>
              <w:pStyle w:val="Compact"/>
              <w:jc w:val="left"/>
            </w:pPr>
            <w:r>
              <w:t xml:space="preserve">Fuel access, ventilation, occupational and school microenvironments</w:t>
            </w:r>
          </w:p>
        </w:tc>
      </w:tr>
      <w:tr>
        <w:tc>
          <w:tcPr/>
          <w:p>
            <w:pPr>
              <w:pStyle w:val="Compact"/>
              <w:jc w:val="left"/>
            </w:pPr>
            <w:r>
              <w:t xml:space="preserve">3. Biological stress</w:t>
            </w:r>
          </w:p>
        </w:tc>
        <w:tc>
          <w:tcPr/>
          <w:p>
            <w:pPr>
              <w:pStyle w:val="Compact"/>
              <w:jc w:val="left"/>
            </w:pPr>
            <w:r>
              <w:t xml:space="preserve">Inflammatory, respiratory, thermoregulatory, nutritional, and infectious pathways</w:t>
            </w:r>
          </w:p>
        </w:tc>
        <w:tc>
          <w:tcPr/>
          <w:p>
            <w:pPr>
              <w:pStyle w:val="Compact"/>
              <w:jc w:val="left"/>
            </w:pPr>
            <w:r>
              <w:t xml:space="preserve">Birth outcomes, morbidity, growth, illness episodes</w:t>
            </w:r>
          </w:p>
        </w:tc>
        <w:tc>
          <w:tcPr/>
          <w:p>
            <w:pPr>
              <w:pStyle w:val="Compact"/>
              <w:jc w:val="left"/>
            </w:pPr>
            <w:r>
              <w:t xml:space="preserve">Baseline nutritional and health status, prior exposure history</w:t>
            </w:r>
          </w:p>
        </w:tc>
      </w:tr>
      <w:tr>
        <w:tc>
          <w:tcPr/>
          <w:p>
            <w:pPr>
              <w:pStyle w:val="Compact"/>
              <w:jc w:val="left"/>
            </w:pPr>
            <w:r>
              <w:t xml:space="preserve">4. Behavioural and institutional response</w:t>
            </w:r>
          </w:p>
        </w:tc>
        <w:tc>
          <w:tcPr/>
          <w:p>
            <w:pPr>
              <w:pStyle w:val="Compact"/>
              <w:jc w:val="left"/>
            </w:pPr>
            <w:r>
              <w:t xml:space="preserve">Avoidance, defensive expenditure, care seeking, migration, school closure or continuation</w:t>
            </w:r>
          </w:p>
        </w:tc>
        <w:tc>
          <w:tcPr/>
          <w:p>
            <w:pPr>
              <w:pStyle w:val="Compact"/>
              <w:jc w:val="left"/>
            </w:pPr>
            <w:r>
              <w:t xml:space="preserve">Purifier and cooling equipment, medical and educational expenditure, attendance, parental time</w:t>
            </w:r>
          </w:p>
        </w:tc>
        <w:tc>
          <w:tcPr/>
          <w:p>
            <w:pPr>
              <w:pStyle w:val="Compact"/>
              <w:jc w:val="left"/>
            </w:pPr>
            <w:r>
              <w:t xml:space="preserve">Liquidity, information, school and clinic capacity, insurance and transfer access</w:t>
            </w:r>
          </w:p>
        </w:tc>
      </w:tr>
      <w:tr>
        <w:tc>
          <w:tcPr/>
          <w:p>
            <w:pPr>
              <w:pStyle w:val="Compact"/>
              <w:jc w:val="left"/>
            </w:pPr>
            <w:r>
              <w:t xml:space="preserve">5. Welfare outcome</w:t>
            </w:r>
          </w:p>
        </w:tc>
        <w:tc>
          <w:tcPr/>
          <w:p>
            <w:pPr>
              <w:pStyle w:val="Compact"/>
              <w:jc w:val="left"/>
            </w:pPr>
            <w:r>
              <w:t xml:space="preserve">Realised functionings across domains</w:t>
            </w:r>
          </w:p>
        </w:tc>
        <w:tc>
          <w:tcPr/>
          <w:p>
            <w:pPr>
              <w:pStyle w:val="Compact"/>
              <w:jc w:val="left"/>
            </w:pPr>
            <w:r>
              <w:t xml:space="preserve">Health, nutrition, cognition, schooling, psychosocial status, household economic position</w:t>
            </w:r>
          </w:p>
        </w:tc>
        <w:tc>
          <w:tcPr/>
          <w:p>
            <w:pPr>
              <w:pStyle w:val="Compact"/>
              <w:jc w:val="left"/>
            </w:pPr>
            <w:r>
              <w:t xml:space="preserve">Cumulative advantage across the preceding four stages</w:t>
            </w:r>
          </w:p>
        </w:tc>
      </w:tr>
    </w:tbl>
    <w:p>
      <w:pPr>
        <w:pStyle w:val="BodyText"/>
      </w:pPr>
      <w:r>
        <w:t xml:space="preserve">The chain is not a claim that all five stages will be estimated jointly. It is a map that tells each component which stage it is identifying and which stages it is holding fixed or leaving unmeasured. Component A operates on Stages 1 and 2. Component B identifies the Stage 3 and Stage 5 link with Stage 4 partly observed. Component C identifies the Stage 4 and Stage 5 link. Component E operates across the chain at population level without individual-level identification.</w:t>
      </w:r>
    </w:p>
    <w:bookmarkEnd w:id="27"/>
    <w:bookmarkStart w:id="28" w:name="Xffe431adef0e44a77c62a991bafcd830598a781"/>
    <w:p>
      <w:pPr>
        <w:pStyle w:val="Heading3"/>
      </w:pPr>
      <w:r>
        <w:t xml:space="preserve">3.3 Three propositions the framework must earn</w:t>
      </w:r>
    </w:p>
    <w:p>
      <w:pPr>
        <w:pStyle w:val="FirstParagraph"/>
      </w:pPr>
      <w:r>
        <w:t xml:space="preserve">The framework is only useful if it generates claims that could be wrong. Three propositions carry the programme.</w:t>
      </w:r>
    </w:p>
    <w:p>
      <w:pPr>
        <w:pStyle w:val="BodyText"/>
      </w:pPr>
      <w:r>
        <w:rPr>
          <w:bCs/>
          <w:b/>
        </w:rPr>
        <w:t xml:space="preserve">P1. Compound structure.</w:t>
      </w:r>
      <w:r>
        <w:t xml:space="preserve"> </w:t>
      </w:r>
      <w:r>
        <w:t xml:space="preserve">Climate hazard and pollution co-occur non-randomly, and their joint distribution is more unequal across the child population than either marginal distribution. This is a measurement claim, testable in Component A, and it is a precondition for the rest: if compound exposure is rare and randomly distributed, the interaction question is of limited policy relevance.</w:t>
      </w:r>
    </w:p>
    <w:p>
      <w:pPr>
        <w:pStyle w:val="BodyText"/>
      </w:pPr>
      <w:r>
        <w:rPr>
          <w:bCs/>
          <w:b/>
        </w:rPr>
        <w:t xml:space="preserve">P2. Super-additivity.</w:t>
      </w:r>
      <w:r>
        <w:t xml:space="preserve"> </w:t>
      </w:r>
      <w:r>
        <w:t xml:space="preserve">The welfare loss under joint exposure exceeds the sum of the marginal losses. This is a causal claim about functional form, tested in Components B and C on the additive scale.</w:t>
      </w:r>
    </w:p>
    <w:p>
      <w:pPr>
        <w:pStyle w:val="BodyText"/>
      </w:pPr>
      <w:r>
        <w:rPr>
          <w:bCs/>
          <w:b/>
        </w:rPr>
        <w:t xml:space="preserve">P3. Stratified adaptive capacity.</w:t>
      </w:r>
      <w:r>
        <w:t xml:space="preserve"> </w:t>
      </w:r>
      <w:r>
        <w:t xml:space="preserve">The departure from additivity is larger where adaptive capacity is lower, and the three adaptive channels are not substitutable at the margin. This is the claim with the strongest policy content, because it implies that uniform exposure reduction is not equity-neutral.</w:t>
      </w:r>
    </w:p>
    <w:p>
      <w:r>
        <w:pict>
          <v:rect style="width:0;height:1.5pt" o:hralign="center" o:hrstd="t" o:hr="t"/>
        </w:pict>
      </w:r>
    </w:p>
    <w:bookmarkEnd w:id="28"/>
    <w:bookmarkEnd w:id="29"/>
    <w:bookmarkStart w:id="36" w:name="Xc4ef2c67b29ff1d86ad0f85490e141cd47267e7"/>
    <w:p>
      <w:pPr>
        <w:pStyle w:val="Heading2"/>
      </w:pPr>
      <w:r>
        <w:t xml:space="preserve">4. What the literature settles, and what it leaves open</w:t>
      </w:r>
    </w:p>
    <w:p>
      <w:pPr>
        <w:pStyle w:val="FirstParagraph"/>
      </w:pPr>
      <w:r>
        <w:t xml:space="preserve">This section is organised by unresolved debate rather than by chronology, because the programme’s contribution is defined by which debates it can move.</w:t>
      </w:r>
    </w:p>
    <w:bookmarkStart w:id="30" w:name="X3c65faabdeb7b1cc1148bb8ed3a581d85aeba95"/>
    <w:p>
      <w:pPr>
        <w:pStyle w:val="Heading3"/>
      </w:pPr>
      <w:r>
        <w:t xml:space="preserve">4.1 Debate one: is the pollution and child health relationship transportable across income settings?</w:t>
      </w:r>
    </w:p>
    <w:p>
      <w:pPr>
        <w:pStyle w:val="FirstParagraph"/>
      </w:pPr>
      <w:r>
        <w:t xml:space="preserve">The quasi-experimental evidence that ambient particulate exposure raises infant mortality is strong and has been replicated across very different institutional settings. Chay and Greenstone (2003) used recession-induced variation in total suspended particulates in the United States and found that a one percent reduction in TSPs produced a 0.35 percent decline in county infant mortality, concentrated in the first month of life. Jayachandran (2009) used smoke from the 1997 Indonesian wildfires and estimated roughly 15,600 missing children in affected cohorts, with the effect concentrated prenatally and larger in poorer areas. Heft-Neal, Burney, Bendavid, and Burke (2018) linked approximately one million births in sub-Saharan Africa to satellite-derived PM2.5 and found that a 10 microgram per cubic metre increase was associated with a nine percent rise in infant mortality, implying 449,000 additional infant deaths in 2015 across thirty countries, more than three times prior estimates. Heft-Neal, Burney, Bendavid, Voss, and Burke (2020) used Saharan dust transport as a natural instrument and recovered an effect of similar magnitude, which matters because the instrument breaks the correlation between pollution and local economic activity.</w:t>
      </w:r>
    </w:p>
    <w:p>
      <w:pPr>
        <w:pStyle w:val="BodyText"/>
      </w:pPr>
      <w:r>
        <w:t xml:space="preserve">Against this, Arceo, Hanna, and Oliva (2016) used thermal inversions in Mexico City and found that particulate effects on infant mortality were similar to or smaller than United States estimates, while carbon monoxide effects were larger. Their conclusion is that dose-response functions estimated in high-income settings should not be transferred wholesale to low- and middle-income settings, in either direction.</w:t>
      </w:r>
    </w:p>
    <w:p>
      <w:pPr>
        <w:pStyle w:val="BodyText"/>
      </w:pPr>
      <w:r>
        <w:t xml:space="preserve">The unresolved question is therefore not whether pollution harms children but what governs the transportability of the exposure-response function. Candidate governors include the shape of the function at high concentrations, differences in the composition of particulate matter, and differences in the capacity of households and health systems to intervene between exposure and outcome. The first two are addressed by exposure measurement; the third is a welfare and institutional question, and it is the one this programme is designed to answer.</w:t>
      </w:r>
    </w:p>
    <w:p>
      <w:pPr>
        <w:pStyle w:val="BodyText"/>
      </w:pPr>
      <w:r>
        <w:t xml:space="preserve">Chinese evidence sharpens the same point. The Huai River heating discontinuity produced two successive estimates: Chen, Ebenstein, Greenstone, and Li (2013) found roughly 5.5 fewer years of life expectancy north of the river alongside 55 percent higher TSPs, and Ebenstein, Fan, Greenstone, He, and Zhou (2017) revised this with disease-specific mortality data to 0.64 fewer years of life expectancy per 10 micrograms per cubic metre of PM10. Tanaka (2015) found that the 1998 Two Control Zones policy reduced infant mortality by twenty percent in designated cities, with the largest reductions among infants of less educated mothers. Fan, He, and Zhou (2020) exploited city-specific winter heating start dates and found a 36 percent increase in the air quality index and a 14 percent increase in mortality, disproportionately borne by rural and disadvantaged populations. Three independent Chinese designs therefore converge on a stratified effect, which is exactly the pattern that a welfare framework predicts and a purely toxicological framework does not.</w:t>
      </w:r>
    </w:p>
    <w:bookmarkEnd w:id="30"/>
    <w:bookmarkStart w:id="31" w:name="debate-two-additive-or-interactive"/>
    <w:p>
      <w:pPr>
        <w:pStyle w:val="Heading3"/>
      </w:pPr>
      <w:r>
        <w:t xml:space="preserve">4.2 Debate two: additive or interactive?</w:t>
      </w:r>
    </w:p>
    <w:p>
      <w:pPr>
        <w:pStyle w:val="FirstParagraph"/>
      </w:pPr>
      <w:r>
        <w:t xml:space="preserve">This is the debate the programme is built to advance, and it is at present underdetermined for children.</w:t>
      </w:r>
    </w:p>
    <w:p>
      <w:pPr>
        <w:pStyle w:val="BodyText"/>
      </w:pPr>
      <w:r>
        <w:t xml:space="preserve">The atmospheric science is settled enough to make the question well posed. Meteorological conditions govern pollutant formation and transport, and climate change alters them (Jacob &amp; Winner, 2009; Fiore, Naik, &amp; Leibensperger, 2015). Horton, Skinner, Singh, and Diffenbaugh (2014) projected increases in atmospheric stagnation affecting regions containing 55 percent of the current global population. Schnell and Prather (2017) documented co-occurrence of extremes in ozone, particulate matter, and temperature over eastern North America. For China specifically, Gao and colleagues (2023) showed that large-scale climate patterns provide preseasonal predictive information on the co-occurrence of heat waves and ozone pollution, and Su, Jiao, and Xu (2025) found that compound extreme heat and high ozone exposure across Chinese cities rose by approximately 67 percent between 2003 and 2020, with compound event days rising by roughly 180 percent, and with core urban areas contributing more than eighty percent of total exposure in some large cities. Surface ozone in China is severe by global standards (Lu et al., 2018), which makes the ozone and heat pairing particularly salient for a China-anchored programme.</w:t>
      </w:r>
    </w:p>
    <w:p>
      <w:pPr>
        <w:pStyle w:val="BodyText"/>
      </w:pPr>
      <w:r>
        <w:t xml:space="preserve">The epidemiological evidence for interaction is consistent in direction and heterogeneous in magnitude, and it is almost entirely about adults. Ren, Williams, and Tong (2006) found that PM10 modified the temperature and cardiorespiratory association in Brisbane. Stafoggia, Schwartz, Forastiere, and Perucci (2008) found temperature modification of the pollution and mortality association across Italian cities. Analitis and colleagues (2014) examined heat wave effects with explicit attention to confounding and modification by air pollutants. Chen and colleagues (2018) documented two-way effect modification across eight European urban areas, with pollutant and mortality associations stronger on hot days and heat and cold mortality risks higher on high-pollution days. Rahman and colleagues (2022) reported the strongest single piece of evidence for super-additivity: in California, all-cause mortality rose 6.1 percent on extreme-heat-only days and 5.0 percent on extreme-PM2.5-only days, but 21.0 percent on days with both, with cardiovascular and respiratory excesses exceeding the sum of the individual effects.</w:t>
      </w:r>
    </w:p>
    <w:p>
      <w:pPr>
        <w:pStyle w:val="BodyText"/>
      </w:pPr>
      <w:r>
        <w:t xml:space="preserve">Three gaps follow. First, none of these studies estimates interaction for child welfare outcomes, and the mechanisms that generate super-additivity in adult cardiovascular mortality need not be the mechanisms that operate in fetal growth, in child respiratory morbidity, or in learning. Second, the interaction has almost never been assessed on the additive scale, which is the scale relevant to public health decision making, using the reporting conventions that make such analyses interpretable (Knol &amp; VanderWeele, 2012). Third, no study in this literature has asked whether the departure from additivity is itself socially stratified, which is the question with policy content.</w:t>
      </w:r>
    </w:p>
    <w:p>
      <w:pPr>
        <w:pStyle w:val="BodyText"/>
      </w:pPr>
      <w:r>
        <w:t xml:space="preserve">Bekkar, Pacheco, Basu, and DeNicola (2020) reviewed air pollution and heat exposure jointly in relation to preterm birth, low birth weight, and stillbirth in the United States, and this is the closest existing precedent. It is a systematic review rather than an interaction estimate, and it is confined to a high-income setting.</w:t>
      </w:r>
    </w:p>
    <w:bookmarkEnd w:id="31"/>
    <w:bookmarkStart w:id="32" w:name="X196e9e8cb8d23e848d1445f4c19633d99a30737"/>
    <w:p>
      <w:pPr>
        <w:pStyle w:val="Heading3"/>
      </w:pPr>
      <w:r>
        <w:t xml:space="preserve">4.3 Debate three: does socioeconomic position protect, and through which channel?</w:t>
      </w:r>
    </w:p>
    <w:p>
      <w:pPr>
        <w:pStyle w:val="FirstParagraph"/>
      </w:pPr>
      <w:r>
        <w:t xml:space="preserve">The literature contains three distinguishable propositions that are often conflated.</w:t>
      </w:r>
    </w:p>
    <w:p>
      <w:pPr>
        <w:pStyle w:val="BodyText"/>
      </w:pPr>
      <w:r>
        <w:t xml:space="preserve">The first is that wealthier households avoid exposure. Ito and Zhang (2020) estimated that Chinese households are willing to pay about 1.34 United States dollars per year to remove one microgram per cubic metre of PM10, with income and information access driving heterogeneity in defensive investment. Graff Zivin and Neidell (2009) showed that avoidance is not costless or durable: outdoor activity avoidance declines across consecutive smog-alert days as the cost of intertemporal substitution rises. Avoidance is therefore both unequally affordable and self-limiting, which implies that avoidance-based protection will be weakest exactly when exposure is most persistent.</w:t>
      </w:r>
    </w:p>
    <w:p>
      <w:pPr>
        <w:pStyle w:val="BodyText"/>
      </w:pPr>
      <w:r>
        <w:t xml:space="preserve">The second is that households compensate after damage. The fetal origins literature establishes that early-life insults have long-run consequences (Almond &amp; Currie, 2011; Almond, Currie, &amp; Duque, 2018; Currie &amp; Vogl, 2013), but it also establishes that the observed long-run effect is a composite of the biological insult and the parental response to it (Almond &amp; Mazumder, 2013). Bharadwaj, Eberhard, and Neilson (2018) showed that parental investment responds to health at birth and shapes academic outcomes. Deuchert and Felfe (2015) found that typhoon damage produced persistent educational losses through reduced parental educational investment, with the largest losses for girls, only children, and resource-poor families. The direction of the parental response is theoretically ambiguous and empirically variable, which means that a heterogeneity result by household wealth cannot by itself distinguish avoidance from compensation.</w:t>
      </w:r>
    </w:p>
    <w:p>
      <w:pPr>
        <w:pStyle w:val="BodyText"/>
      </w:pPr>
      <w:r>
        <w:t xml:space="preserve">The third is that institutions substitute for household resources. Park, Goodman, Hurwitz, and Smith (2020) found that a one degree Fahrenheit hotter school year reduces that year’s learning by about one percent absent air conditioning, that school air conditioning offsets nearly all of the penalty, and that hot school days account for roughly five percent of the United States racial achievement gap. Gilraine (2025) used a spatial discontinuity around the Aliso Canyon gas leak and found that classroom air filters raised test scores by 0.1 to 0.2 standard deviations, attributing the gain to removal of ordinary indoor pollutants rather than leak-specific contaminants. Garg, Jagnani, and Taraz (2020) found that a national workfare programme substantially attenuated the temperature and test score relationship in India. These three results are the strongest existing evidence that the exposure-to-welfare mapping is a policy variable rather than a biological constant.</w:t>
      </w:r>
    </w:p>
    <w:p>
      <w:pPr>
        <w:pStyle w:val="BodyText"/>
      </w:pPr>
      <w:r>
        <w:t xml:space="preserve">The unresolved question is the relative magnitude and substitutability of these three channels under compound exposure. Liu and colleagues (2022) provide the most direct evidence that the protective margin of parental education widens under more severe environmental conditions, which is consistent with all three channels and decisive for none.</w:t>
      </w:r>
    </w:p>
    <w:bookmarkEnd w:id="32"/>
    <w:bookmarkStart w:id="33" w:name="Xcdd96a17cb313b5d57df758801191f77cec3b8e"/>
    <w:p>
      <w:pPr>
        <w:pStyle w:val="Heading3"/>
      </w:pPr>
      <w:r>
        <w:t xml:space="preserve">4.4 Debate four: what is comparative risk assessment for?</w:t>
      </w:r>
    </w:p>
    <w:p>
      <w:pPr>
        <w:pStyle w:val="FirstParagraph"/>
      </w:pPr>
      <w:r>
        <w:t xml:space="preserve">The Global Burden of Disease framework supplies standardised exposure distributions, exposure-response relationships, theoretical minimum risk exposure levels, population attributable fractions, and burden estimates in a common metric. The current cycle is GBD 2023, whose capstones appeared in October 2025 in two companion papers (GBD 2023 Causes of Death Collaborators, 2025; GBD 2023 Disease and Injury and Risk Factor Collaborators, 2025). A structural feature of this cycle matters for citation accuracy: the previously separate disability-adjusted life year and risk-factor capstones were merged into a single paper, so there is no standalone GBD 2023 risk-factor article, and subnational coverage moved from 811 locations in GBD 2021 to 660 in GBD 2023. The GBD 2021 risk-factor capstone remains the most widely used risk reference and reports particulate matter pollution as the leading global contributor to disability-adjusted life years at 8.0 percent (GBD 2021 Risk Factors Collaborators, 2024). The fullest published narrative of the comparative risk assessment machinery remains the GBD 2019 risk-factor capstone (GBD 2019 Risk Factors Collaborators, 2020).</w:t>
      </w:r>
    </w:p>
    <w:p>
      <w:pPr>
        <w:pStyle w:val="BodyText"/>
      </w:pPr>
      <w:r>
        <w:t xml:space="preserve">The methods that produce these outputs are documented and contestable. MR-BRT meta-regression with trimming underlies the pooled dose-response curves (Zheng, Barber, Sorensen, Murray, &amp; Aravkin, 2021), and the burden-of-proof risk function and star rating now attached to every risk-outcome pair formalise strength of evidence (Zheng et al., 2022). For particulate matter specifically, the integrated exposure-response function (Burnett et al., 2014) was succeeded by the Global Exposure Mortality Model fitted only to ambient cohorts (Burnett et al., 2018), and the two yield materially different attributable mortality.</w:t>
      </w:r>
    </w:p>
    <w:p>
      <w:pPr>
        <w:pStyle w:val="BodyText"/>
      </w:pPr>
      <w:r>
        <w:t xml:space="preserve">The critiques are substantive and this programme adopts them as constraints rather than dismissing them. Byass and colleagues (2013) questioned reproducibility, transparency, and the credibility of country estimates generated largely by covariate-driven imputation where primary data are sparse. Glenn, Gu, Hu, Wang, and Willett (2023) argued that the conservative between-study heterogeneity adjustment in the burden-of-proof approach systematically understates well-established risk relationships. Husøy, Stovner, and Steiner (2025) documented the proliferation of low-quality secondary GBD analyses that report modelled outputs as though they were observed data. Bhutta (2025) raised accuracy, completeness, and external validity concerns as GBD’s subnational scope expands. Murray (2022) offers the framework’s own account of its design choices and limitations.</w:t>
      </w:r>
    </w:p>
    <w:p>
      <w:pPr>
        <w:pStyle w:val="BodyText"/>
      </w:pPr>
      <w:r>
        <w:t xml:space="preserve">The debate is therefore not whether GBD is useful but what inferential weight it can bear. This programme’s position is stated as a rule in Section 10.1 and enforced in the analysis plan: GBD outputs are used for standardised exposure description, for benchmarking, and for counterfactual burden accounting, and never as evidence of an individual-level causal effect. Where the programme’s own quasi-experimental estimates disagree with GBD-implied relationships, the disagreement is reported and interrogated rather than reconciled by adjustment.</w:t>
      </w:r>
    </w:p>
    <w:bookmarkEnd w:id="33"/>
    <w:bookmarkStart w:id="34" w:name="X895c4492b51083ea1ca4449c30d0d041ea0eebc"/>
    <w:p>
      <w:pPr>
        <w:pStyle w:val="Heading3"/>
      </w:pPr>
      <w:r>
        <w:t xml:space="preserve">4.5 Debate five: how persistent are early-life environmental effects?</w:t>
      </w:r>
    </w:p>
    <w:p>
      <w:pPr>
        <w:pStyle w:val="FirstParagraph"/>
      </w:pPr>
      <w:r>
        <w:t xml:space="preserve">The fetal origins literature establishes persistence in general (Almond &amp; Currie, 2011; Almond, Currie, &amp; Duque, 2018), and specific environmental applications support it. Bharadwaj, Gibson, Graff Zivin, and Neilson (2017) used sibling comparisons in Chilean administrative data and found that fetal carbon monoxide exposure lowered fourth-grade mathematics and language scores. Isen, Rossin-Slater, and Walker (2017) linked season of birth and temperature exposure to later-life wellbeing. Randell and Gray (2019) found across twenty-nine tropical countries that elevated prenatal and early-life temperature reduced later schooling attainment among children aged twelve to sixteen, with the largest penalties in Southeast Asia.</w:t>
      </w:r>
    </w:p>
    <w:p>
      <w:pPr>
        <w:pStyle w:val="BodyText"/>
      </w:pPr>
      <w:r>
        <w:t xml:space="preserve">Persistence is not universal, however, and the reason is Stage 4. Rosales-Rueda (2018) studied El Niño floods in Ecuador; Caruso (2017) documented intergenerational transmission across a century of Latin American disasters; Groppo and Kraehnert (2017) estimated educational effects of extreme weather events. The variation across these studies in the degree of attenuation is plausibly a variation in household and institutional response rather than in biology. This is testable, and Component C is designed to test it by measuring the response directly rather than inferring it from the residual.</w:t>
      </w:r>
    </w:p>
    <w:bookmarkEnd w:id="34"/>
    <w:bookmarkStart w:id="35" w:name="the-gap-this-programme-addresses"/>
    <w:p>
      <w:pPr>
        <w:pStyle w:val="Heading3"/>
      </w:pPr>
      <w:r>
        <w:t xml:space="preserve">4.6 The gap this programme addresses</w:t>
      </w:r>
    </w:p>
    <w:p>
      <w:pPr>
        <w:pStyle w:val="FirstParagraph"/>
      </w:pPr>
      <w:r>
        <w:t xml:space="preserve">Synthesising the five debates yields a precise statement of what is missing. The literature has established that pollution harms children, that heat harms children, that both effects are socially stratified, and that adult mortality responds super-additively to joint exposure. It has not established whether child welfare responds super-additively, on what scale, through which of the three adaptive channels, with what degree of social stratification in the interaction itself, or what share of the resulting burden is preventable under feasible policy. Each of these is a distinct empirical question, and each is answerable with the data architecture described in Section 7.</w:t>
      </w:r>
    </w:p>
    <w:p>
      <w:r>
        <w:pict>
          <v:rect style="width:0;height:1.5pt" o:hralign="center" o:hrstd="t" o:hr="t"/>
        </w:pict>
      </w:r>
    </w:p>
    <w:bookmarkEnd w:id="35"/>
    <w:bookmarkEnd w:id="36"/>
    <w:bookmarkStart w:id="37" w:name="objectives"/>
    <w:p>
      <w:pPr>
        <w:pStyle w:val="Heading2"/>
      </w:pPr>
      <w:r>
        <w:t xml:space="preserve">5. Objectives</w:t>
      </w:r>
    </w:p>
    <w:p>
      <w:pPr>
        <w:pStyle w:val="FirstParagraph"/>
      </w:pPr>
      <w:r>
        <w:t xml:space="preserve">The programme has five objectives, each mapped to a component and each stated so that its achievement or non-achievement is observable.</w:t>
      </w:r>
    </w:p>
    <w:p>
      <w:pPr>
        <w:pStyle w:val="BodyText"/>
      </w:pPr>
      <w:r>
        <w:rPr>
          <w:bCs/>
          <w:b/>
        </w:rPr>
        <w:t xml:space="preserve">O1.</w:t>
      </w:r>
      <w:r>
        <w:t xml:space="preserve"> </w:t>
      </w:r>
      <w:r>
        <w:t xml:space="preserve">Construct and publish a validated county-day record of compound climate and pollution exposure for China from 2000 to 2023, with child-population denominators, and quantify the distribution of compound exposure across socioeconomic strata.</w:t>
      </w:r>
    </w:p>
    <w:p>
      <w:pPr>
        <w:pStyle w:val="BodyText"/>
      </w:pPr>
      <w:r>
        <w:rPr>
          <w:bCs/>
          <w:b/>
        </w:rPr>
        <w:t xml:space="preserve">O2.</w:t>
      </w:r>
      <w:r>
        <w:t xml:space="preserve"> </w:t>
      </w:r>
      <w:r>
        <w:t xml:space="preserve">Estimate the effect of trimester-specific and early-childhood compound exposure on birth outcomes, growth, respiratory morbidity, and early cognitive and educational outcomes, with interaction assessed on the additive scale.</w:t>
      </w:r>
    </w:p>
    <w:p>
      <w:pPr>
        <w:pStyle w:val="BodyText"/>
      </w:pPr>
      <w:r>
        <w:rPr>
          <w:bCs/>
          <w:b/>
        </w:rPr>
        <w:t xml:space="preserve">O3.</w:t>
      </w:r>
      <w:r>
        <w:t xml:space="preserve"> </w:t>
      </w:r>
      <w:r>
        <w:t xml:space="preserve">Identify the household, school, and health-system resources that moderate these effects, and decompose moderation into avoidance, compensation, and institutional substitution.</w:t>
      </w:r>
    </w:p>
    <w:p>
      <w:pPr>
        <w:pStyle w:val="BodyText"/>
      </w:pPr>
      <w:r>
        <w:rPr>
          <w:bCs/>
          <w:b/>
        </w:rPr>
        <w:t xml:space="preserve">O4.</w:t>
      </w:r>
      <w:r>
        <w:t xml:space="preserve"> </w:t>
      </w:r>
      <w:r>
        <w:t xml:space="preserve">Test whether the estimated relationships hold in comparative low- and middle-income settings, estimating country-specific models first and treating divergence as informative about scope conditions.</w:t>
      </w:r>
    </w:p>
    <w:p>
      <w:pPr>
        <w:pStyle w:val="BodyText"/>
      </w:pPr>
      <w:r>
        <w:rPr>
          <w:bCs/>
          <w:b/>
        </w:rPr>
        <w:t xml:space="preserve">O5.</w:t>
      </w:r>
      <w:r>
        <w:t xml:space="preserve"> </w:t>
      </w:r>
      <w:r>
        <w:t xml:space="preserve">Translate the estimated relationships into counterfactual burden and welfare estimates under feasible exposure-reduction scenarios, reporting aggregate and distributionally weighted results separately.</w:t>
      </w:r>
    </w:p>
    <w:p>
      <w:r>
        <w:pict>
          <v:rect style="width:0;height:1.5pt" o:hralign="center" o:hrstd="t" o:hr="t"/>
        </w:pict>
      </w:r>
    </w:p>
    <w:bookmarkEnd w:id="37"/>
    <w:bookmarkStart w:id="44" w:name="Xba645522ceac6b9c6dc8312c24ee08d2e16cf2a"/>
    <w:p>
      <w:pPr>
        <w:pStyle w:val="Heading2"/>
      </w:pPr>
      <w:r>
        <w:t xml:space="preserve">6. Research questions, hypotheses, and falsification conditions</w:t>
      </w:r>
    </w:p>
    <w:p>
      <w:pPr>
        <w:pStyle w:val="FirstParagraph"/>
      </w:pPr>
      <w:r>
        <w:t xml:space="preserve">Each hypothesis below is paired with the observation that would count as its rejection. This is stated in advance so that a null result is a usable finding rather than a filed-away disappointment.</w:t>
      </w:r>
    </w:p>
    <w:bookmarkStart w:id="38" w:name="X2b73bba73b3e47bb783e41f9f1f17cd6974234b"/>
    <w:p>
      <w:pPr>
        <w:pStyle w:val="Heading3"/>
      </w:pPr>
      <w:r>
        <w:t xml:space="preserve">RQ1. How is compound exposure structured across space, season, and social position in China?</w:t>
      </w:r>
    </w:p>
    <w:p>
      <w:pPr>
        <w:pStyle w:val="FirstParagraph"/>
      </w:pPr>
      <w:r>
        <w:rPr>
          <w:bCs/>
          <w:b/>
        </w:rPr>
        <w:t xml:space="preserve">H1.</w:t>
      </w:r>
      <w:r>
        <w:t xml:space="preserve"> </w:t>
      </w:r>
      <w:r>
        <w:t xml:space="preserve">High pollution and high heat co-occur non-randomly, compound-exposure days have increased over 2000 to 2023, and the child population share experiencing compound exposure is higher in counties with lower socioeconomic composition.</w:t>
      </w:r>
    </w:p>
    <w:p>
      <w:pPr>
        <w:pStyle w:val="BodyText"/>
      </w:pPr>
      <w:r>
        <w:rPr>
          <w:iCs/>
          <w:i/>
        </w:rPr>
        <w:t xml:space="preserve">Rejected if:</w:t>
      </w:r>
      <w:r>
        <w:t xml:space="preserve"> </w:t>
      </w:r>
      <w:r>
        <w:t xml:space="preserve">the observed frequency of compound days does not exceed the frequency expected under independence of the two marginal exceedance processes after seasonal and spatial adjustment, or if the concentration index of compound exposure with respect to county socioeconomic rank is not distinguishable from zero.</w:t>
      </w:r>
    </w:p>
    <w:p>
      <w:pPr>
        <w:pStyle w:val="BodyText"/>
      </w:pPr>
      <w:r>
        <w:rPr>
          <w:iCs/>
          <w:i/>
        </w:rPr>
        <w:t xml:space="preserve">Prior expectation and its source:</w:t>
      </w:r>
      <w:r>
        <w:t xml:space="preserve"> </w:t>
      </w:r>
      <w:r>
        <w:t xml:space="preserve">Su, Jiao, and Xu (2025) report substantial increases in compound heat and ozone exposure across Chinese cities, which raises the prior for the temporal component of H1 while leaving the socioeconomic component open.</w:t>
      </w:r>
    </w:p>
    <w:bookmarkEnd w:id="38"/>
    <w:bookmarkStart w:id="39" w:name="Xefea5a8028cdb58577f893e489e6f132150e149"/>
    <w:p>
      <w:pPr>
        <w:pStyle w:val="Heading3"/>
      </w:pPr>
      <w:r>
        <w:t xml:space="preserve">RQ2. Are the welfare effects of climate and pollution exposure additive or interactive?</w:t>
      </w:r>
    </w:p>
    <w:p>
      <w:pPr>
        <w:pStyle w:val="FirstParagraph"/>
      </w:pPr>
      <w:r>
        <w:rPr>
          <w:bCs/>
          <w:b/>
        </w:rPr>
        <w:t xml:space="preserve">H2.</w:t>
      </w:r>
      <w:r>
        <w:t xml:space="preserve"> </w:t>
      </w:r>
      <w:r>
        <w:t xml:space="preserve">The welfare loss under joint high exposure exceeds the sum of the marginal losses, that is, the relative excess risk due to interaction is positive for adverse binary outcomes, and the corresponding additive-scale interaction contrast is negative for continuous outcomes measured so that higher values are better.</w:t>
      </w:r>
    </w:p>
    <w:p>
      <w:pPr>
        <w:pStyle w:val="BodyText"/>
      </w:pPr>
      <w:r>
        <w:rPr>
          <w:iCs/>
          <w:i/>
        </w:rPr>
        <w:t xml:space="preserve">Rejected if:</w:t>
      </w:r>
      <w:r>
        <w:t xml:space="preserve"> </w:t>
      </w:r>
      <w:r>
        <w:t xml:space="preserve">across primary outcomes and across the three pre-specified operationalisations of compound exposure, the additive interaction contrast has a confidence interval covering zero, and the saturated four-cell specification does not reject equality of the joint cell against the additive prediction.</w:t>
      </w:r>
    </w:p>
    <w:p>
      <w:pPr>
        <w:pStyle w:val="BodyText"/>
      </w:pPr>
      <w:r>
        <w:rPr>
          <w:iCs/>
          <w:i/>
        </w:rPr>
        <w:t xml:space="preserve">Consequence of rejection:</w:t>
      </w:r>
      <w:r>
        <w:t xml:space="preserve"> </w:t>
      </w:r>
      <w:r>
        <w:t xml:space="preserve">the programme would conclude that separate single-exposure models are adequate for welfare purposes in this setting, which is itself a policy-relevant negative result given the growing assumption to the contrary, and would redirect resources to RQ3 and RQ4.</w:t>
      </w:r>
    </w:p>
    <w:bookmarkEnd w:id="39"/>
    <w:bookmarkStart w:id="40" w:name="X23e3c4e9a0e4bc18c5605e4c3db1fa4893b1700"/>
    <w:p>
      <w:pPr>
        <w:pStyle w:val="Heading3"/>
      </w:pPr>
      <w:r>
        <w:t xml:space="preserve">RQ3. Which children bear the largest welfare losses at equivalent exposure?</w:t>
      </w:r>
    </w:p>
    <w:p>
      <w:pPr>
        <w:pStyle w:val="FirstParagraph"/>
      </w:pPr>
      <w:r>
        <w:rPr>
          <w:bCs/>
          <w:b/>
        </w:rPr>
        <w:t xml:space="preserve">H3.</w:t>
      </w:r>
      <w:r>
        <w:t xml:space="preserve"> </w:t>
      </w:r>
      <w:r>
        <w:t xml:space="preserve">At equivalent measured exposure, children in households with lower parental education, lower income or asset holdings, poorer housing quality, and weaker health-care access experience larger welfare losses, and this gradient is steeper under compound than under single exposure.</w:t>
      </w:r>
    </w:p>
    <w:p>
      <w:pPr>
        <w:pStyle w:val="BodyText"/>
      </w:pPr>
      <w:r>
        <w:rPr>
          <w:iCs/>
          <w:i/>
        </w:rPr>
        <w:t xml:space="preserve">Rejected if:</w:t>
      </w:r>
      <w:r>
        <w:t xml:space="preserve"> </w:t>
      </w:r>
      <w:r>
        <w:t xml:space="preserve">stratified estimates are statistically indistinguishable across strata after correction for multiple comparisons using sharpened false-discovery-rate q-values (Anderson, 2008), and the interaction between exposure and the socioeconomic index is not distinguishable from zero.</w:t>
      </w:r>
    </w:p>
    <w:bookmarkEnd w:id="40"/>
    <w:bookmarkStart w:id="41" w:name="Xa3f31acbe42f2034ce00bf5be4d6f65feb087ae"/>
    <w:p>
      <w:pPr>
        <w:pStyle w:val="Heading3"/>
      </w:pPr>
      <w:r>
        <w:t xml:space="preserve">RQ4. Through which channel do family and institutional resources protect?</w:t>
      </w:r>
    </w:p>
    <w:p>
      <w:pPr>
        <w:pStyle w:val="FirstParagraph"/>
      </w:pPr>
      <w:r>
        <w:rPr>
          <w:bCs/>
          <w:b/>
        </w:rPr>
        <w:t xml:space="preserve">H4.</w:t>
      </w:r>
      <w:r>
        <w:t xml:space="preserve"> </w:t>
      </w:r>
      <w:r>
        <w:t xml:space="preserve">Protection operates through all three channels, but their relative contribution differs by exposure type: avoidance dominates for chronic ambient pollution, institutional substitution dominates for acute heat during school terms, and compensation dominates after discrete shocks such as floods.</w:t>
      </w:r>
    </w:p>
    <w:p>
      <w:pPr>
        <w:pStyle w:val="BodyText"/>
      </w:pPr>
      <w:r>
        <w:rPr>
          <w:iCs/>
          <w:i/>
        </w:rPr>
        <w:t xml:space="preserve">Rejected if:</w:t>
      </w:r>
      <w:r>
        <w:t xml:space="preserve"> </w:t>
      </w:r>
      <w:r>
        <w:t xml:space="preserve">measured avoidance behaviour, defensive expenditure, and school infrastructure show no association with the size of the exposure effect once household resources are conditioned on, which would indicate that observed socioeconomic gradients arise from differential biological susceptibility or from exposure misassignment rather than from behaviour.</w:t>
      </w:r>
    </w:p>
    <w:bookmarkEnd w:id="41"/>
    <w:bookmarkStart w:id="42" w:name="X22535185358f464b30810d9a884eb8e6f8d451d"/>
    <w:p>
      <w:pPr>
        <w:pStyle w:val="Heading3"/>
      </w:pPr>
      <w:r>
        <w:t xml:space="preserve">RQ5. Do early-life compound exposures have persistent welfare consequences, and does household response attenuate them?</w:t>
      </w:r>
    </w:p>
    <w:p>
      <w:pPr>
        <w:pStyle w:val="FirstParagraph"/>
      </w:pPr>
      <w:r>
        <w:rPr>
          <w:bCs/>
          <w:b/>
        </w:rPr>
        <w:t xml:space="preserve">H5.</w:t>
      </w:r>
      <w:r>
        <w:t xml:space="preserve"> </w:t>
      </w:r>
      <w:r>
        <w:t xml:space="preserve">Early-life compound exposure is associated with persistent differences in health and educational trajectories, and the degree of attenuation over time is increasing in household and institutional resources.</w:t>
      </w:r>
    </w:p>
    <w:p>
      <w:pPr>
        <w:pStyle w:val="BodyText"/>
      </w:pPr>
      <w:r>
        <w:rPr>
          <w:iCs/>
          <w:i/>
        </w:rPr>
        <w:t xml:space="preserve">Rejected if:</w:t>
      </w:r>
      <w:r>
        <w:t xml:space="preserve"> </w:t>
      </w:r>
      <w:r>
        <w:t xml:space="preserve">effects at ages ten and above are indistinguishable from zero in the same cohorts in which infant effects are detected, and attenuation shows no gradient in resources.</w:t>
      </w:r>
    </w:p>
    <w:bookmarkEnd w:id="42"/>
    <w:bookmarkStart w:id="43" w:name="X248041f8c29f5791ef4e18bf5ceeedc1932dbb1"/>
    <w:p>
      <w:pPr>
        <w:pStyle w:val="Heading3"/>
      </w:pPr>
      <w:r>
        <w:t xml:space="preserve">RQ6. What share of the child welfare burden is preventable, and how is the preventable share distributed?</w:t>
      </w:r>
    </w:p>
    <w:p>
      <w:pPr>
        <w:pStyle w:val="FirstParagraph"/>
      </w:pPr>
      <w:r>
        <w:rPr>
          <w:bCs/>
          <w:b/>
        </w:rPr>
        <w:t xml:space="preserve">H6.</w:t>
      </w:r>
      <w:r>
        <w:t xml:space="preserve"> </w:t>
      </w:r>
      <w:r>
        <w:t xml:space="preserve">Targeted exposure reduction concentrated on high-compound-exposure, low-resource populations produces larger equity-weighted welfare gains than uniform reduction achieving the same national mean exposure change.</w:t>
      </w:r>
    </w:p>
    <w:p>
      <w:pPr>
        <w:pStyle w:val="BodyText"/>
      </w:pPr>
      <w:r>
        <w:rPr>
          <w:iCs/>
          <w:i/>
        </w:rPr>
        <w:t xml:space="preserve">Rejected if:</w:t>
      </w:r>
      <w:r>
        <w:t xml:space="preserve"> </w:t>
      </w:r>
      <w:r>
        <w:t xml:space="preserve">under the pre-specified inequality aversion parameters, the equity-weighted gain from targeted and uniform scenarios is indistinguishable, which would occur if compound exposure and low resources are not spatially aligned.</w:t>
      </w:r>
    </w:p>
    <w:p>
      <w:r>
        <w:pict>
          <v:rect style="width:0;height:1.5pt" o:hralign="center" o:hrstd="t" o:hr="t"/>
        </w:pict>
      </w:r>
    </w:p>
    <w:bookmarkEnd w:id="43"/>
    <w:bookmarkEnd w:id="44"/>
    <w:bookmarkStart w:id="49" w:name="data-architecture"/>
    <w:p>
      <w:pPr>
        <w:pStyle w:val="Heading2"/>
      </w:pPr>
      <w:r>
        <w:t xml:space="preserve">7. Data architecture</w:t>
      </w:r>
    </w:p>
    <w:bookmarkStart w:id="45" w:name="exposure-data"/>
    <w:p>
      <w:pPr>
        <w:pStyle w:val="Heading3"/>
      </w:pPr>
      <w:r>
        <w:t xml:space="preserve">7.1 Exposure data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Primary source</w:t>
            </w:r>
          </w:p>
        </w:tc>
        <w:tc>
          <w:tcPr/>
          <w:p>
            <w:pPr>
              <w:pStyle w:val="Compact"/>
              <w:jc w:val="left"/>
            </w:pPr>
            <w:r>
              <w:t xml:space="preserve">Cross-validation source</w:t>
            </w:r>
          </w:p>
        </w:tc>
        <w:tc>
          <w:tcPr/>
          <w:p>
            <w:pPr>
              <w:pStyle w:val="Compact"/>
              <w:jc w:val="left"/>
            </w:pPr>
            <w:r>
              <w:t xml:space="preserve">Resolution</w:t>
            </w:r>
          </w:p>
        </w:tc>
        <w:tc>
          <w:tcPr/>
          <w:p>
            <w:pPr>
              <w:pStyle w:val="Compact"/>
              <w:jc w:val="left"/>
            </w:pPr>
            <w:r>
              <w:t xml:space="preserve">Role</w:t>
            </w:r>
          </w:p>
        </w:tc>
      </w:tr>
      <w:tr>
        <w:tc>
          <w:tcPr/>
          <w:p>
            <w:pPr>
              <w:pStyle w:val="Compact"/>
              <w:jc w:val="left"/>
            </w:pPr>
            <w:r>
              <w:t xml:space="preserve">Ambient PM2.5, China</w:t>
            </w:r>
          </w:p>
        </w:tc>
        <w:tc>
          <w:tcPr/>
          <w:p>
            <w:pPr>
              <w:pStyle w:val="Compact"/>
              <w:jc w:val="left"/>
            </w:pPr>
            <w:r>
              <w:t xml:space="preserve">ChinaHighAirPollutants, ChinaHighPM2.5 component (Wei et al., 2021)</w:t>
            </w:r>
          </w:p>
        </w:tc>
        <w:tc>
          <w:tcPr/>
          <w:p>
            <w:pPr>
              <w:pStyle w:val="Compact"/>
              <w:jc w:val="left"/>
            </w:pPr>
            <w:r>
              <w:t xml:space="preserve">Tracking Air Pollution in China (Geng et al., 2021)</w:t>
            </w:r>
          </w:p>
        </w:tc>
        <w:tc>
          <w:tcPr/>
          <w:p>
            <w:pPr>
              <w:pStyle w:val="Compact"/>
              <w:jc w:val="left"/>
            </w:pPr>
            <w:r>
              <w:t xml:space="preserve">1 km daily; 10 km daily</w:t>
            </w:r>
          </w:p>
        </w:tc>
        <w:tc>
          <w:tcPr/>
          <w:p>
            <w:pPr>
              <w:pStyle w:val="Compact"/>
              <w:jc w:val="left"/>
            </w:pPr>
            <w:r>
              <w:t xml:space="preserve">Primary exposure assignment and measurement-error correction</w:t>
            </w:r>
          </w:p>
        </w:tc>
      </w:tr>
      <w:tr>
        <w:tc>
          <w:tcPr/>
          <w:p>
            <w:pPr>
              <w:pStyle w:val="Compact"/>
              <w:jc w:val="left"/>
            </w:pPr>
            <w:r>
              <w:t xml:space="preserve">Ambient PM2.5, global</w:t>
            </w:r>
          </w:p>
        </w:tc>
        <w:tc>
          <w:tcPr/>
          <w:p>
            <w:pPr>
              <w:pStyle w:val="Compact"/>
              <w:jc w:val="left"/>
            </w:pPr>
            <w:r>
              <w:t xml:space="preserve">van Donkelaar et al. (2021) V5.GL, with per-pixel uncertainty</w:t>
            </w:r>
          </w:p>
        </w:tc>
        <w:tc>
          <w:tcPr/>
          <w:p>
            <w:pPr>
              <w:pStyle w:val="Compact"/>
              <w:jc w:val="left"/>
            </w:pPr>
            <w:r>
              <w:t xml:space="preserve">Hammer et al. (2020) V4 for trend continuity</w:t>
            </w:r>
          </w:p>
        </w:tc>
        <w:tc>
          <w:tcPr/>
          <w:p>
            <w:pPr>
              <w:pStyle w:val="Compact"/>
              <w:jc w:val="left"/>
            </w:pPr>
            <w:r>
              <w:t xml:space="preserve">0.01 degree monthly</w:t>
            </w:r>
          </w:p>
        </w:tc>
        <w:tc>
          <w:tcPr/>
          <w:p>
            <w:pPr>
              <w:pStyle w:val="Compact"/>
              <w:jc w:val="left"/>
            </w:pPr>
            <w:r>
              <w:t xml:space="preserve">Comparative component exposure assignment</w:t>
            </w:r>
          </w:p>
        </w:tc>
      </w:tr>
      <w:tr>
        <w:tc>
          <w:tcPr/>
          <w:p>
            <w:pPr>
              <w:pStyle w:val="Compact"/>
              <w:jc w:val="left"/>
            </w:pPr>
            <w:r>
              <w:t xml:space="preserve">Surface ozone, China</w:t>
            </w:r>
          </w:p>
        </w:tc>
        <w:tc>
          <w:tcPr/>
          <w:p>
            <w:pPr>
              <w:pStyle w:val="Compact"/>
              <w:jc w:val="left"/>
            </w:pPr>
            <w:r>
              <w:t xml:space="preserve">ChinaHighAirPollutants ozone component</w:t>
            </w:r>
          </w:p>
        </w:tc>
        <w:tc>
          <w:tcPr/>
          <w:p>
            <w:pPr>
              <w:pStyle w:val="Compact"/>
              <w:jc w:val="left"/>
            </w:pPr>
            <w:r>
              <w:t xml:space="preserve">Ground monitoring network from 2013</w:t>
            </w:r>
          </w:p>
        </w:tc>
        <w:tc>
          <w:tcPr/>
          <w:p>
            <w:pPr>
              <w:pStyle w:val="Compact"/>
              <w:jc w:val="left"/>
            </w:pPr>
            <w:r>
              <w:t xml:space="preserve">1 km daily</w:t>
            </w:r>
          </w:p>
        </w:tc>
        <w:tc>
          <w:tcPr/>
          <w:p>
            <w:pPr>
              <w:pStyle w:val="Compact"/>
              <w:jc w:val="left"/>
            </w:pPr>
            <w:r>
              <w:t xml:space="preserve">Ozone and heat compound exposure</w:t>
            </w:r>
          </w:p>
        </w:tc>
      </w:tr>
      <w:tr>
        <w:tc>
          <w:tcPr/>
          <w:p>
            <w:pPr>
              <w:pStyle w:val="Compact"/>
              <w:jc w:val="left"/>
            </w:pPr>
            <w:r>
              <w:t xml:space="preserve">Temperature and humidity</w:t>
            </w:r>
          </w:p>
        </w:tc>
        <w:tc>
          <w:tcPr/>
          <w:p>
            <w:pPr>
              <w:pStyle w:val="Compact"/>
              <w:jc w:val="left"/>
            </w:pPr>
            <w:r>
              <w:t xml:space="preserve">ERA5 and ERA5-Land (Hersbach et al., 2020)</w:t>
            </w:r>
          </w:p>
        </w:tc>
        <w:tc>
          <w:tcPr/>
          <w:p>
            <w:pPr>
              <w:pStyle w:val="Compact"/>
              <w:jc w:val="left"/>
            </w:pPr>
            <w:r>
              <w:t xml:space="preserve">Ground station network</w:t>
            </w:r>
          </w:p>
        </w:tc>
        <w:tc>
          <w:tcPr/>
          <w:p>
            <w:pPr>
              <w:pStyle w:val="Compact"/>
              <w:jc w:val="left"/>
            </w:pPr>
            <w:r>
              <w:t xml:space="preserve">Hourly, 31 km and 9 km</w:t>
            </w:r>
          </w:p>
        </w:tc>
        <w:tc>
          <w:tcPr/>
          <w:p>
            <w:pPr>
              <w:pStyle w:val="Compact"/>
              <w:jc w:val="left"/>
            </w:pPr>
            <w:r>
              <w:t xml:space="preserve">Heat metrics including wet-bulb approximations</w:t>
            </w:r>
          </w:p>
        </w:tc>
      </w:tr>
      <w:tr>
        <w:tc>
          <w:tcPr/>
          <w:p>
            <w:pPr>
              <w:pStyle w:val="Compact"/>
              <w:jc w:val="left"/>
            </w:pPr>
            <w:r>
              <w:t xml:space="preserve">Precipitation</w:t>
            </w:r>
          </w:p>
        </w:tc>
        <w:tc>
          <w:tcPr/>
          <w:p>
            <w:pPr>
              <w:pStyle w:val="Compact"/>
              <w:jc w:val="left"/>
            </w:pPr>
            <w:r>
              <w:t xml:space="preserve">CHIRPS (Funk et al., 2015)</w:t>
            </w:r>
          </w:p>
        </w:tc>
        <w:tc>
          <w:tcPr/>
          <w:p>
            <w:pPr>
              <w:pStyle w:val="Compact"/>
              <w:jc w:val="left"/>
            </w:pPr>
            <w:r>
              <w:t xml:space="preserve">ERA5-Land total precipitation</w:t>
            </w:r>
          </w:p>
        </w:tc>
        <w:tc>
          <w:tcPr/>
          <w:p>
            <w:pPr>
              <w:pStyle w:val="Compact"/>
              <w:jc w:val="left"/>
            </w:pPr>
            <w:r>
              <w:t xml:space="preserve">0.05 degree daily</w:t>
            </w:r>
          </w:p>
        </w:tc>
        <w:tc>
          <w:tcPr/>
          <w:p>
            <w:pPr>
              <w:pStyle w:val="Compact"/>
              <w:jc w:val="left"/>
            </w:pPr>
            <w:r>
              <w:t xml:space="preserve">Drought and flood indicators</w:t>
            </w:r>
          </w:p>
        </w:tc>
      </w:tr>
      <w:tr>
        <w:tc>
          <w:tcPr/>
          <w:p>
            <w:pPr>
              <w:pStyle w:val="Compact"/>
              <w:jc w:val="left"/>
            </w:pPr>
            <w:r>
              <w:t xml:space="preserve">Future scenarios</w:t>
            </w:r>
          </w:p>
        </w:tc>
        <w:tc>
          <w:tcPr/>
          <w:p>
            <w:pPr>
              <w:pStyle w:val="Compact"/>
              <w:jc w:val="left"/>
            </w:pPr>
            <w:r>
              <w:t xml:space="preserve">CMIP6 (Eyring et al., 2016) under ScenarioMIP pathways (O’Neill et al., 2016) with SSP narratives (Riahi et al., 2017)</w:t>
            </w:r>
          </w:p>
        </w:tc>
        <w:tc>
          <w:tcPr/>
          <w:p>
            <w:pPr>
              <w:pStyle w:val="Compact"/>
              <w:jc w:val="left"/>
            </w:pPr>
            <w:r>
              <w:t xml:space="preserve">Multi-model ensemble spread</w:t>
            </w:r>
          </w:p>
        </w:tc>
        <w:tc>
          <w:tcPr/>
          <w:p>
            <w:pPr>
              <w:pStyle w:val="Compact"/>
              <w:jc w:val="left"/>
            </w:pPr>
            <w:r>
              <w:t xml:space="preserve">Model-native, bias-corrected</w:t>
            </w:r>
          </w:p>
        </w:tc>
        <w:tc>
          <w:tcPr/>
          <w:p>
            <w:pPr>
              <w:pStyle w:val="Compact"/>
              <w:jc w:val="left"/>
            </w:pPr>
            <w:r>
              <w:t xml:space="preserve">Projection component only</w:t>
            </w:r>
          </w:p>
        </w:tc>
      </w:tr>
    </w:tbl>
    <w:p>
      <w:pPr>
        <w:pStyle w:val="BodyText"/>
      </w:pPr>
      <w:r>
        <w:t xml:space="preserve">Two measurement decisions deserve statement because they are consequential. First, exposure is assigned at the finest spatial unit the outcome data permit and is then aggregated upward, never the reverse, because aggregation before linkage induces classical and non-classical error simultaneously. Second, the programme deliberately maintains two independent PM2.5 products for China so that the difference between them can be used to characterise exposure measurement error rather than being ignored. Section 9.6 describes the correction.</w:t>
      </w:r>
    </w:p>
    <w:bookmarkEnd w:id="45"/>
    <w:bookmarkStart w:id="46" w:name="outcome-and-household-data"/>
    <w:p>
      <w:pPr>
        <w:pStyle w:val="Heading3"/>
      </w:pPr>
      <w:r>
        <w:t xml:space="preserve">7.2 Outcome and household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Setting</w:t>
            </w:r>
          </w:p>
        </w:tc>
        <w:tc>
          <w:tcPr/>
          <w:p>
            <w:pPr>
              <w:pStyle w:val="Compact"/>
              <w:jc w:val="left"/>
            </w:pPr>
            <w:r>
              <w:t xml:space="preserve">Source</w:t>
            </w:r>
          </w:p>
        </w:tc>
        <w:tc>
          <w:tcPr/>
          <w:p>
            <w:pPr>
              <w:pStyle w:val="Compact"/>
              <w:jc w:val="left"/>
            </w:pPr>
            <w:r>
              <w:t xml:space="preserve">Outcome domains</w:t>
            </w:r>
          </w:p>
        </w:tc>
        <w:tc>
          <w:tcPr/>
          <w:p>
            <w:pPr>
              <w:pStyle w:val="Compact"/>
              <w:jc w:val="left"/>
            </w:pPr>
            <w:r>
              <w:t xml:space="preserve">Design use</w:t>
            </w:r>
          </w:p>
        </w:tc>
      </w:tr>
      <w:tr>
        <w:tc>
          <w:tcPr/>
          <w:p>
            <w:pPr>
              <w:pStyle w:val="Compact"/>
              <w:jc w:val="left"/>
            </w:pPr>
            <w:r>
              <w:t xml:space="preserve">China</w:t>
            </w:r>
          </w:p>
        </w:tc>
        <w:tc>
          <w:tcPr/>
          <w:p>
            <w:pPr>
              <w:pStyle w:val="Compact"/>
              <w:jc w:val="left"/>
            </w:pPr>
            <w:r>
              <w:t xml:space="preserve">Administrative birth registration and hospital birth records, subject to access agreement</w:t>
            </w:r>
          </w:p>
        </w:tc>
        <w:tc>
          <w:tcPr/>
          <w:p>
            <w:pPr>
              <w:pStyle w:val="Compact"/>
              <w:jc w:val="left"/>
            </w:pPr>
            <w:r>
              <w:t xml:space="preserve">Birth weight, gestational age, preterm birth, congenital anomalies</w:t>
            </w:r>
          </w:p>
        </w:tc>
        <w:tc>
          <w:tcPr/>
          <w:p>
            <w:pPr>
              <w:pStyle w:val="Compact"/>
              <w:jc w:val="left"/>
            </w:pPr>
            <w:r>
              <w:t xml:space="preserve">Component B, within-mother and within-county designs</w:t>
            </w:r>
          </w:p>
        </w:tc>
      </w:tr>
      <w:tr>
        <w:tc>
          <w:tcPr/>
          <w:p>
            <w:pPr>
              <w:pStyle w:val="Compact"/>
              <w:jc w:val="left"/>
            </w:pPr>
            <w:r>
              <w:t xml:space="preserve">China</w:t>
            </w:r>
          </w:p>
        </w:tc>
        <w:tc>
          <w:tcPr/>
          <w:p>
            <w:pPr>
              <w:pStyle w:val="Compact"/>
              <w:jc w:val="left"/>
            </w:pPr>
            <w:r>
              <w:t xml:space="preserve">China Family Panel Studies (Xie &amp; Lu, 2015)</w:t>
            </w:r>
          </w:p>
        </w:tc>
        <w:tc>
          <w:tcPr/>
          <w:p>
            <w:pPr>
              <w:pStyle w:val="Compact"/>
              <w:jc w:val="left"/>
            </w:pPr>
            <w:r>
              <w:t xml:space="preserve">Household income and expenditure, child health, cognition, schooling, migration</w:t>
            </w:r>
          </w:p>
        </w:tc>
        <w:tc>
          <w:tcPr/>
          <w:p>
            <w:pPr>
              <w:pStyle w:val="Compact"/>
              <w:jc w:val="left"/>
            </w:pPr>
            <w:r>
              <w:t xml:space="preserve">Components C and B secondary</w:t>
            </w:r>
          </w:p>
        </w:tc>
      </w:tr>
      <w:tr>
        <w:tc>
          <w:tcPr/>
          <w:p>
            <w:pPr>
              <w:pStyle w:val="Compact"/>
              <w:jc w:val="left"/>
            </w:pPr>
            <w:r>
              <w:t xml:space="preserve">China</w:t>
            </w:r>
          </w:p>
        </w:tc>
        <w:tc>
          <w:tcPr/>
          <w:p>
            <w:pPr>
              <w:pStyle w:val="Compact"/>
              <w:jc w:val="left"/>
            </w:pPr>
            <w:r>
              <w:t xml:space="preserve">China Health and Nutrition Survey (Popkin, Du, Zhai, &amp; Zhang, 2010)</w:t>
            </w:r>
          </w:p>
        </w:tc>
        <w:tc>
          <w:tcPr/>
          <w:p>
            <w:pPr>
              <w:pStyle w:val="Compact"/>
              <w:jc w:val="left"/>
            </w:pPr>
            <w:r>
              <w:t xml:space="preserve">Anthropometry, nutrition, household fuel use</w:t>
            </w:r>
          </w:p>
        </w:tc>
        <w:tc>
          <w:tcPr/>
          <w:p>
            <w:pPr>
              <w:pStyle w:val="Compact"/>
              <w:jc w:val="left"/>
            </w:pPr>
            <w:r>
              <w:t xml:space="preserve">Component C, growth and nutrition</w:t>
            </w:r>
          </w:p>
        </w:tc>
      </w:tr>
      <w:tr>
        <w:tc>
          <w:tcPr/>
          <w:p>
            <w:pPr>
              <w:pStyle w:val="Compact"/>
              <w:jc w:val="left"/>
            </w:pPr>
            <w:r>
              <w:t xml:space="preserve">China</w:t>
            </w:r>
          </w:p>
        </w:tc>
        <w:tc>
          <w:tcPr/>
          <w:p>
            <w:pPr>
              <w:pStyle w:val="Compact"/>
              <w:jc w:val="left"/>
            </w:pPr>
            <w:r>
              <w:t xml:space="preserve">China Education Panel Survey</w:t>
            </w:r>
          </w:p>
        </w:tc>
        <w:tc>
          <w:tcPr/>
          <w:p>
            <w:pPr>
              <w:pStyle w:val="Compact"/>
              <w:jc w:val="left"/>
            </w:pPr>
            <w:r>
              <w:t xml:space="preserve">Attendance, learning, school characteristics</w:t>
            </w:r>
          </w:p>
        </w:tc>
        <w:tc>
          <w:tcPr/>
          <w:p>
            <w:pPr>
              <w:pStyle w:val="Compact"/>
              <w:jc w:val="left"/>
            </w:pPr>
            <w:r>
              <w:t xml:space="preserve">Component C, schooling</w:t>
            </w:r>
          </w:p>
        </w:tc>
      </w:tr>
      <w:tr>
        <w:tc>
          <w:tcPr/>
          <w:p>
            <w:pPr>
              <w:pStyle w:val="Compact"/>
              <w:jc w:val="left"/>
            </w:pPr>
            <w:r>
              <w:t xml:space="preserve">India and comparative</w:t>
            </w:r>
          </w:p>
        </w:tc>
        <w:tc>
          <w:tcPr/>
          <w:p>
            <w:pPr>
              <w:pStyle w:val="Compact"/>
              <w:jc w:val="left"/>
            </w:pPr>
            <w:r>
              <w:t xml:space="preserve">Young Lives (Barnett et al., 2013; Favara et al., 2021)</w:t>
            </w:r>
          </w:p>
        </w:tc>
        <w:tc>
          <w:tcPr/>
          <w:p>
            <w:pPr>
              <w:pStyle w:val="Compact"/>
              <w:jc w:val="left"/>
            </w:pPr>
            <w:r>
              <w:t xml:space="preserve">Cognition, schooling, anthropometry, household shocks</w:t>
            </w:r>
          </w:p>
        </w:tc>
        <w:tc>
          <w:tcPr/>
          <w:p>
            <w:pPr>
              <w:pStyle w:val="Compact"/>
              <w:jc w:val="left"/>
            </w:pPr>
            <w:r>
              <w:t xml:space="preserve">Component D, longitudinal trajectories</w:t>
            </w:r>
          </w:p>
        </w:tc>
      </w:tr>
      <w:tr>
        <w:tc>
          <w:tcPr/>
          <w:p>
            <w:pPr>
              <w:pStyle w:val="Compact"/>
              <w:jc w:val="left"/>
            </w:pPr>
            <w:r>
              <w:t xml:space="preserve">Comparative</w:t>
            </w:r>
          </w:p>
        </w:tc>
        <w:tc>
          <w:tcPr/>
          <w:p>
            <w:pPr>
              <w:pStyle w:val="Compact"/>
              <w:jc w:val="left"/>
            </w:pPr>
            <w:r>
              <w:t xml:space="preserve">Demographic and Health Surveys (Corsi, Neuman, Finlay, &amp; Subramanian, 2012)</w:t>
            </w:r>
          </w:p>
        </w:tc>
        <w:tc>
          <w:tcPr/>
          <w:p>
            <w:pPr>
              <w:pStyle w:val="Compact"/>
              <w:jc w:val="left"/>
            </w:pPr>
            <w:r>
              <w:t xml:space="preserve">Infant and child mortality, anthropometry, illness, household fuel</w:t>
            </w:r>
          </w:p>
        </w:tc>
        <w:tc>
          <w:tcPr/>
          <w:p>
            <w:pPr>
              <w:pStyle w:val="Compact"/>
              <w:jc w:val="left"/>
            </w:pPr>
            <w:r>
              <w:t xml:space="preserve">Component D, geocoded cluster linkage</w:t>
            </w:r>
          </w:p>
        </w:tc>
      </w:tr>
      <w:tr>
        <w:tc>
          <w:tcPr/>
          <w:p>
            <w:pPr>
              <w:pStyle w:val="Compact"/>
              <w:jc w:val="left"/>
            </w:pPr>
            <w:r>
              <w:t xml:space="preserve">Comparative</w:t>
            </w:r>
          </w:p>
        </w:tc>
        <w:tc>
          <w:tcPr/>
          <w:p>
            <w:pPr>
              <w:pStyle w:val="Compact"/>
              <w:jc w:val="left"/>
            </w:pPr>
            <w:r>
              <w:t xml:space="preserve">Multiple Indicator Cluster Surveys (Khan &amp; Hancioglu, 2019)</w:t>
            </w:r>
          </w:p>
        </w:tc>
        <w:tc>
          <w:tcPr/>
          <w:p>
            <w:pPr>
              <w:pStyle w:val="Compact"/>
              <w:jc w:val="left"/>
            </w:pPr>
            <w:r>
              <w:t xml:space="preserve">Child health, nutrition, schooling, water and sanitation</w:t>
            </w:r>
          </w:p>
        </w:tc>
        <w:tc>
          <w:tcPr/>
          <w:p>
            <w:pPr>
              <w:pStyle w:val="Compact"/>
              <w:jc w:val="left"/>
            </w:pPr>
            <w:r>
              <w:t xml:space="preserve">Component D, coverage extension</w:t>
            </w:r>
          </w:p>
        </w:tc>
      </w:tr>
    </w:tbl>
    <w:p>
      <w:pPr>
        <w:pStyle w:val="BodyText"/>
      </w:pPr>
      <w:r>
        <w:t xml:space="preserve">Two data sources named in the earlier draft are handled differently here on integrity grounds. The China Education Panel Survey has no published methodology or cohort-profile paper that could be located and verified; it is used as a data source and cited to its official documentation rather than to a non-existent profile article. The Gansu Survey of Children and Families likewise has no verifiable canonical profile paper; if it is used, it will be cited to its data deposit or to a specific substantive publication.</w:t>
      </w:r>
    </w:p>
    <w:bookmarkEnd w:id="46"/>
    <w:bookmarkStart w:id="47" w:name="linkage-protocol"/>
    <w:p>
      <w:pPr>
        <w:pStyle w:val="Heading3"/>
      </w:pPr>
      <w:r>
        <w:t xml:space="preserve">7.3 Linkage protocol</w:t>
      </w:r>
    </w:p>
    <w:p>
      <w:pPr>
        <w:pStyle w:val="FirstParagraph"/>
      </w:pPr>
      <w:r>
        <w:t xml:space="preserve">Linkage is the point at which most of this programme’s measurement risk is concentrated, so the protocol is stated explicitly.</w:t>
      </w:r>
    </w:p>
    <w:p>
      <w:pPr>
        <w:pStyle w:val="BodyText"/>
      </w:pPr>
      <w:r>
        <w:t xml:space="preserve">For administrative birth records, exposure is assigned by maternal residential address geocoded to the finest available administrative unit, with conception date imputed from gestational age at delivery. Trimester windows are constructed from the imputed conception date, and a sensitivity analysis reconstructs windows using last menstrual period where recorded, because gestational-age-based imputation mechanically correlates window definition with the outcome when the outcome is gestational age itself. This is a known and frequently ignored source of bias, and the programme treats results for gestational-age outcomes as requiring the last-menstrual-period reconstruction to be credible.</w:t>
      </w:r>
    </w:p>
    <w:p>
      <w:pPr>
        <w:pStyle w:val="BodyText"/>
      </w:pPr>
      <w:r>
        <w:t xml:space="preserve">For survey data, exposure is assigned to the displaced cluster centroid in Demographic and Health Surveys, and the displacement is handled by estimating models at the exposure resolution implied by the displacement radius rather than at the nominal cluster location. For panel surveys with residential histories, exposure is assigned to the reported location for each wave and non-movers are analysed separately.</w:t>
      </w:r>
    </w:p>
    <w:p>
      <w:pPr>
        <w:pStyle w:val="BodyText"/>
      </w:pPr>
      <w:r>
        <w:t xml:space="preserve">For all sources, the programme records and reports the share of observations for which exposure assignment relies on interpolation, and reports results with and without that share.</w:t>
      </w:r>
    </w:p>
    <w:bookmarkEnd w:id="47"/>
    <w:bookmarkStart w:id="48" w:name="data-governance"/>
    <w:p>
      <w:pPr>
        <w:pStyle w:val="Heading3"/>
      </w:pPr>
      <w:r>
        <w:t xml:space="preserve">7.4 Data governance</w:t>
      </w:r>
    </w:p>
    <w:p>
      <w:pPr>
        <w:pStyle w:val="FirstParagraph"/>
      </w:pPr>
      <w:r>
        <w:t xml:space="preserve">Individual-level Chinese administrative records remain within their host institution’s environment. The programme’s analytical outputs are aggregated estimates, model objects, and code. Institutional review approvals are obtained separately for each administrative data agreement and for each secondary-data component, and the programme does not attempt to link across sources at the individual level except where a data provider has explicitly authorised it. This constraint shapes the analysis plan: designs that would require cross-source individual linkage are excluded at the design stage rather than proposed and then abandoned.</w:t>
      </w:r>
    </w:p>
    <w:p>
      <w:r>
        <w:pict>
          <v:rect style="width:0;height:1.5pt" o:hralign="center" o:hrstd="t" o:hr="t"/>
        </w:pict>
      </w:r>
    </w:p>
    <w:bookmarkEnd w:id="48"/>
    <w:bookmarkEnd w:id="49"/>
    <w:bookmarkStart w:id="55" w:name="component-design"/>
    <w:p>
      <w:pPr>
        <w:pStyle w:val="Heading2"/>
      </w:pPr>
      <w:r>
        <w:t xml:space="preserve">8. Component design</w:t>
      </w:r>
    </w:p>
    <w:p>
      <w:pPr>
        <w:pStyle w:val="FirstParagraph"/>
      </w:pPr>
      <w:r>
        <w:t xml:space="preserve">Each component below states its estimand, its identifying assumption, the principal threat to that assumption, the diagnostic that would reveal the threat, and the contingency if the diagnostic fails.</w:t>
      </w:r>
    </w:p>
    <w:bookmarkStart w:id="50" w:name="Xb86d7524a26895612ca85c995529fa022b25be3"/>
    <w:p>
      <w:pPr>
        <w:pStyle w:val="Heading3"/>
      </w:pPr>
      <w:r>
        <w:t xml:space="preserve">8.1 Component A. The compound exposure record for China</w:t>
      </w:r>
    </w:p>
    <w:p>
      <w:pPr>
        <w:pStyle w:val="FirstParagraph"/>
      </w:pPr>
      <w:r>
        <w:rPr>
          <w:bCs/>
          <w:b/>
        </w:rPr>
        <w:t xml:space="preserve">Objective.</w:t>
      </w:r>
      <w:r>
        <w:t xml:space="preserve"> </w:t>
      </w:r>
      <w:r>
        <w:t xml:space="preserve">Construct a county-day panel covering approximately 2,844 county-level units from 2000 to 2023 and characterise compound exposure.</w:t>
      </w:r>
    </w:p>
    <w:p>
      <w:pPr>
        <w:pStyle w:val="BodyText"/>
      </w:pPr>
      <w:r>
        <w:rPr>
          <w:bCs/>
          <w:b/>
        </w:rPr>
        <w:t xml:space="preserve">Operational definition of a compound day.</w:t>
      </w:r>
      <w:r>
        <w:t xml:space="preserve"> </w:t>
      </w:r>
      <w:r>
        <w:t xml:space="preserve">A county-day is classified as compound when daily mean PM2.5 exceeds the county-specific ninety-fifth percentile of its warm-season distribution over a 1991 to 2020 reference period</w:t>
      </w:r>
      <w:r>
        <w:t xml:space="preserve"> </w:t>
      </w:r>
      <w:r>
        <w:rPr>
          <w:iCs/>
          <w:i/>
        </w:rPr>
        <w:t xml:space="preserve">and</w:t>
      </w:r>
      <w:r>
        <w:t xml:space="preserve"> </w:t>
      </w:r>
      <w:r>
        <w:t xml:space="preserve">daily maximum temperature exceeds the county-specific ninety-fifth percentile over the same reference, with both conditions holding for at least two consecutive days. Two alternative definitions are reported alongside: an absolute-threshold definition using the World Health Organization twenty-four-hour PM2.5 guideline together with a fixed heat-index threshold, and a continuous definition using the product of standardised exposure anomalies. Reporting all three is not redundancy; the concordance across definitions is itself a result, and the programme’s substantive claims are restricted to those that survive all three.</w:t>
      </w:r>
    </w:p>
    <w:p>
      <w:pPr>
        <w:pStyle w:val="BodyText"/>
      </w:pPr>
      <w:r>
        <w:rPr>
          <w:bCs/>
          <w:b/>
        </w:rPr>
        <w:t xml:space="preserve">Metrics.</w:t>
      </w:r>
      <w:r>
        <w:t xml:space="preserve"> </w:t>
      </w:r>
      <w:r>
        <w:t xml:space="preserve">Compound-exposure person-days for children under five, under fifteen, and school-age; the concentration index of compound exposure with respect to county socioeconomic rank; the ratio of observed to independence-expected compound days as a direct test of P1; and a decomposition of the change in child compound-exposure person-days between 2000 and 2023 into hazard frequency, population size, and population redistribution components.</w:t>
      </w:r>
    </w:p>
    <w:p>
      <w:pPr>
        <w:pStyle w:val="BodyText"/>
      </w:pPr>
      <w:r>
        <w:rPr>
          <w:bCs/>
          <w:b/>
        </w:rPr>
        <w:t xml:space="preserve">Statistical treatment.</w:t>
      </w:r>
      <w:r>
        <w:t xml:space="preserve"> </w:t>
      </w:r>
      <w:r>
        <w:t xml:space="preserve">Trend testing uses the Mann-Kendall statistic with a variance correction for serial and spatial dependence. Spatial structure is modelled with a Besag-York-Mollié convolution prior (Besag, York, &amp; Mollié, 1991) fitted by integrated nested Laplace approximation (Rue, Martino, &amp; Chopin, 2009), which is computationally tractable at this panel size and yields posterior uncertainty that propagates into Component E.</w:t>
      </w:r>
    </w:p>
    <w:p>
      <w:pPr>
        <w:pStyle w:val="BodyText"/>
      </w:pPr>
      <w:r>
        <w:rPr>
          <w:bCs/>
          <w:b/>
        </w:rPr>
        <w:t xml:space="preserve">Principal threat.</w:t>
      </w:r>
      <w:r>
        <w:t xml:space="preserve"> </w:t>
      </w:r>
      <w:r>
        <w:t xml:space="preserve">Exposure product artefacts. Satellite-derived surfaces are themselves model output, and their errors are spatially and temporally structured in ways that could generate spurious compound-exposure clusters.</w:t>
      </w:r>
    </w:p>
    <w:p>
      <w:pPr>
        <w:pStyle w:val="BodyText"/>
      </w:pPr>
      <w:r>
        <w:rPr>
          <w:bCs/>
          <w:b/>
        </w:rPr>
        <w:t xml:space="preserve">Diagnostic.</w:t>
      </w:r>
      <w:r>
        <w:t xml:space="preserve"> </w:t>
      </w:r>
      <w:r>
        <w:t xml:space="preserve">Agreement between the ChinaHighAirPollutants and Tracking Air Pollution products, and agreement of both with ground monitors from 2013 onward, evaluated separately by season, by urban and rural status, and by terrain. A compound-exposure cluster that appears in one product and not the other is flagged and not reported as a finding.</w:t>
      </w:r>
    </w:p>
    <w:p>
      <w:pPr>
        <w:pStyle w:val="BodyText"/>
      </w:pPr>
      <w:r>
        <w:rPr>
          <w:bCs/>
          <w:b/>
        </w:rPr>
        <w:t xml:space="preserve">Contingency.</w:t>
      </w:r>
      <w:r>
        <w:t xml:space="preserve"> </w:t>
      </w:r>
      <w:r>
        <w:t xml:space="preserve">If product disagreement is substantial in a region, that region’s estimates are reported with widened uncertainty intervals derived from the product spread rather than from within-product uncertainty alone.</w:t>
      </w:r>
    </w:p>
    <w:bookmarkEnd w:id="50"/>
    <w:bookmarkStart w:id="51" w:name="X33b8387a797520e43bd9845c63e52dc61d88b9f"/>
    <w:p>
      <w:pPr>
        <w:pStyle w:val="Heading3"/>
      </w:pPr>
      <w:r>
        <w:t xml:space="preserve">8.2 Component B. Prenatal and early-childhood compound exposure and welfare</w:t>
      </w:r>
    </w:p>
    <w:p>
      <w:pPr>
        <w:pStyle w:val="FirstParagraph"/>
      </w:pPr>
      <w:r>
        <w:rPr>
          <w:bCs/>
          <w:b/>
        </w:rPr>
        <w:t xml:space="preserve">Estimand.</w:t>
      </w:r>
      <w:r>
        <w:t xml:space="preserve"> </w:t>
      </w:r>
      <w:r>
        <w:t xml:space="preserve">The effect on birth and early childhood outcomes of an additional compound-exposure day during a specified gestational window, and specifically the additive interaction contrast between heat and pollution exposure.</w:t>
      </w:r>
    </w:p>
    <w:p>
      <w:pPr>
        <w:pStyle w:val="BodyText"/>
      </w:pPr>
      <w:r>
        <w:rPr>
          <w:bCs/>
          <w:b/>
        </w:rPr>
        <w:t xml:space="preserve">Design.</w:t>
      </w:r>
      <w:r>
        <w:t xml:space="preserve"> </w:t>
      </w:r>
      <w:r>
        <w:t xml:space="preserve">The preferred specification uses within-mother variation where multiple births to the same mother are observed, which differences out time-invariant maternal characteristics that are otherwise the dominant confounder. Where sibling structure is unavailable, the specification uses county by conception-month fixed effects together with county by year fixed effects, so that identification comes from deviations in exposure within a given county and calendar month across years, net of county-specific trends.</w:t>
      </w:r>
    </w:p>
    <w:p>
      <w:pPr>
        <w:pStyle w:val="BodyText"/>
      </w:pPr>
      <w:r>
        <w:rPr>
          <w:bCs/>
          <w:b/>
        </w:rPr>
        <w:t xml:space="preserve">Functional form.</w:t>
      </w:r>
      <w:r>
        <w:t xml:space="preserve"> </w:t>
      </w:r>
      <w:r>
        <w:t xml:space="preserve">The programme does not impose a product-term specification. The primary specification is saturated over a four-cell exposure classification, with cells defined as neither exposure high, pollution high only, heat high only, and both high. The additive interaction contrast is then the difference between the joint cell effect and the sum of the two single-exposure cell effects, estimated directly with its own standard error. For binary outcomes the relative excess risk due to interaction is computed and reported with stratum-specific effects relative to a single common reference, following the reporting recommendations of Knol and VanderWeele (2012). Continuous exposure specifications using distributed lag non-linear models (Gasparrini, Armstrong, &amp; Kenward, 2010) are reported as secondary, because they characterise the exposure-lag-response surface more richly but require stronger smoothness assumptions.</w:t>
      </w:r>
    </w:p>
    <w:p>
      <w:pPr>
        <w:pStyle w:val="BodyText"/>
      </w:pPr>
      <w:r>
        <w:rPr>
          <w:bCs/>
          <w:b/>
        </w:rPr>
        <w:t xml:space="preserve">Principal threats and diagnostics.</w:t>
      </w:r>
    </w:p>
    <w:p>
      <w:pPr>
        <w:pStyle w:val="BodyText"/>
      </w:pPr>
      <w:r>
        <w:rPr>
          <w:iCs/>
          <w:i/>
        </w:rPr>
        <w:t xml:space="preserve">Selective fertility timing.</w:t>
      </w:r>
      <w:r>
        <w:t xml:space="preserve"> </w:t>
      </w:r>
      <w:r>
        <w:t xml:space="preserve">If conception timing responds to environmental conditions, exposure windows are endogenous. Diagnostic: regress maternal characteristics observed at conception on the exposure measures; a systematic relationship indicates compositional change. Contingency: restrict to unplanned-timing subsamples where identifiable, and report bounds.</w:t>
      </w:r>
    </w:p>
    <w:p>
      <w:pPr>
        <w:pStyle w:val="BodyText"/>
      </w:pPr>
      <w:r>
        <w:rPr>
          <w:iCs/>
          <w:i/>
        </w:rPr>
        <w:t xml:space="preserve">In-utero survival selection.</w:t>
      </w:r>
      <w:r>
        <w:t xml:space="preserve"> </w:t>
      </w:r>
      <w:r>
        <w:t xml:space="preserve">Exposure that raises fetal loss selects the surviving sample on unobserved robustness, biasing live-birth outcome estimates toward zero. Diagnostic: examine the sex ratio at birth and the count of live births as outcomes; both respond to fetal culling. Contingency: report Lee-type bounds on the birth-weight effect using the estimated change in birth counts as the selection margin.</w:t>
      </w:r>
    </w:p>
    <w:p>
      <w:pPr>
        <w:pStyle w:val="BodyText"/>
      </w:pPr>
      <w:r>
        <w:rPr>
          <w:iCs/>
          <w:i/>
        </w:rPr>
        <w:t xml:space="preserve">Migration and exposure misassignment.</w:t>
      </w:r>
      <w:r>
        <w:t xml:space="preserve"> </w:t>
      </w:r>
      <w:r>
        <w:t xml:space="preserve">Diagnostic: compare estimates among households with no recorded address change against the full sample. Contingency: restrict to non-movers and report the difference.</w:t>
      </w:r>
    </w:p>
    <w:p>
      <w:pPr>
        <w:pStyle w:val="BodyText"/>
      </w:pPr>
      <w:r>
        <w:rPr>
          <w:iCs/>
          <w:i/>
        </w:rPr>
        <w:t xml:space="preserve">Exposure measurement error.</w:t>
      </w:r>
      <w:r>
        <w:t xml:space="preserve"> </w:t>
      </w:r>
      <w:r>
        <w:t xml:space="preserve">Handled in Section 9.6.</w:t>
      </w:r>
    </w:p>
    <w:p>
      <w:pPr>
        <w:pStyle w:val="BodyText"/>
      </w:pPr>
      <w:r>
        <w:rPr>
          <w:bCs/>
          <w:b/>
        </w:rPr>
        <w:t xml:space="preserve">Outcomes.</w:t>
      </w:r>
      <w:r>
        <w:t xml:space="preserve"> </w:t>
      </w:r>
      <w:r>
        <w:t xml:space="preserve">Birth weight in grams and as a binary low-birth-weight indicator, gestational age and preterm birth, small-for-gestational-age status, and, where follow-up exists, height-for-age and weight-for-age z-scores, respiratory illness episodes, and early cognitive and school-readiness measures.</w:t>
      </w:r>
    </w:p>
    <w:p>
      <w:pPr>
        <w:pStyle w:val="BodyText"/>
      </w:pPr>
      <w:r>
        <w:rPr>
          <w:bCs/>
          <w:b/>
        </w:rPr>
        <w:t xml:space="preserve">Benchmark.</w:t>
      </w:r>
      <w:r>
        <w:t xml:space="preserve"> </w:t>
      </w:r>
      <w:r>
        <w:t xml:space="preserve">The programme’s single-exposure estimates should be comparable in magnitude to the pooled meta-regression estimates of Ghosh and colleagues (2021), who report a 22 gram birth-weight reduction and eleven percent higher low-birth-weight risk per 10 microgram per cubic metre of pregnancy ambient PM2.5, and to the temperature and preterm birth estimates of Chersich and colleagues (2020), who report 1.05 times higher odds per one degree Celsius. Substantial divergence from these benchmarks is treated as a signal to re-examine exposure assignment before it is treated as a finding about China.</w:t>
      </w:r>
    </w:p>
    <w:bookmarkEnd w:id="51"/>
    <w:bookmarkStart w:id="52" w:name="X318ce62e8aa544296ee210c50c5f16393b409da"/>
    <w:p>
      <w:pPr>
        <w:pStyle w:val="Heading3"/>
      </w:pPr>
      <w:r>
        <w:t xml:space="preserve">8.3 Component C. Climate shocks, schooling, and household adaptation</w:t>
      </w:r>
    </w:p>
    <w:p>
      <w:pPr>
        <w:pStyle w:val="FirstParagraph"/>
      </w:pPr>
      <w:r>
        <w:rPr>
          <w:bCs/>
          <w:b/>
        </w:rPr>
        <w:t xml:space="preserve">Estimand.</w:t>
      </w:r>
      <w:r>
        <w:t xml:space="preserve"> </w:t>
      </w:r>
      <w:r>
        <w:t xml:space="preserve">The effect of a discrete climate shock on schooling and learning outcomes, and the share of that effect operating through household economic disruption, school disruption, and parental investment.</w:t>
      </w:r>
    </w:p>
    <w:p>
      <w:pPr>
        <w:pStyle w:val="BodyText"/>
      </w:pPr>
      <w:r>
        <w:rPr>
          <w:bCs/>
          <w:b/>
        </w:rPr>
        <w:t xml:space="preserve">Design.</w:t>
      </w:r>
      <w:r>
        <w:t xml:space="preserve"> </w:t>
      </w:r>
      <w:r>
        <w:t xml:space="preserve">Staggered event-study estimation of flood and heat-wave exposure using estimators robust to heterogeneous and dynamic treatment effects. Two-way fixed effects estimators are not used as the primary specification, because their estimand is a weighted average of group-period effects with weights that can be negative when treatment effects vary over time (Goodman-Bacon, 2021; de Chaisemartin &amp; D’Haultfoeuille, 2020), and because conventional dynamic event-study coefficients are contaminated across relative periods under cohort heterogeneity (Sun &amp; Abraham, 2021). The primary estimator is the group-time average treatment effect of Callaway and Sant’Anna (2021), with the imputation estimator of Borusyak, Jaravel, and Spiess (2024) as a robustness check. Pre-trend behaviour is reported as an estimated object with its own uncertainty, not as a visual inspection.</w:t>
      </w:r>
    </w:p>
    <w:p>
      <w:pPr>
        <w:pStyle w:val="BodyText"/>
      </w:pPr>
      <w:r>
        <w:rPr>
          <w:bCs/>
          <w:b/>
        </w:rPr>
        <w:t xml:space="preserve">Mediation.</w:t>
      </w:r>
      <w:r>
        <w:t xml:space="preserve"> </w:t>
      </w:r>
      <w:r>
        <w:t xml:space="preserve">Mediators are household income, out-of-pocket medical expenditure, educational expenditure, parental time investment, reported school closure days, and school infrastructure. Estimation follows the potential-outcomes mediation framework (Imai, Keele, &amp; Tingley, 2010; VanderWeele, 2016), with explicit sensitivity analysis over the sequential-ignorability violation parameter. The programme commits in advance to reporting mediation results as bounded mechanism evidence, not as a causal decomposition, unless the sensitivity analysis shows the qualitative conclusion is robust across the plausible range.</w:t>
      </w:r>
    </w:p>
    <w:p>
      <w:pPr>
        <w:pStyle w:val="BodyText"/>
      </w:pPr>
      <w:r>
        <w:rPr>
          <w:bCs/>
          <w:b/>
        </w:rPr>
        <w:t xml:space="preserve">Benchmarks.</w:t>
      </w:r>
      <w:r>
        <w:t xml:space="preserve"> </w:t>
      </w:r>
      <w:r>
        <w:t xml:space="preserve">For heat and learning, Park, Goodman, Hurwitz, and Smith (2020), Park, Behrer, and Goodman (2021), and Graff Zivin, Song, Tang, and Zhang (2020) provide magnitudes; the last is directly relevant since it estimates that a roughly two degree Celsius rise during the Chinese national college entrance examination lowers total scores by 0.68 percent. For floods and schooling in rural China, Chen, Zeng, Song, and Shi (2026) report schooling reductions from the 1998 floods, largest for girls and in agriculture-dependent areas, operating through household financial strain and parental migration. That paper is the closest existing comparator and its mechanism claims are the ones Component C is designed to test with direct measurement.</w:t>
      </w:r>
    </w:p>
    <w:p>
      <w:pPr>
        <w:pStyle w:val="BodyText"/>
      </w:pPr>
      <w:r>
        <w:rPr>
          <w:bCs/>
          <w:b/>
        </w:rPr>
        <w:t xml:space="preserve">Principal threat.</w:t>
      </w:r>
      <w:r>
        <w:t xml:space="preserve"> </w:t>
      </w:r>
      <w:r>
        <w:t xml:space="preserve">Shock measurement. Self-reported flood exposure is endogenous to household salience and recall; satellite-derived inundation is exogenous but coarse. Diagnostic: estimate with both and report the difference. Contingency: use satellite-derived exposure as an instrument for reported exposure where the exclusion restriction is defensible, and otherwise report both estimates without adjudicating.</w:t>
      </w:r>
    </w:p>
    <w:bookmarkEnd w:id="52"/>
    <w:bookmarkStart w:id="53" w:name="X3f55edf3f6efa650d1546ba54094a6293831734"/>
    <w:p>
      <w:pPr>
        <w:pStyle w:val="Heading3"/>
      </w:pPr>
      <w:r>
        <w:t xml:space="preserve">8.4 Component D. Comparative gradients across low- and middle-income settings</w:t>
      </w:r>
    </w:p>
    <w:p>
      <w:pPr>
        <w:pStyle w:val="FirstParagraph"/>
      </w:pPr>
      <w:r>
        <w:rPr>
          <w:bCs/>
          <w:b/>
        </w:rPr>
        <w:t xml:space="preserve">Estimand.</w:t>
      </w:r>
      <w:r>
        <w:t xml:space="preserve"> </w:t>
      </w:r>
      <w:r>
        <w:t xml:space="preserve">Country-specific exposure-response relationships for child health, nutrition, and schooling outcomes, and the extent to which institutional characteristics moderate them.</w:t>
      </w:r>
    </w:p>
    <w:p>
      <w:pPr>
        <w:pStyle w:val="BodyText"/>
      </w:pPr>
      <w:r>
        <w:rPr>
          <w:bCs/>
          <w:b/>
        </w:rPr>
        <w:t xml:space="preserve">Design.</w:t>
      </w:r>
      <w:r>
        <w:t xml:space="preserve"> </w:t>
      </w:r>
      <w:r>
        <w:t xml:space="preserve">Country-specific models are estimated first and reported first. Pooling occurs only through random-effects meta-analysis with country as the unit, and meta-regression on pre-specified institutional moderators: health-system capacity, electrification and cooling access, school infrastructure, and social-protection coverage. The programme does not report a single pooled coefficient as its headline result, because a pooled coefficient across settings with heterogeneous exposure ranges and heterogeneous adaptive capacity is not an interpretable quantity.</w:t>
      </w:r>
    </w:p>
    <w:p>
      <w:pPr>
        <w:pStyle w:val="BodyText"/>
      </w:pPr>
      <w:r>
        <w:rPr>
          <w:bCs/>
          <w:b/>
        </w:rPr>
        <w:t xml:space="preserve">Prior evidence on heterogeneity.</w:t>
      </w:r>
      <w:r>
        <w:t xml:space="preserve"> </w:t>
      </w:r>
      <w:r>
        <w:t xml:space="preserve">Dimitrova and colleagues (2024) estimate that 4.3 percent of neonatal deaths in twenty-nine low- and middle-income countries were attributable to non-optimal temperature and that climate change caused approximately 32 percent of heat-related neonatal deaths. Thiede and Gray (2020) examine climate exposures and child undernutrition in Indonesia. Randell and Gray (2019) find educational effects varying sharply across tropical regions. This existing variation is the evidence base for treating heterogeneity as the object rather than the nuisance.</w:t>
      </w:r>
    </w:p>
    <w:p>
      <w:pPr>
        <w:pStyle w:val="BodyText"/>
      </w:pPr>
      <w:r>
        <w:rPr>
          <w:bCs/>
          <w:b/>
        </w:rPr>
        <w:t xml:space="preserve">Principal threat.</w:t>
      </w:r>
      <w:r>
        <w:t xml:space="preserve"> </w:t>
      </w:r>
      <w:r>
        <w:t xml:space="preserve">Comparability of outcome measurement across surveys. Diagnostic: restrict to outcomes with identical instruments across settings, and report separately for harmonisable and non-harmonisable outcomes. Contingency: where harmonisation fails, report country-specific results without cross-country comparison and say so.</w:t>
      </w:r>
    </w:p>
    <w:bookmarkEnd w:id="53"/>
    <w:bookmarkStart w:id="54" w:name="Xd4766929043dacc722e999404d29bc6a82c7c41"/>
    <w:p>
      <w:pPr>
        <w:pStyle w:val="Heading3"/>
      </w:pPr>
      <w:r>
        <w:t xml:space="preserve">8.5 Component E. Burden accounting and distributional policy simulation</w:t>
      </w:r>
    </w:p>
    <w:p>
      <w:pPr>
        <w:pStyle w:val="FirstParagraph"/>
      </w:pPr>
      <w:r>
        <w:rPr>
          <w:bCs/>
          <w:b/>
        </w:rPr>
        <w:t xml:space="preserve">Objective.</w:t>
      </w:r>
      <w:r>
        <w:t xml:space="preserve"> </w:t>
      </w:r>
      <w:r>
        <w:t xml:space="preserve">Translate exposure-response relationships into counterfactual burden under feasible scenarios, with distributional reporting.</w:t>
      </w:r>
    </w:p>
    <w:p>
      <w:pPr>
        <w:pStyle w:val="BodyText"/>
      </w:pPr>
      <w:r>
        <w:rPr>
          <w:bCs/>
          <w:b/>
        </w:rPr>
        <w:t xml:space="preserve">Scenarios.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Definition</w:t>
            </w:r>
          </w:p>
        </w:tc>
        <w:tc>
          <w:tcPr/>
          <w:p>
            <w:pPr>
              <w:pStyle w:val="Compact"/>
              <w:jc w:val="left"/>
            </w:pPr>
            <w:r>
              <w:t xml:space="preserve">Interpretation</w:t>
            </w:r>
          </w:p>
        </w:tc>
      </w:tr>
      <w:tr>
        <w:tc>
          <w:tcPr/>
          <w:p>
            <w:pPr>
              <w:pStyle w:val="Compact"/>
              <w:jc w:val="left"/>
            </w:pPr>
            <w:r>
              <w:t xml:space="preserve">Observed</w:t>
            </w:r>
          </w:p>
        </w:tc>
        <w:tc>
          <w:tcPr/>
          <w:p>
            <w:pPr>
              <w:pStyle w:val="Compact"/>
              <w:jc w:val="left"/>
            </w:pPr>
            <w:r>
              <w:t xml:space="preserve">Estimated exposure as measured</w:t>
            </w:r>
          </w:p>
        </w:tc>
        <w:tc>
          <w:tcPr/>
          <w:p>
            <w:pPr>
              <w:pStyle w:val="Compact"/>
              <w:jc w:val="left"/>
            </w:pPr>
            <w:r>
              <w:t xml:space="preserve">Baseline</w:t>
            </w:r>
          </w:p>
        </w:tc>
      </w:tr>
      <w:tr>
        <w:tc>
          <w:tcPr/>
          <w:p>
            <w:pPr>
              <w:pStyle w:val="Compact"/>
              <w:jc w:val="left"/>
            </w:pPr>
            <w:r>
              <w:t xml:space="preserve">Feasible near-term</w:t>
            </w:r>
          </w:p>
        </w:tc>
        <w:tc>
          <w:tcPr/>
          <w:p>
            <w:pPr>
              <w:pStyle w:val="Compact"/>
              <w:jc w:val="left"/>
            </w:pPr>
            <w:r>
              <w:t xml:space="preserve">Exposure reduction equal to the observed 2013 to 2020 national trajectory extended forward</w:t>
            </w:r>
          </w:p>
        </w:tc>
        <w:tc>
          <w:tcPr/>
          <w:p>
            <w:pPr>
              <w:pStyle w:val="Compact"/>
              <w:jc w:val="left"/>
            </w:pPr>
            <w:r>
              <w:t xml:space="preserve">What has already been demonstrated as achievable</w:t>
            </w:r>
          </w:p>
        </w:tc>
      </w:tr>
      <w:tr>
        <w:tc>
          <w:tcPr/>
          <w:p>
            <w:pPr>
              <w:pStyle w:val="Compact"/>
              <w:jc w:val="left"/>
            </w:pPr>
            <w:r>
              <w:t xml:space="preserve">Ambitious</w:t>
            </w:r>
          </w:p>
        </w:tc>
        <w:tc>
          <w:tcPr/>
          <w:p>
            <w:pPr>
              <w:pStyle w:val="Compact"/>
              <w:jc w:val="left"/>
            </w:pPr>
            <w:r>
              <w:t xml:space="preserve">Reduction to the World Health Organization interim target applicable to each county</w:t>
            </w:r>
          </w:p>
        </w:tc>
        <w:tc>
          <w:tcPr/>
          <w:p>
            <w:pPr>
              <w:pStyle w:val="Compact"/>
              <w:jc w:val="left"/>
            </w:pPr>
            <w:r>
              <w:t xml:space="preserve">Policy-stretch scenario</w:t>
            </w:r>
          </w:p>
        </w:tc>
      </w:tr>
      <w:tr>
        <w:tc>
          <w:tcPr/>
          <w:p>
            <w:pPr>
              <w:pStyle w:val="Compact"/>
              <w:jc w:val="left"/>
            </w:pPr>
            <w:r>
              <w:t xml:space="preserve">Targeted equivalent</w:t>
            </w:r>
          </w:p>
        </w:tc>
        <w:tc>
          <w:tcPr/>
          <w:p>
            <w:pPr>
              <w:pStyle w:val="Compact"/>
              <w:jc w:val="left"/>
            </w:pPr>
            <w:r>
              <w:t xml:space="preserve">Reduction concentrated in high-compound-exposure, low-resource counties, calibrated to the same national mean change as the feasible scenario</w:t>
            </w:r>
          </w:p>
        </w:tc>
        <w:tc>
          <w:tcPr/>
          <w:p>
            <w:pPr>
              <w:pStyle w:val="Compact"/>
              <w:jc w:val="left"/>
            </w:pPr>
            <w:r>
              <w:t xml:space="preserve">Tests H6 by holding aggregate effort constant</w:t>
            </w:r>
          </w:p>
        </w:tc>
      </w:tr>
      <w:tr>
        <w:tc>
          <w:tcPr/>
          <w:p>
            <w:pPr>
              <w:pStyle w:val="Compact"/>
              <w:jc w:val="left"/>
            </w:pPr>
            <w:r>
              <w:t xml:space="preserve">Theoretical minimum risk</w:t>
            </w:r>
          </w:p>
        </w:tc>
        <w:tc>
          <w:tcPr/>
          <w:p>
            <w:pPr>
              <w:pStyle w:val="Compact"/>
              <w:jc w:val="left"/>
            </w:pPr>
            <w:r>
              <w:t xml:space="preserve">Exposure at the theoretical minimum risk exposure level</w:t>
            </w:r>
          </w:p>
        </w:tc>
        <w:tc>
          <w:tcPr/>
          <w:p>
            <w:pPr>
              <w:pStyle w:val="Compact"/>
              <w:jc w:val="left"/>
            </w:pPr>
            <w:r>
              <w:t xml:space="preserve">Upper bound on attributable burden, explicitly not a forecast</w:t>
            </w:r>
          </w:p>
        </w:tc>
      </w:tr>
    </w:tbl>
    <w:p>
      <w:pPr>
        <w:pStyle w:val="BodyText"/>
      </w:pPr>
      <w:r>
        <w:rPr>
          <w:bCs/>
          <w:b/>
        </w:rPr>
        <w:t xml:space="preserve">Method.</w:t>
      </w:r>
      <w:r>
        <w:t xml:space="preserve"> </w:t>
      </w:r>
      <w:r>
        <w:t xml:space="preserve">Population attributable fractions are computed from GBD 2023 risk curves for outcomes where GBD provides them, and from the programme’s own estimated exposure-response relationships for outcomes where it does not. The two sources are never mixed within a single estimate, and every reported figure is labelled with its source. Uncertainty is propagated by Monte Carlo draws from the exposure posterior produced in Component A and from the exposure-response uncertainty, jointly rather than sequentially.</w:t>
      </w:r>
    </w:p>
    <w:p>
      <w:pPr>
        <w:pStyle w:val="BodyText"/>
      </w:pPr>
      <w:r>
        <w:rPr>
          <w:bCs/>
          <w:b/>
        </w:rPr>
        <w:t xml:space="preserve">Distributional reporting.</w:t>
      </w:r>
      <w:r>
        <w:t xml:space="preserve"> </w:t>
      </w:r>
      <w:r>
        <w:t xml:space="preserve">For every scenario the programme reports total disability-adjusted life years avoided, the share accruing to each county socioeconomic quintile, and an equity-weighted summary following distributional cost-effectiveness practice (Asaria, Griffin, &amp; Cookson, 2016; Cookson et al., 2017) over a pre-specified range of inequality aversion parameters. The rationale is that the disability-adjusted life year already embeds value choices (Murray &amp; Acharya, 1997), and that making the equity weight explicit is preferable to leaving an implicit weight of zero.</w:t>
      </w:r>
    </w:p>
    <w:p>
      <w:pPr>
        <w:pStyle w:val="BodyText"/>
      </w:pPr>
      <w:r>
        <w:rPr>
          <w:bCs/>
          <w:b/>
        </w:rPr>
        <w:t xml:space="preserve">Benchmarks for calibration.</w:t>
      </w:r>
      <w:r>
        <w:t xml:space="preserve"> </w:t>
      </w:r>
      <w:r>
        <w:t xml:space="preserve">China’s clean air actions provide an unusually good natural benchmark. Zhang and colleagues (2019) attribute the 2013 to 2017 PM2.5 decline chiefly to Action Plan emission controls and estimate 0.37 million avoided PM2.5-attributable excess deaths. Xue and colleagues (2024) report a 48 percent PM2.5 decline from 2013 to 2020, a fall in attributable deaths from 1.75 million to 1.39 million, life-expectancy gains of roughly 1.87 months in the 2013 to 2017 phase and 3.94 months in the 2017 to 2020 Blue Sky phase, and narrowing geographic inequality in benefits. Huang, Pan, Guo, and Li (2018) provide an independent national monitoring and mortality analysis of the same policy. Jiang and colleagues (2022) quantify the reduced preterm birth burden over the same period, which is the child-specific benchmark. Zhao and Kim (2022) find reductions in diagnosed respiratory and circulatory chronic conditions with the largest gains among lower-income and older groups. The programme’s simulated benefits for adult outcomes should reproduce these published magnitudes; failure to do so indicates a calibration error, not a discovery.</w:t>
      </w:r>
    </w:p>
    <w:p>
      <w:r>
        <w:pict>
          <v:rect style="width:0;height:1.5pt" o:hralign="center" o:hrstd="t" o:hr="t"/>
        </w:pict>
      </w:r>
    </w:p>
    <w:bookmarkEnd w:id="54"/>
    <w:bookmarkEnd w:id="55"/>
    <w:bookmarkStart w:id="64" w:name="statistical-analysis-plan"/>
    <w:p>
      <w:pPr>
        <w:pStyle w:val="Heading2"/>
      </w:pPr>
      <w:r>
        <w:t xml:space="preserve">9. Statistical analysis plan</w:t>
      </w:r>
    </w:p>
    <w:bookmarkStart w:id="56" w:name="scale-of-interaction"/>
    <w:p>
      <w:pPr>
        <w:pStyle w:val="Heading3"/>
      </w:pPr>
      <w:r>
        <w:t xml:space="preserve">9.1 Scale of interaction</w:t>
      </w:r>
    </w:p>
    <w:p>
      <w:pPr>
        <w:pStyle w:val="FirstParagraph"/>
      </w:pPr>
      <w:r>
        <w:t xml:space="preserve">The choice between additive and multiplicative interaction is not a technicality. Public health decisions concern the number of cases prevented, which is an additive-scale quantity; multiplicative-scale interaction can be absent while additive-scale interaction is large, and vice versa. The programme therefore reports additive-scale interaction as primary for all binary outcomes, using the relative excess risk due to interaction with confidence intervals, alongside stratum-specific effects relative to a single common reference category, following Knol and VanderWeele (2012). Multiplicative-scale interaction is reported as secondary and labelled as such. For continuous outcomes the additive contrast is the natural quantity and is reported directly from the saturated cell specification.</w:t>
      </w:r>
    </w:p>
    <w:bookmarkEnd w:id="56"/>
    <w:bookmarkStart w:id="57" w:name="non-linearity-and-lag-structure"/>
    <w:p>
      <w:pPr>
        <w:pStyle w:val="Heading3"/>
      </w:pPr>
      <w:r>
        <w:t xml:space="preserve">9.2 Non-linearity and lag structure</w:t>
      </w:r>
    </w:p>
    <w:p>
      <w:pPr>
        <w:pStyle w:val="FirstParagraph"/>
      </w:pPr>
      <w:r>
        <w:t xml:space="preserve">Exposure-response relationships in this domain are non-linear and delayed. The primary flexible specification is the distributed lag non-linear model (Gasparrini, Armstrong, &amp; Kenward, 2010), which represents the exposure-lag-response surface with a cross-basis. Lag windows are pre-specified: zero to seven days for acute morbidity outcomes, trimester-specific windows for birth outcomes, and school-term cumulative windows for learning outcomes. Knot placement is pre-specified at exposure percentiles rather than chosen by fit, and sensitivity to knot placement is reported. Case-crossover designs (Maclure, 1991) are used for acute outcomes where the exposure is transient and the outcome is an abrupt event, because self-matching removes all time-invariant individual confounding by construction.</w:t>
      </w:r>
    </w:p>
    <w:bookmarkEnd w:id="57"/>
    <w:bookmarkStart w:id="58" w:name="heterogeneity-and-multiplicity"/>
    <w:p>
      <w:pPr>
        <w:pStyle w:val="Heading3"/>
      </w:pPr>
      <w:r>
        <w:t xml:space="preserve">9.3 Heterogeneity and multiplicity</w:t>
      </w:r>
    </w:p>
    <w:p>
      <w:pPr>
        <w:pStyle w:val="FirstParagraph"/>
      </w:pPr>
      <w:r>
        <w:t xml:space="preserve">Heterogeneity is examined along a pre-specified list: maternal and parental education, household income or asset index, rural and urban residence, migrant and hukou status, housing quality, distance to health facility, school air conditioning and filtration, child sex, and birth order. The list is fixed in advance and registered. Because it generates a large number of tests across multiple outcome families, inference uses sharpened two-stage false-discovery-rate q-values within outcome families and summary indices across families (Anderson, 2008). Subgroup results that do not survive correction are reported as exploratory and are not described as findings.</w:t>
      </w:r>
    </w:p>
    <w:bookmarkEnd w:id="58"/>
    <w:bookmarkStart w:id="59" w:name="mediation"/>
    <w:p>
      <w:pPr>
        <w:pStyle w:val="Heading3"/>
      </w:pPr>
      <w:r>
        <w:t xml:space="preserve">9.4 Mediation</w:t>
      </w:r>
    </w:p>
    <w:p>
      <w:pPr>
        <w:pStyle w:val="FirstParagraph"/>
      </w:pPr>
      <w:r>
        <w:t xml:space="preserve">Mediation follows the potential-outcomes framework (Imai, Keele, &amp; Tingley, 2010; VanderWeele, 2016). Two commitments constrain its use. First, no mediator that is plausibly affected by the exposure and also affects other mediators is treated as if sequential ignorability held without sensitivity analysis. Second, mediators measured after the outcome window are never included, because controlling for post-treatment variables induces collider bias that can reverse the sign of the direct effect. The programme reports the sensitivity parameter at which the mediated share would fall to zero, and interprets accordingly.</w:t>
      </w:r>
    </w:p>
    <w:bookmarkEnd w:id="59"/>
    <w:bookmarkStart w:id="60" w:name="spatial-dependence"/>
    <w:p>
      <w:pPr>
        <w:pStyle w:val="Heading3"/>
      </w:pPr>
      <w:r>
        <w:t xml:space="preserve">9.5 Spatial dependence</w:t>
      </w:r>
    </w:p>
    <w:p>
      <w:pPr>
        <w:pStyle w:val="FirstParagraph"/>
      </w:pPr>
      <w:r>
        <w:t xml:space="preserve">Neighbouring counties share exposure, meteorology, and unobserved policy environments. Independence across units is therefore false by construction, and ignoring it produces standard errors that are too small and, where the spatial process is correlated with the exposure, point estimates that are biased. The programme uses conditional autoregressive specifications with a Besag-York-Mollié convolution structure (Besag, York, &amp; Mollié, 1991), fitted by integrated nested Laplace approximation (Rue, Martino, &amp; Chopin, 2009), and reports spatially clustered standard errors under alternative distance cutoffs as a robustness check.</w:t>
      </w:r>
    </w:p>
    <w:bookmarkEnd w:id="60"/>
    <w:bookmarkStart w:id="61" w:name="exposure-measurement-error"/>
    <w:p>
      <w:pPr>
        <w:pStyle w:val="Heading3"/>
      </w:pPr>
      <w:r>
        <w:t xml:space="preserve">9.6 Exposure measurement error</w:t>
      </w:r>
    </w:p>
    <w:p>
      <w:pPr>
        <w:pStyle w:val="FirstParagraph"/>
      </w:pPr>
      <w:r>
        <w:t xml:space="preserve">Satellite-derived exposure surfaces are model outputs and carry error that is neither classical nor independent of covariates. The programme addresses this in three ways. First, it uses two independent products for China and treats them as repeated measures of a latent true exposure, which permits a two-proxy correction under the assumption that their errors are conditionally independent. Second, where ground monitors are available from 2013 onward, it estimates the error structure directly on the monitored subsample and applies simulation-extrapolation to the full sample. Third, it uses the per-pixel uncertainty published with the global product (van Donkelaar et al., 2021) to propagate exposure uncertainty into the outcome models rather than treating exposure as known.</w:t>
      </w:r>
    </w:p>
    <w:p>
      <w:pPr>
        <w:pStyle w:val="BodyText"/>
      </w:pPr>
      <w:r>
        <w:t xml:space="preserve">The reason this matters more here than in single-exposure work is specific and worth stating: when the estimand is an interaction between two error-prone exposures, the attenuation is compounded, and an interaction that exists in truth can be undetectable in an uncorrected analysis. A null interaction result from an uncorrected analysis is therefore uninformative, which is why H2’s rejection condition in Section 6 applies to the corrected estimates.</w:t>
      </w:r>
    </w:p>
    <w:bookmarkEnd w:id="61"/>
    <w:bookmarkStart w:id="62" w:name="multi-pollutant-treatment"/>
    <w:p>
      <w:pPr>
        <w:pStyle w:val="Heading3"/>
      </w:pPr>
      <w:r>
        <w:t xml:space="preserve">9.7 Multi-pollutant treatment</w:t>
      </w:r>
    </w:p>
    <w:p>
      <w:pPr>
        <w:pStyle w:val="FirstParagraph"/>
      </w:pPr>
      <w:r>
        <w:t xml:space="preserve">Where more than two exposures are considered jointly, the programme uses mixture methods rather than adding correlated terms to a linear model: weighted quantile sum regression (Carrico, Gennings, Wheeler, &amp; Factor-Litvak, 2015), Bayesian kernel machine regression (Bobb et al., 2015), and quantile-based g-computation (Keil et al., 2020). These are used descriptively and for mixture-level summaries, not as substitutes for the pre-specified two-exposure interaction analysis, because their outputs answer a different question and are not directly comparable to an additive interaction contrast.</w:t>
      </w:r>
    </w:p>
    <w:bookmarkEnd w:id="62"/>
    <w:bookmarkStart w:id="63" w:name="pre-specification-and-reproducibility"/>
    <w:p>
      <w:pPr>
        <w:pStyle w:val="Heading3"/>
      </w:pPr>
      <w:r>
        <w:t xml:space="preserve">9.8 Pre-specification and reproducibility</w:t>
      </w:r>
    </w:p>
    <w:p>
      <w:pPr>
        <w:pStyle w:val="FirstParagraph"/>
      </w:pPr>
      <w:r>
        <w:t xml:space="preserve">Each component’s analysis plan is registered before outcome data are accessed, including the primary outcome, the primary specification, the heterogeneity list, and the multiplicity correction. Deviations are reported as deviations. Analysis code is version-controlled and released with the associated publication. Where data cannot be released, a synthetic dataset with matched structure is released so that the code is executable. This is a direct response to the reproducibility critique that has been levelled at burden estimation (Byass et al., 2013; Husøy, Stovner, &amp; Steiner, 2025), and the programme applies the standard to itself rather than only to others.</w:t>
      </w:r>
    </w:p>
    <w:p>
      <w:r>
        <w:pict>
          <v:rect style="width:0;height:1.5pt" o:hralign="center" o:hrstd="t" o:hr="t"/>
        </w:pict>
      </w:r>
    </w:p>
    <w:bookmarkEnd w:id="63"/>
    <w:bookmarkEnd w:id="64"/>
    <w:bookmarkStart w:id="67" w:name="the-attribution-and-causation-boundary"/>
    <w:p>
      <w:pPr>
        <w:pStyle w:val="Heading2"/>
      </w:pPr>
      <w:r>
        <w:t xml:space="preserve">10. The attribution and causation boundary</w:t>
      </w:r>
    </w:p>
    <w:bookmarkStart w:id="65" w:name="the-rule"/>
    <w:p>
      <w:pPr>
        <w:pStyle w:val="Heading3"/>
      </w:pPr>
      <w:r>
        <w:t xml:space="preserve">10.1 The rule</w:t>
      </w:r>
    </w:p>
    <w:p>
      <w:pPr>
        <w:pStyle w:val="FirstParagraph"/>
      </w:pPr>
      <w:r>
        <w:t xml:space="preserve">Comparative risk assessment outputs answer the question: given an assumed exposure-response relationship and an observed exposure distribution, how much of the observed burden is statistically attributable to that exposure? Quasi-experimental designs answer a different question: for a given population, what would have happened to a specific outcome had exposure been different, holding all else at its realised value? These are not the same quantity, and the difference is not a matter of precision.</w:t>
      </w:r>
    </w:p>
    <w:p>
      <w:pPr>
        <w:pStyle w:val="BodyText"/>
      </w:pPr>
      <w:r>
        <w:t xml:space="preserve">The programme therefore adopts a single operative rule:</w:t>
      </w:r>
      <w:r>
        <w:t xml:space="preserve"> </w:t>
      </w:r>
      <w:r>
        <w:rPr>
          <w:bCs/>
          <w:b/>
        </w:rPr>
        <w:t xml:space="preserve">a population attributable fraction is never described as a causal effect, and a causal estimate is never generalised to a population without an explicit transportability argument.</w:t>
      </w:r>
      <w:r>
        <w:t xml:space="preserve"> </w:t>
      </w:r>
      <w:r>
        <w:t xml:space="preserve">Three consequences follow.</w:t>
      </w:r>
    </w:p>
    <w:p>
      <w:pPr>
        <w:pStyle w:val="BodyText"/>
      </w:pPr>
      <w:r>
        <w:t xml:space="preserve">First, every reported burden figure carries a label identifying whether its exposure-response input came from GBD or from the programme’s own estimation. Second, where the two disagree, the disagreement is reported and its likely source diagnosed, most plausibly differences in the population over which the relationship was estimated, in the exposure range, or in the degree of confounding adjustment. Third, the theoretical minimum risk exposure benchmark is always presented as an upper bound on attributable burden and never as a policy target or a forecast, because reaching it is not a feasible counterfactual in any relevant time horizon.</w:t>
      </w:r>
    </w:p>
    <w:bookmarkEnd w:id="65"/>
    <w:bookmarkStart w:id="66" w:name="why-this-discipline-is-worth-the-cost"/>
    <w:p>
      <w:pPr>
        <w:pStyle w:val="Heading3"/>
      </w:pPr>
      <w:r>
        <w:t xml:space="preserve">10.2 Why this discipline is worth the cost</w:t>
      </w:r>
    </w:p>
    <w:p>
      <w:pPr>
        <w:pStyle w:val="FirstParagraph"/>
      </w:pPr>
      <w:r>
        <w:t xml:space="preserve">Adopting this rule makes some attractive claims unavailable. It is nonetheless the right constraint, for reasons that the GBD literature itself supplies. The framework’s own architects document its design choices and limitations (Murray, 2022). Independent critiques identify covariate-driven imputation where primary data are sparse (Byass et al., 2013), a heterogeneity adjustment that may systematically understate established relationships (Glenn et al., 2023), and a growing volume of secondary analyses that present modelled output as observed data (Husøy, Stovner, &amp; Steiner, 2025). Bhutta (2025) raises accuracy and external validity concerns as subnational scope expands. The methodological machinery is itself explicit that risk-outcome pairs carry graded evidence strength (Zheng et al., 2022), which is an invitation to treat some attributions as much weaker than others rather than as uniformly authoritative.</w:t>
      </w:r>
    </w:p>
    <w:p>
      <w:pPr>
        <w:pStyle w:val="BodyText"/>
      </w:pPr>
      <w:r>
        <w:t xml:space="preserve">A programme that uses GBD heavily and criticises it credibly must apply the same standard to its own outputs. Section 9.8 does so.</w:t>
      </w:r>
    </w:p>
    <w:p>
      <w:r>
        <w:pict>
          <v:rect style="width:0;height:1.5pt" o:hralign="center" o:hrstd="t" o:hr="t"/>
        </w:pict>
      </w:r>
    </w:p>
    <w:bookmarkEnd w:id="66"/>
    <w:bookmarkEnd w:id="67"/>
    <w:bookmarkStart w:id="71" w:name="welfare-measurement"/>
    <w:p>
      <w:pPr>
        <w:pStyle w:val="Heading2"/>
      </w:pPr>
      <w:r>
        <w:t xml:space="preserve">11. Welfare measurement</w:t>
      </w:r>
    </w:p>
    <w:bookmarkStart w:id="68" w:name="six-domains-kept-separate"/>
    <w:p>
      <w:pPr>
        <w:pStyle w:val="Heading3"/>
      </w:pPr>
      <w:r>
        <w:t xml:space="preserve">11.1 Six domains, kept separate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Constructs</w:t>
            </w:r>
          </w:p>
        </w:tc>
        <w:tc>
          <w:tcPr/>
          <w:p>
            <w:pPr>
              <w:pStyle w:val="Compact"/>
              <w:jc w:val="left"/>
            </w:pPr>
            <w:r>
              <w:t xml:space="preserve">Instruments and sources</w:t>
            </w:r>
          </w:p>
        </w:tc>
      </w:tr>
      <w:tr>
        <w:tc>
          <w:tcPr/>
          <w:p>
            <w:pPr>
              <w:pStyle w:val="Compact"/>
              <w:jc w:val="left"/>
            </w:pPr>
            <w:r>
              <w:t xml:space="preserve">Survival and physical health</w:t>
            </w:r>
          </w:p>
        </w:tc>
        <w:tc>
          <w:tcPr/>
          <w:p>
            <w:pPr>
              <w:pStyle w:val="Compact"/>
              <w:jc w:val="left"/>
            </w:pPr>
            <w:r>
              <w:t xml:space="preserve">Neonatal and infant mortality, birth weight, gestational age, respiratory morbidity episodes</w:t>
            </w:r>
          </w:p>
        </w:tc>
        <w:tc>
          <w:tcPr/>
          <w:p>
            <w:pPr>
              <w:pStyle w:val="Compact"/>
              <w:jc w:val="left"/>
            </w:pPr>
            <w:r>
              <w:t xml:space="preserve">Birth and death registration, DHS and MICS mortality histories, survey morbidity modules</w:t>
            </w:r>
          </w:p>
        </w:tc>
      </w:tr>
      <w:tr>
        <w:tc>
          <w:tcPr/>
          <w:p>
            <w:pPr>
              <w:pStyle w:val="Compact"/>
              <w:jc w:val="left"/>
            </w:pPr>
            <w:r>
              <w:t xml:space="preserve">Nutrition and growth</w:t>
            </w:r>
          </w:p>
        </w:tc>
        <w:tc>
          <w:tcPr/>
          <w:p>
            <w:pPr>
              <w:pStyle w:val="Compact"/>
              <w:jc w:val="left"/>
            </w:pPr>
            <w:r>
              <w:t xml:space="preserve">Height-for-age, weight-for-age, weight-for-height z-scores, stunting and wasting</w:t>
            </w:r>
          </w:p>
        </w:tc>
        <w:tc>
          <w:tcPr/>
          <w:p>
            <w:pPr>
              <w:pStyle w:val="Compact"/>
              <w:jc w:val="left"/>
            </w:pPr>
            <w:r>
              <w:t xml:space="preserve">Anthropometry in CHNS, DHS, MICS, Young Lives</w:t>
            </w:r>
          </w:p>
        </w:tc>
      </w:tr>
      <w:tr>
        <w:tc>
          <w:tcPr/>
          <w:p>
            <w:pPr>
              <w:pStyle w:val="Compact"/>
              <w:jc w:val="left"/>
            </w:pPr>
            <w:r>
              <w:t xml:space="preserve">Cognitive development</w:t>
            </w:r>
          </w:p>
        </w:tc>
        <w:tc>
          <w:tcPr/>
          <w:p>
            <w:pPr>
              <w:pStyle w:val="Compact"/>
              <w:jc w:val="left"/>
            </w:pPr>
            <w:r>
              <w:t xml:space="preserve">Vocabulary, mathematics, executive function where measured</w:t>
            </w:r>
          </w:p>
        </w:tc>
        <w:tc>
          <w:tcPr/>
          <w:p>
            <w:pPr>
              <w:pStyle w:val="Compact"/>
              <w:jc w:val="left"/>
            </w:pPr>
            <w:r>
              <w:t xml:space="preserve">CFPS cognitive modules, Young Lives assessments, school assessments</w:t>
            </w:r>
          </w:p>
        </w:tc>
      </w:tr>
      <w:tr>
        <w:tc>
          <w:tcPr/>
          <w:p>
            <w:pPr>
              <w:pStyle w:val="Compact"/>
              <w:jc w:val="left"/>
            </w:pPr>
            <w:r>
              <w:t xml:space="preserve">Education</w:t>
            </w:r>
          </w:p>
        </w:tc>
        <w:tc>
          <w:tcPr/>
          <w:p>
            <w:pPr>
              <w:pStyle w:val="Compact"/>
              <w:jc w:val="left"/>
            </w:pPr>
            <w:r>
              <w:t xml:space="preserve">Enrolment, attendance, grade progression, achievement</w:t>
            </w:r>
          </w:p>
        </w:tc>
        <w:tc>
          <w:tcPr/>
          <w:p>
            <w:pPr>
              <w:pStyle w:val="Compact"/>
              <w:jc w:val="left"/>
            </w:pPr>
            <w:r>
              <w:t xml:space="preserve">CEPS, school administrative records, Young Lives</w:t>
            </w:r>
          </w:p>
        </w:tc>
      </w:tr>
      <w:tr>
        <w:tc>
          <w:tcPr/>
          <w:p>
            <w:pPr>
              <w:pStyle w:val="Compact"/>
              <w:jc w:val="left"/>
            </w:pPr>
            <w:r>
              <w:t xml:space="preserve">Psychosocial wellbeing</w:t>
            </w:r>
          </w:p>
        </w:tc>
        <w:tc>
          <w:tcPr/>
          <w:p>
            <w:pPr>
              <w:pStyle w:val="Compact"/>
              <w:jc w:val="left"/>
            </w:pPr>
            <w:r>
              <w:t xml:space="preserve">Internalising and externalising symptoms, subjective wellbeing</w:t>
            </w:r>
          </w:p>
        </w:tc>
        <w:tc>
          <w:tcPr/>
          <w:p>
            <w:pPr>
              <w:pStyle w:val="Compact"/>
              <w:jc w:val="left"/>
            </w:pPr>
            <w:r>
              <w:t xml:space="preserve">Where validated instruments exist; otherwise reported as unmeasured</w:t>
            </w:r>
          </w:p>
        </w:tc>
      </w:tr>
      <w:tr>
        <w:tc>
          <w:tcPr/>
          <w:p>
            <w:pPr>
              <w:pStyle w:val="Compact"/>
              <w:jc w:val="left"/>
            </w:pPr>
            <w:r>
              <w:t xml:space="preserve">Household economic position</w:t>
            </w:r>
          </w:p>
        </w:tc>
        <w:tc>
          <w:tcPr/>
          <w:p>
            <w:pPr>
              <w:pStyle w:val="Compact"/>
              <w:jc w:val="left"/>
            </w:pPr>
            <w:r>
              <w:t xml:space="preserve">Income, consumption, out-of-pocket medical and educational expenditure</w:t>
            </w:r>
          </w:p>
        </w:tc>
        <w:tc>
          <w:tcPr/>
          <w:p>
            <w:pPr>
              <w:pStyle w:val="Compact"/>
              <w:jc w:val="left"/>
            </w:pPr>
            <w:r>
              <w:t xml:space="preserve">CFPS, DHS wealth modules, IHDS</w:t>
            </w:r>
          </w:p>
        </w:tc>
      </w:tr>
    </w:tbl>
    <w:bookmarkEnd w:id="68"/>
    <w:bookmarkStart w:id="69" w:name="why-not-a-single-index"/>
    <w:p>
      <w:pPr>
        <w:pStyle w:val="Heading3"/>
      </w:pPr>
      <w:r>
        <w:t xml:space="preserve">11.2 Why not a single index</w:t>
      </w:r>
    </w:p>
    <w:p>
      <w:pPr>
        <w:pStyle w:val="FirstParagraph"/>
      </w:pPr>
      <w:r>
        <w:t xml:space="preserve">The capability framing (Sen, 2005) treats welfare as a vector of achievable functionings, and there is no evidence-based procedure for reducing that vector to a scalar without importing a weighting scheme that the data do not contain. Two further considerations reinforce this. First, the programme’s central question is distributional; an index that averages across domains can show no change while a large loss in one domain is offset by a gain in another, which is precisely the pattern that compound exposure with household compensation would produce. Second, domains respond to different mechanisms at different lags, and averaging them destroys the temporal structure the programme needs.</w:t>
      </w:r>
    </w:p>
    <w:p>
      <w:pPr>
        <w:pStyle w:val="BodyText"/>
      </w:pPr>
      <w:r>
        <w:t xml:space="preserve">Where a composite is required for communication, the programme uses counting-based multidimensional measurement (Alkire &amp; Foster, 2011), which is decomposable by subgroup and by indicator, so that any headline number can be unpacked into its sources. The composite is always reported alongside the domain-specific results, never instead of them.</w:t>
      </w:r>
    </w:p>
    <w:bookmarkEnd w:id="69"/>
    <w:bookmarkStart w:id="70" w:name="X39908370db702c13a134bc5a74e8d06662a0799"/>
    <w:p>
      <w:pPr>
        <w:pStyle w:val="Heading3"/>
      </w:pPr>
      <w:r>
        <w:t xml:space="preserve">11.3 Measuring adaptive capacity rather than inferring it</w:t>
      </w:r>
    </w:p>
    <w:p>
      <w:pPr>
        <w:pStyle w:val="FirstParagraph"/>
      </w:pPr>
      <w:r>
        <w:t xml:space="preserve">The programme treats the three adaptive channels as measured constructs.</w:t>
      </w:r>
    </w:p>
    <w:p>
      <w:pPr>
        <w:pStyle w:val="BodyText"/>
      </w:pPr>
      <w:r>
        <w:rPr>
          <w:iCs/>
          <w:i/>
        </w:rPr>
        <w:t xml:space="preserve">Avoidance</w:t>
      </w:r>
      <w:r>
        <w:t xml:space="preserve"> </w:t>
      </w:r>
      <w:r>
        <w:t xml:space="preserve">is measured by ownership and use of air purifiers, air conditioning, and mechanical ventilation; by reported reduction in outdoor activity on high-pollution or high-heat days; and by mask use where recorded. The behavioural literature warns that avoidance is neither uniformly affordable nor durable across consecutive high-exposure days (Ito &amp; Zhang, 2020; Graff Zivin &amp; Neidell, 2009), so the programme measures both stock and use, not stock alone.</w:t>
      </w:r>
    </w:p>
    <w:p>
      <w:pPr>
        <w:pStyle w:val="BodyText"/>
      </w:pPr>
      <w:r>
        <w:rPr>
          <w:iCs/>
          <w:i/>
        </w:rPr>
        <w:t xml:space="preserve">Compensation</w:t>
      </w:r>
      <w:r>
        <w:t xml:space="preserve"> </w:t>
      </w:r>
      <w:r>
        <w:t xml:space="preserve">is measured by out-of-pocket medical expenditure, care-seeking, changes in educational expenditure and parental time investment following an exposure episode, and, where panel structure permits, by within-household reallocation across siblings. The theoretical ambiguity of parental response direction (Almond &amp; Mazumder, 2013; Bharadwaj, Eberhard, &amp; Neilson, 2018) means that sign as well as magnitude is an empirical question.</w:t>
      </w:r>
    </w:p>
    <w:p>
      <w:pPr>
        <w:pStyle w:val="BodyText"/>
      </w:pPr>
      <w:r>
        <w:rPr>
          <w:iCs/>
          <w:i/>
        </w:rPr>
        <w:t xml:space="preserve">Institutional substitution</w:t>
      </w:r>
      <w:r>
        <w:t xml:space="preserve"> </w:t>
      </w:r>
      <w:r>
        <w:t xml:space="preserve">is measured by school-level air conditioning and filtration, school closure policy, distance and travel time to health facilities, insurance coverage, and social-protection programme presence. The evidence that these can be decisive (Park et al., 2020; Gilraine, 2025; Garg, Jagnani, &amp; Taraz, 2020) makes them the channel with the clearest policy lever, and therefore the one whose measurement most needs to be primary rather than incidental.</w:t>
      </w:r>
    </w:p>
    <w:p>
      <w:r>
        <w:pict>
          <v:rect style="width:0;height:1.5pt" o:hralign="center" o:hrstd="t" o:hr="t"/>
        </w:pict>
      </w:r>
    </w:p>
    <w:bookmarkEnd w:id="70"/>
    <w:bookmarkEnd w:id="71"/>
    <w:bookmarkStart w:id="74" w:name="comparative-logic-and-scope-conditions"/>
    <w:p>
      <w:pPr>
        <w:pStyle w:val="Heading2"/>
      </w:pPr>
      <w:r>
        <w:t xml:space="preserve">12. Comparative logic and scope conditions</w:t>
      </w:r>
    </w:p>
    <w:bookmarkStart w:id="72" w:name="what-china-anchors-and-what-it-cannot"/>
    <w:p>
      <w:pPr>
        <w:pStyle w:val="Heading3"/>
      </w:pPr>
      <w:r>
        <w:t xml:space="preserve">12.1 What China anchors and what it cannot</w:t>
      </w:r>
    </w:p>
    <w:p>
      <w:pPr>
        <w:pStyle w:val="FirstParagraph"/>
      </w:pPr>
      <w:r>
        <w:t xml:space="preserve">China is the anchor because it offers, simultaneously, high-resolution long-run exposure surfaces, dense ground monitoring since 2013, administrative birth records, and multiple nationally representative longitudinal surveys. Few settings combine all four. That combination supports the fine-grained interaction estimation the programme requires.</w:t>
      </w:r>
    </w:p>
    <w:p>
      <w:pPr>
        <w:pStyle w:val="BodyText"/>
      </w:pPr>
      <w:r>
        <w:t xml:space="preserve">China is also atypical in ways that bound generalisation. Its recent exposure trajectory is one of unusually rapid improvement driven by centrally coordinated policy (Zhang et al., 2019; Xue et al., 2024), which is not the counterfactual most low- and middle-income settings face. Its household registration system structures residential sorting and service access in ways that have no direct analogue elsewhere, though its stratifying function has been analysed as analogous to other ascriptive systems (Schoolman &amp; Ma, 2012; Tan et al., 2024). Its school system is comparatively well resourced relative to income level. Each of these is a scope condition, and each is entered into Component D’s meta-regression as an explicit moderator rather than left as an unstated caveat.</w:t>
      </w:r>
    </w:p>
    <w:bookmarkEnd w:id="72"/>
    <w:bookmarkStart w:id="73" w:name="what-generalisation-means-here"/>
    <w:p>
      <w:pPr>
        <w:pStyle w:val="Heading3"/>
      </w:pPr>
      <w:r>
        <w:t xml:space="preserve">12.2 What generalisation means here</w:t>
      </w:r>
    </w:p>
    <w:p>
      <w:pPr>
        <w:pStyle w:val="FirstParagraph"/>
      </w:pPr>
      <w:r>
        <w:t xml:space="preserve">The programme does not claim that a Chinese coefficient transfers. It claims that a</w:t>
      </w:r>
      <w:r>
        <w:t xml:space="preserve"> </w:t>
      </w:r>
      <w:r>
        <w:rPr>
          <w:iCs/>
          <w:i/>
        </w:rPr>
        <w:t xml:space="preserve">mechanism</w:t>
      </w:r>
      <w:r>
        <w:t xml:space="preserve"> </w:t>
      </w:r>
      <w:r>
        <w:t xml:space="preserve">may transfer while its magnitude does not, and it specifies what would count as evidence for and against.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 of generalisation</w:t>
            </w:r>
          </w:p>
        </w:tc>
        <w:tc>
          <w:tcPr/>
          <w:p>
            <w:pPr>
              <w:pStyle w:val="Compact"/>
              <w:jc w:val="left"/>
            </w:pPr>
            <w:r>
              <w:t xml:space="preserve">Claim</w:t>
            </w:r>
          </w:p>
        </w:tc>
        <w:tc>
          <w:tcPr/>
          <w:p>
            <w:pPr>
              <w:pStyle w:val="Compact"/>
              <w:jc w:val="left"/>
            </w:pPr>
            <w:r>
              <w:t xml:space="preserve">Evidence that would support it</w:t>
            </w:r>
          </w:p>
        </w:tc>
        <w:tc>
          <w:tcPr/>
          <w:p>
            <w:pPr>
              <w:pStyle w:val="Compact"/>
              <w:jc w:val="left"/>
            </w:pPr>
            <w:r>
              <w:t xml:space="preserve">Evidence that would refute it</w:t>
            </w:r>
          </w:p>
        </w:tc>
      </w:tr>
      <w:tr>
        <w:tc>
          <w:tcPr/>
          <w:p>
            <w:pPr>
              <w:pStyle w:val="Compact"/>
              <w:jc w:val="left"/>
            </w:pPr>
            <w:r>
              <w:t xml:space="preserve">Structural</w:t>
            </w:r>
          </w:p>
        </w:tc>
        <w:tc>
          <w:tcPr/>
          <w:p>
            <w:pPr>
              <w:pStyle w:val="Compact"/>
              <w:jc w:val="left"/>
            </w:pPr>
            <w:r>
              <w:t xml:space="preserve">Compound exposure is unequally distributed with respect to child socioeconomic position</w:t>
            </w:r>
          </w:p>
        </w:tc>
        <w:tc>
          <w:tcPr/>
          <w:p>
            <w:pPr>
              <w:pStyle w:val="Compact"/>
              <w:jc w:val="left"/>
            </w:pPr>
            <w:r>
              <w:t xml:space="preserve">Concentration indices of the same sign across settings</w:t>
            </w:r>
          </w:p>
        </w:tc>
        <w:tc>
          <w:tcPr/>
          <w:p>
            <w:pPr>
              <w:pStyle w:val="Compact"/>
              <w:jc w:val="left"/>
            </w:pPr>
            <w:r>
              <w:t xml:space="preserve">Sign reversal, or indices indistinguishable from zero outside China</w:t>
            </w:r>
          </w:p>
        </w:tc>
      </w:tr>
      <w:tr>
        <w:tc>
          <w:tcPr/>
          <w:p>
            <w:pPr>
              <w:pStyle w:val="Compact"/>
              <w:jc w:val="left"/>
            </w:pPr>
            <w:r>
              <w:t xml:space="preserve">Functional</w:t>
            </w:r>
          </w:p>
        </w:tc>
        <w:tc>
          <w:tcPr/>
          <w:p>
            <w:pPr>
              <w:pStyle w:val="Compact"/>
              <w:jc w:val="left"/>
            </w:pPr>
            <w:r>
              <w:t xml:space="preserve">Joint exposure produces super-additive welfare loss</w:t>
            </w:r>
          </w:p>
        </w:tc>
        <w:tc>
          <w:tcPr/>
          <w:p>
            <w:pPr>
              <w:pStyle w:val="Compact"/>
              <w:jc w:val="left"/>
            </w:pPr>
            <w:r>
              <w:t xml:space="preserve">Positive additive interaction contrasts across settings, magnitudes varying</w:t>
            </w:r>
          </w:p>
        </w:tc>
        <w:tc>
          <w:tcPr/>
          <w:p>
            <w:pPr>
              <w:pStyle w:val="Compact"/>
              <w:jc w:val="left"/>
            </w:pPr>
            <w:r>
              <w:t xml:space="preserve">Additivity not rejected outside China with adequate power</w:t>
            </w:r>
          </w:p>
        </w:tc>
      </w:tr>
      <w:tr>
        <w:tc>
          <w:tcPr/>
          <w:p>
            <w:pPr>
              <w:pStyle w:val="Compact"/>
              <w:jc w:val="left"/>
            </w:pPr>
            <w:r>
              <w:t xml:space="preserve">Moderating</w:t>
            </w:r>
          </w:p>
        </w:tc>
        <w:tc>
          <w:tcPr/>
          <w:p>
            <w:pPr>
              <w:pStyle w:val="Compact"/>
              <w:jc w:val="left"/>
            </w:pPr>
            <w:r>
              <w:t xml:space="preserve">Adaptive capacity attenuates the interaction</w:t>
            </w:r>
          </w:p>
        </w:tc>
        <w:tc>
          <w:tcPr/>
          <w:p>
            <w:pPr>
              <w:pStyle w:val="Compact"/>
              <w:jc w:val="left"/>
            </w:pPr>
            <w:r>
              <w:t xml:space="preserve">Meta-regression coefficient on institutional moderators of expected sign</w:t>
            </w:r>
          </w:p>
        </w:tc>
        <w:tc>
          <w:tcPr/>
          <w:p>
            <w:pPr>
              <w:pStyle w:val="Compact"/>
              <w:jc w:val="left"/>
            </w:pPr>
            <w:r>
              <w:t xml:space="preserve">No moderation, implying the interaction is biological and policy-inelastic</w:t>
            </w:r>
          </w:p>
        </w:tc>
      </w:tr>
    </w:tbl>
    <w:p>
      <w:pPr>
        <w:pStyle w:val="BodyText"/>
      </w:pPr>
      <w:r>
        <w:t xml:space="preserve">The third row is where the programme’s policy value is concentrated. If the interaction exists but is unmoderated by adaptive capacity, the implication is that only exposure reduction works and that household-level and school-level intervention is futile. That is a consequential negative finding and the programme is designed to be able to report it.</w:t>
      </w:r>
    </w:p>
    <w:p>
      <w:r>
        <w:pict>
          <v:rect style="width:0;height:1.5pt" o:hralign="center" o:hrstd="t" o:hr="t"/>
        </w:pict>
      </w:r>
    </w:p>
    <w:bookmarkEnd w:id="73"/>
    <w:bookmarkEnd w:id="74"/>
    <w:bookmarkStart w:id="78" w:name="deliverables-infrastructure-and-roadmap"/>
    <w:p>
      <w:pPr>
        <w:pStyle w:val="Heading2"/>
      </w:pPr>
      <w:r>
        <w:t xml:space="preserve">13. Deliverables, infrastructure, and roadmap</w:t>
      </w:r>
    </w:p>
    <w:bookmarkStart w:id="75" w:name="research-infrastructure"/>
    <w:p>
      <w:pPr>
        <w:pStyle w:val="Heading3"/>
      </w:pPr>
      <w:r>
        <w:t xml:space="preserve">13.1 Research infrastructure</w:t>
      </w:r>
    </w:p>
    <w:p>
      <w:pPr>
        <w:pStyle w:val="FirstParagraph"/>
      </w:pPr>
      <w:r>
        <w:t xml:space="preserve">The programme produces four durable assets independent of any individual paper: a versioned county-day compound exposure record for China with documented provenance and uncertainty; a crosswalk between GBD risk-factor definitions and the programme’s own exposure constructs, with an explicit statement of where they do and do not correspond; a reproducible analysis pipeline in R and Stata with synthetic-data executability; and a metadata dictionary covering every linkage decision, including the interpolation shares reported in Section 7.3.</w:t>
      </w:r>
    </w:p>
    <w:bookmarkEnd w:id="75"/>
    <w:bookmarkStart w:id="76" w:name="publication-portfolio"/>
    <w:p>
      <w:pPr>
        <w:pStyle w:val="Heading3"/>
      </w:pPr>
      <w:r>
        <w:t xml:space="preserve">13.2 Publication portfolio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Paper</w:t>
            </w:r>
          </w:p>
        </w:tc>
        <w:tc>
          <w:tcPr/>
          <w:p>
            <w:pPr>
              <w:pStyle w:val="Compact"/>
              <w:jc w:val="left"/>
            </w:pPr>
            <w:r>
              <w:t xml:space="preserve">Working title</w:t>
            </w:r>
          </w:p>
        </w:tc>
        <w:tc>
          <w:tcPr/>
          <w:p>
            <w:pPr>
              <w:pStyle w:val="Compact"/>
              <w:jc w:val="left"/>
            </w:pPr>
            <w:r>
              <w:t xml:space="preserve">Type of contribution</w:t>
            </w:r>
          </w:p>
        </w:tc>
        <w:tc>
          <w:tcPr/>
          <w:p>
            <w:pPr>
              <w:pStyle w:val="Compact"/>
              <w:jc w:val="left"/>
            </w:pPr>
            <w:r>
              <w:t xml:space="preserve">Component</w:t>
            </w:r>
          </w:p>
        </w:tc>
      </w:tr>
      <w:tr>
        <w:tc>
          <w:tcPr/>
          <w:p>
            <w:pPr>
              <w:pStyle w:val="Compact"/>
              <w:jc w:val="left"/>
            </w:pPr>
            <w:r>
              <w:t xml:space="preserve">1</w:t>
            </w:r>
          </w:p>
        </w:tc>
        <w:tc>
          <w:tcPr/>
          <w:p>
            <w:pPr>
              <w:pStyle w:val="Compact"/>
              <w:jc w:val="left"/>
            </w:pPr>
            <w:r>
              <w:t xml:space="preserve">Compound climate and pollution exposure among children in China, 2000 to 2023</w:t>
            </w:r>
          </w:p>
        </w:tc>
        <w:tc>
          <w:tcPr/>
          <w:p>
            <w:pPr>
              <w:pStyle w:val="Compact"/>
              <w:jc w:val="left"/>
            </w:pPr>
            <w:r>
              <w:t xml:space="preserve">Measurement and description</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Super-additive or not? Testing interaction between heat and pollution in birth outcomes</w:t>
            </w:r>
          </w:p>
        </w:tc>
        <w:tc>
          <w:tcPr/>
          <w:p>
            <w:pPr>
              <w:pStyle w:val="Compact"/>
              <w:jc w:val="left"/>
            </w:pPr>
            <w:r>
              <w:t xml:space="preserve">Causal, functional form</w:t>
            </w:r>
          </w:p>
        </w:tc>
        <w:tc>
          <w:tcPr/>
          <w:p>
            <w:pPr>
              <w:pStyle w:val="Compact"/>
              <w:jc w:val="left"/>
            </w:pPr>
            <w:r>
              <w:t xml:space="preserve">B</w:t>
            </w:r>
          </w:p>
        </w:tc>
      </w:tr>
      <w:tr>
        <w:tc>
          <w:tcPr/>
          <w:p>
            <w:pPr>
              <w:pStyle w:val="Compact"/>
              <w:jc w:val="left"/>
            </w:pPr>
            <w:r>
              <w:t xml:space="preserve">3</w:t>
            </w:r>
          </w:p>
        </w:tc>
        <w:tc>
          <w:tcPr/>
          <w:p>
            <w:pPr>
              <w:pStyle w:val="Compact"/>
              <w:jc w:val="left"/>
            </w:pPr>
            <w:r>
              <w:t xml:space="preserve">Same exposure, unequal welfare: stratified effects of compound environmental risk</w:t>
            </w:r>
          </w:p>
        </w:tc>
        <w:tc>
          <w:tcPr/>
          <w:p>
            <w:pPr>
              <w:pStyle w:val="Compact"/>
              <w:jc w:val="left"/>
            </w:pPr>
            <w:r>
              <w:t xml:space="preserve">Causal, heterogeneity</w:t>
            </w:r>
          </w:p>
        </w:tc>
        <w:tc>
          <w:tcPr/>
          <w:p>
            <w:pPr>
              <w:pStyle w:val="Compact"/>
              <w:jc w:val="left"/>
            </w:pPr>
            <w:r>
              <w:t xml:space="preserve">B and C</w:t>
            </w:r>
          </w:p>
        </w:tc>
      </w:tr>
      <w:tr>
        <w:tc>
          <w:tcPr/>
          <w:p>
            <w:pPr>
              <w:pStyle w:val="Compact"/>
              <w:jc w:val="left"/>
            </w:pPr>
            <w:r>
              <w:t xml:space="preserve">4</w:t>
            </w:r>
          </w:p>
        </w:tc>
        <w:tc>
          <w:tcPr/>
          <w:p>
            <w:pPr>
              <w:pStyle w:val="Compact"/>
              <w:jc w:val="left"/>
            </w:pPr>
            <w:r>
              <w:t xml:space="preserve">Avoidance, compensation, or institutions? Decomposing protection against environmental risk</w:t>
            </w:r>
          </w:p>
        </w:tc>
        <w:tc>
          <w:tcPr/>
          <w:p>
            <w:pPr>
              <w:pStyle w:val="Compact"/>
              <w:jc w:val="left"/>
            </w:pPr>
            <w:r>
              <w:t xml:space="preserve">Mechanism</w:t>
            </w:r>
          </w:p>
        </w:tc>
        <w:tc>
          <w:tcPr/>
          <w:p>
            <w:pPr>
              <w:pStyle w:val="Compact"/>
              <w:jc w:val="left"/>
            </w:pPr>
            <w:r>
              <w:t xml:space="preserve">C</w:t>
            </w:r>
          </w:p>
        </w:tc>
      </w:tr>
      <w:tr>
        <w:tc>
          <w:tcPr/>
          <w:p>
            <w:pPr>
              <w:pStyle w:val="Compact"/>
              <w:jc w:val="left"/>
            </w:pPr>
            <w:r>
              <w:t xml:space="preserve">5</w:t>
            </w:r>
          </w:p>
        </w:tc>
        <w:tc>
          <w:tcPr/>
          <w:p>
            <w:pPr>
              <w:pStyle w:val="Compact"/>
              <w:jc w:val="left"/>
            </w:pPr>
            <w:r>
              <w:t xml:space="preserve">Climate shocks, school disruption, and learning loss in rural China</w:t>
            </w:r>
          </w:p>
        </w:tc>
        <w:tc>
          <w:tcPr/>
          <w:p>
            <w:pPr>
              <w:pStyle w:val="Compact"/>
              <w:jc w:val="left"/>
            </w:pPr>
            <w:r>
              <w:t xml:space="preserve">Causal, education</w:t>
            </w:r>
          </w:p>
        </w:tc>
        <w:tc>
          <w:tcPr/>
          <w:p>
            <w:pPr>
              <w:pStyle w:val="Compact"/>
              <w:jc w:val="left"/>
            </w:pPr>
            <w:r>
              <w:t xml:space="preserve">C</w:t>
            </w:r>
          </w:p>
        </w:tc>
      </w:tr>
      <w:tr>
        <w:tc>
          <w:tcPr/>
          <w:p>
            <w:pPr>
              <w:pStyle w:val="Compact"/>
              <w:jc w:val="left"/>
            </w:pPr>
            <w:r>
              <w:t xml:space="preserve">6</w:t>
            </w:r>
          </w:p>
        </w:tc>
        <w:tc>
          <w:tcPr/>
          <w:p>
            <w:pPr>
              <w:pStyle w:val="Compact"/>
              <w:jc w:val="left"/>
            </w:pPr>
            <w:r>
              <w:t xml:space="preserve">Compound exposure and child welfare across low- and middle-income settings</w:t>
            </w:r>
          </w:p>
        </w:tc>
        <w:tc>
          <w:tcPr/>
          <w:p>
            <w:pPr>
              <w:pStyle w:val="Compact"/>
              <w:jc w:val="left"/>
            </w:pPr>
            <w:r>
              <w:t xml:space="preserve">External validity and scope conditions</w:t>
            </w:r>
          </w:p>
        </w:tc>
        <w:tc>
          <w:tcPr/>
          <w:p>
            <w:pPr>
              <w:pStyle w:val="Compact"/>
              <w:jc w:val="left"/>
            </w:pPr>
            <w:r>
              <w:t xml:space="preserve">D</w:t>
            </w:r>
          </w:p>
        </w:tc>
      </w:tr>
      <w:tr>
        <w:tc>
          <w:tcPr/>
          <w:p>
            <w:pPr>
              <w:pStyle w:val="Compact"/>
              <w:jc w:val="left"/>
            </w:pPr>
            <w:r>
              <w:t xml:space="preserve">7</w:t>
            </w:r>
          </w:p>
        </w:tc>
        <w:tc>
          <w:tcPr/>
          <w:p>
            <w:pPr>
              <w:pStyle w:val="Compact"/>
              <w:jc w:val="left"/>
            </w:pPr>
            <w:r>
              <w:t xml:space="preserve">The distribution of preventable child welfare loss under feasible exposure reduction</w:t>
            </w:r>
          </w:p>
        </w:tc>
        <w:tc>
          <w:tcPr/>
          <w:p>
            <w:pPr>
              <w:pStyle w:val="Compact"/>
              <w:jc w:val="left"/>
            </w:pPr>
            <w:r>
              <w:t xml:space="preserve">Policy counterfactual</w:t>
            </w:r>
          </w:p>
        </w:tc>
        <w:tc>
          <w:tcPr/>
          <w:p>
            <w:pPr>
              <w:pStyle w:val="Compact"/>
              <w:jc w:val="left"/>
            </w:pPr>
            <w:r>
              <w:t xml:space="preserve">E</w:t>
            </w:r>
          </w:p>
        </w:tc>
      </w:tr>
    </w:tbl>
    <w:bookmarkEnd w:id="76"/>
    <w:bookmarkStart w:id="77" w:name="five-year-roadmap"/>
    <w:p>
      <w:pPr>
        <w:pStyle w:val="Heading3"/>
      </w:pPr>
      <w:r>
        <w:t xml:space="preserve">13.3 Five-year roadmap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Focus</w:t>
            </w:r>
          </w:p>
        </w:tc>
        <w:tc>
          <w:tcPr/>
          <w:p>
            <w:pPr>
              <w:pStyle w:val="Compact"/>
              <w:jc w:val="left"/>
            </w:pPr>
            <w:r>
              <w:t xml:space="preserve">Milestone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Exposure record construction, product validation, data agreements</w:t>
            </w:r>
          </w:p>
        </w:tc>
        <w:tc>
          <w:tcPr/>
          <w:p>
            <w:pPr>
              <w:pStyle w:val="Compact"/>
              <w:jc w:val="left"/>
            </w:pPr>
            <w:r>
              <w:t xml:space="preserve">Paper 1 submitted; exposure record versioned and internally released</w:t>
            </w:r>
          </w:p>
        </w:tc>
        <w:tc>
          <w:tcPr/>
          <w:p>
            <w:pPr>
              <w:pStyle w:val="Compact"/>
              <w:jc w:val="left"/>
            </w:pPr>
            <w:r>
              <w:t xml:space="preserve">Access to ground monitoring archive</w:t>
            </w:r>
          </w:p>
        </w:tc>
      </w:tr>
      <w:tr>
        <w:tc>
          <w:tcPr/>
          <w:p>
            <w:pPr>
              <w:pStyle w:val="Compact"/>
              <w:jc w:val="left"/>
            </w:pPr>
            <w:r>
              <w:t xml:space="preserve">2</w:t>
            </w:r>
          </w:p>
        </w:tc>
        <w:tc>
          <w:tcPr/>
          <w:p>
            <w:pPr>
              <w:pStyle w:val="Compact"/>
              <w:jc w:val="left"/>
            </w:pPr>
            <w:r>
              <w:t xml:space="preserve">Birth outcome estimation, interaction testing, measurement-error correction</w:t>
            </w:r>
          </w:p>
        </w:tc>
        <w:tc>
          <w:tcPr/>
          <w:p>
            <w:pPr>
              <w:pStyle w:val="Compact"/>
              <w:jc w:val="left"/>
            </w:pPr>
            <w:r>
              <w:t xml:space="preserve">Paper 2 submitted; Paper 3 drafted</w:t>
            </w:r>
          </w:p>
        </w:tc>
        <w:tc>
          <w:tcPr/>
          <w:p>
            <w:pPr>
              <w:pStyle w:val="Compact"/>
              <w:jc w:val="left"/>
            </w:pPr>
            <w:r>
              <w:t xml:space="preserve">Administrative birth data agreement executed</w:t>
            </w:r>
          </w:p>
        </w:tc>
      </w:tr>
      <w:tr>
        <w:tc>
          <w:tcPr/>
          <w:p>
            <w:pPr>
              <w:pStyle w:val="Compact"/>
              <w:jc w:val="left"/>
            </w:pPr>
            <w:r>
              <w:t xml:space="preserve">3</w:t>
            </w:r>
          </w:p>
        </w:tc>
        <w:tc>
          <w:tcPr/>
          <w:p>
            <w:pPr>
              <w:pStyle w:val="Compact"/>
              <w:jc w:val="left"/>
            </w:pPr>
            <w:r>
              <w:t xml:space="preserve">Schooling, shocks, and adaptation; mechanism measurement</w:t>
            </w:r>
          </w:p>
        </w:tc>
        <w:tc>
          <w:tcPr/>
          <w:p>
            <w:pPr>
              <w:pStyle w:val="Compact"/>
              <w:jc w:val="left"/>
            </w:pPr>
            <w:r>
              <w:t xml:space="preserve">Papers 4 and 5 submitted</w:t>
            </w:r>
          </w:p>
        </w:tc>
        <w:tc>
          <w:tcPr/>
          <w:p>
            <w:pPr>
              <w:pStyle w:val="Compact"/>
              <w:jc w:val="left"/>
            </w:pPr>
            <w:r>
              <w:t xml:space="preserve">CFPS, CHNS, CEPS wave availability</w:t>
            </w:r>
          </w:p>
        </w:tc>
      </w:tr>
      <w:tr>
        <w:tc>
          <w:tcPr/>
          <w:p>
            <w:pPr>
              <w:pStyle w:val="Compact"/>
              <w:jc w:val="left"/>
            </w:pPr>
            <w:r>
              <w:t xml:space="preserve">4</w:t>
            </w:r>
          </w:p>
        </w:tc>
        <w:tc>
          <w:tcPr/>
          <w:p>
            <w:pPr>
              <w:pStyle w:val="Compact"/>
              <w:jc w:val="left"/>
            </w:pPr>
            <w:r>
              <w:t xml:space="preserve">Comparative estimation and meta-regression</w:t>
            </w:r>
          </w:p>
        </w:tc>
        <w:tc>
          <w:tcPr/>
          <w:p>
            <w:pPr>
              <w:pStyle w:val="Compact"/>
              <w:jc w:val="left"/>
            </w:pPr>
            <w:r>
              <w:t xml:space="preserve">Paper 6 submitted</w:t>
            </w:r>
          </w:p>
        </w:tc>
        <w:tc>
          <w:tcPr/>
          <w:p>
            <w:pPr>
              <w:pStyle w:val="Compact"/>
              <w:jc w:val="left"/>
            </w:pPr>
            <w:r>
              <w:t xml:space="preserve">Harmonisation of comparative outcome measures completed in Year 3</w:t>
            </w:r>
          </w:p>
        </w:tc>
      </w:tr>
      <w:tr>
        <w:tc>
          <w:tcPr/>
          <w:p>
            <w:pPr>
              <w:pStyle w:val="Compact"/>
              <w:jc w:val="left"/>
            </w:pPr>
            <w:r>
              <w:t xml:space="preserve">5</w:t>
            </w:r>
          </w:p>
        </w:tc>
        <w:tc>
          <w:tcPr/>
          <w:p>
            <w:pPr>
              <w:pStyle w:val="Compact"/>
              <w:jc w:val="left"/>
            </w:pPr>
            <w:r>
              <w:t xml:space="preserve">Burden and distributional simulation; synthesis</w:t>
            </w:r>
          </w:p>
        </w:tc>
        <w:tc>
          <w:tcPr/>
          <w:p>
            <w:pPr>
              <w:pStyle w:val="Compact"/>
              <w:jc w:val="left"/>
            </w:pPr>
            <w:r>
              <w:t xml:space="preserve">Paper 7 submitted; policy report and public exposure atlas released</w:t>
            </w:r>
          </w:p>
        </w:tc>
        <w:tc>
          <w:tcPr/>
          <w:p>
            <w:pPr>
              <w:pStyle w:val="Compact"/>
              <w:jc w:val="left"/>
            </w:pPr>
            <w:r>
              <w:t xml:space="preserve">Components A, B, and D estimates finalised</w:t>
            </w:r>
          </w:p>
        </w:tc>
      </w:tr>
    </w:tbl>
    <w:p>
      <w:pPr>
        <w:pStyle w:val="BodyText"/>
      </w:pPr>
      <w:r>
        <w:t xml:space="preserve">The dependency column is included because the roadmap’s principal risk is sequencing. Component E cannot begin before Components A, B, and D produce their inputs, and Component B cannot begin before the administrative data agreement is executed. If the agreement is delayed beyond Year 2, Component B’s within-mother design is replaced by a survey-based design with weaker identification and this is stated in the resulting output rather than concealed.</w:t>
      </w:r>
    </w:p>
    <w:p>
      <w:r>
        <w:pict>
          <v:rect style="width:0;height:1.5pt" o:hralign="center" o:hrstd="t" o:hr="t"/>
        </w:pict>
      </w:r>
    </w:p>
    <w:bookmarkEnd w:id="77"/>
    <w:bookmarkEnd w:id="78"/>
    <w:bookmarkStart w:id="82" w:name="X812a4acb13ef119265d6f83210d4a7b173836d6"/>
    <w:p>
      <w:pPr>
        <w:pStyle w:val="Heading2"/>
      </w:pPr>
      <w:r>
        <w:t xml:space="preserve">14. Limitations and the conditions under which the programme would be wrong</w:t>
      </w:r>
    </w:p>
    <w:bookmarkStart w:id="79" w:name="design-level-limitations"/>
    <w:p>
      <w:pPr>
        <w:pStyle w:val="Heading3"/>
      </w:pPr>
      <w:r>
        <w:t xml:space="preserve">14.1 Design-level limitations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Limitation</w:t>
            </w:r>
          </w:p>
        </w:tc>
        <w:tc>
          <w:tcPr/>
          <w:p>
            <w:pPr>
              <w:pStyle w:val="Compact"/>
              <w:jc w:val="left"/>
            </w:pPr>
            <w:r>
              <w:t xml:space="preserve">Why it matters</w:t>
            </w:r>
          </w:p>
        </w:tc>
        <w:tc>
          <w:tcPr/>
          <w:p>
            <w:pPr>
              <w:pStyle w:val="Compact"/>
              <w:jc w:val="left"/>
            </w:pPr>
            <w:r>
              <w:t xml:space="preserve">Response</w:t>
            </w:r>
          </w:p>
        </w:tc>
      </w:tr>
      <w:tr>
        <w:tc>
          <w:tcPr/>
          <w:p>
            <w:pPr>
              <w:pStyle w:val="Compact"/>
              <w:jc w:val="left"/>
            </w:pPr>
            <w:r>
              <w:t xml:space="preserve">Collinearity between heat and pollution</w:t>
            </w:r>
          </w:p>
        </w:tc>
        <w:tc>
          <w:tcPr/>
          <w:p>
            <w:pPr>
              <w:pStyle w:val="Compact"/>
              <w:jc w:val="left"/>
            </w:pPr>
            <w:r>
              <w:t xml:space="preserve">The interaction estimand requires independent variation in both, and in some counties and seasons there may be too little</w:t>
            </w:r>
          </w:p>
        </w:tc>
        <w:tc>
          <w:tcPr/>
          <w:p>
            <w:pPr>
              <w:pStyle w:val="Compact"/>
              <w:jc w:val="left"/>
            </w:pPr>
            <w:r>
              <w:t xml:space="preserve">Report the support of the joint exposure distribution before estimating; restrict interaction claims to regions and seasons with adequate off-diagonal mass; report the effective sample in each cell</w:t>
            </w:r>
          </w:p>
        </w:tc>
      </w:tr>
      <w:tr>
        <w:tc>
          <w:tcPr/>
          <w:p>
            <w:pPr>
              <w:pStyle w:val="Compact"/>
              <w:jc w:val="left"/>
            </w:pPr>
            <w:r>
              <w:t xml:space="preserve">Exposure product error compounds in interaction terms</w:t>
            </w:r>
          </w:p>
        </w:tc>
        <w:tc>
          <w:tcPr/>
          <w:p>
            <w:pPr>
              <w:pStyle w:val="Compact"/>
              <w:jc w:val="left"/>
            </w:pPr>
            <w:r>
              <w:t xml:space="preserve">Attenuates the estimand of interest more than the main effects</w:t>
            </w:r>
          </w:p>
        </w:tc>
        <w:tc>
          <w:tcPr/>
          <w:p>
            <w:pPr>
              <w:pStyle w:val="Compact"/>
              <w:jc w:val="left"/>
            </w:pPr>
            <w:r>
              <w:t xml:space="preserve">Two-proxy correction, simulation-extrapolation, and uncertainty propagation as in Section 9.6; uncorrected nulls are not reported as nulls</w:t>
            </w:r>
          </w:p>
        </w:tc>
      </w:tr>
      <w:tr>
        <w:tc>
          <w:tcPr/>
          <w:p>
            <w:pPr>
              <w:pStyle w:val="Compact"/>
              <w:jc w:val="left"/>
            </w:pPr>
            <w:r>
              <w:t xml:space="preserve">Unmeasured adaptation</w:t>
            </w:r>
          </w:p>
        </w:tc>
        <w:tc>
          <w:tcPr/>
          <w:p>
            <w:pPr>
              <w:pStyle w:val="Compact"/>
              <w:jc w:val="left"/>
            </w:pPr>
            <w:r>
              <w:t xml:space="preserve">Omitting adaptation biases exposure effects toward zero and misattributes heterogeneity</w:t>
            </w:r>
          </w:p>
        </w:tc>
        <w:tc>
          <w:tcPr/>
          <w:p>
            <w:pPr>
              <w:pStyle w:val="Compact"/>
              <w:jc w:val="left"/>
            </w:pPr>
            <w:r>
              <w:t xml:space="preserve">Measure all three channels directly; report which are unmeasured in each dataset</w:t>
            </w:r>
          </w:p>
        </w:tc>
      </w:tr>
      <w:tr>
        <w:tc>
          <w:tcPr/>
          <w:p>
            <w:pPr>
              <w:pStyle w:val="Compact"/>
              <w:jc w:val="left"/>
            </w:pPr>
            <w:r>
              <w:t xml:space="preserve">Survey attrition and selection</w:t>
            </w:r>
          </w:p>
        </w:tc>
        <w:tc>
          <w:tcPr/>
          <w:p>
            <w:pPr>
              <w:pStyle w:val="Compact"/>
              <w:jc w:val="left"/>
            </w:pPr>
            <w:r>
              <w:t xml:space="preserve">Panel attrition is non-random with respect to shocks</w:t>
            </w:r>
          </w:p>
        </w:tc>
        <w:tc>
          <w:tcPr/>
          <w:p>
            <w:pPr>
              <w:pStyle w:val="Compact"/>
              <w:jc w:val="left"/>
            </w:pPr>
            <w:r>
              <w:t xml:space="preserve">Attrition models, inverse-probability weighting, and bounds</w:t>
            </w:r>
          </w:p>
        </w:tc>
      </w:tr>
      <w:tr>
        <w:tc>
          <w:tcPr/>
          <w:p>
            <w:pPr>
              <w:pStyle w:val="Compact"/>
              <w:jc w:val="left"/>
            </w:pPr>
            <w:r>
              <w:t xml:space="preserve">Cross-national outcome comparability</w:t>
            </w:r>
          </w:p>
        </w:tc>
        <w:tc>
          <w:tcPr/>
          <w:p>
            <w:pPr>
              <w:pStyle w:val="Compact"/>
              <w:jc w:val="left"/>
            </w:pPr>
            <w:r>
              <w:t xml:space="preserve">Different instruments measure different constructs</w:t>
            </w:r>
          </w:p>
        </w:tc>
        <w:tc>
          <w:tcPr/>
          <w:p>
            <w:pPr>
              <w:pStyle w:val="Compact"/>
              <w:jc w:val="left"/>
            </w:pPr>
            <w:r>
              <w:t xml:space="preserve">Restrict comparison to identical instruments; report non-comparable outcomes separately</w:t>
            </w:r>
          </w:p>
        </w:tc>
      </w:tr>
      <w:tr>
        <w:tc>
          <w:tcPr/>
          <w:p>
            <w:pPr>
              <w:pStyle w:val="Compact"/>
              <w:jc w:val="left"/>
            </w:pPr>
            <w:r>
              <w:t xml:space="preserve">Administrative data access</w:t>
            </w:r>
          </w:p>
        </w:tc>
        <w:tc>
          <w:tcPr/>
          <w:p>
            <w:pPr>
              <w:pStyle w:val="Compact"/>
              <w:jc w:val="left"/>
            </w:pPr>
            <w:r>
              <w:t xml:space="preserve">The strongest design depends on an agreement not yet executed</w:t>
            </w:r>
          </w:p>
        </w:tc>
        <w:tc>
          <w:tcPr/>
          <w:p>
            <w:pPr>
              <w:pStyle w:val="Compact"/>
              <w:jc w:val="left"/>
            </w:pPr>
            <w:r>
              <w:t xml:space="preserve">Stated contingency in Section 13.3</w:t>
            </w:r>
          </w:p>
        </w:tc>
      </w:tr>
      <w:tr>
        <w:tc>
          <w:tcPr/>
          <w:p>
            <w:pPr>
              <w:pStyle w:val="Compact"/>
              <w:jc w:val="left"/>
            </w:pPr>
            <w:r>
              <w:t xml:space="preserve">Publication and reporting incentives</w:t>
            </w:r>
          </w:p>
        </w:tc>
        <w:tc>
          <w:tcPr/>
          <w:p>
            <w:pPr>
              <w:pStyle w:val="Compact"/>
              <w:jc w:val="left"/>
            </w:pPr>
            <w:r>
              <w:t xml:space="preserve">Interaction findings are more publishable than additivity</w:t>
            </w:r>
          </w:p>
        </w:tc>
        <w:tc>
          <w:tcPr/>
          <w:p>
            <w:pPr>
              <w:pStyle w:val="Compact"/>
              <w:jc w:val="left"/>
            </w:pPr>
            <w:r>
              <w:t xml:space="preserve">Pre-registration of the null-reporting commitment in Section 6</w:t>
            </w:r>
          </w:p>
        </w:tc>
      </w:tr>
    </w:tbl>
    <w:bookmarkEnd w:id="79"/>
    <w:bookmarkStart w:id="80" w:name="X82376d7a39a7ca97ce3e658a775adab23cfda5f"/>
    <w:p>
      <w:pPr>
        <w:pStyle w:val="Heading3"/>
      </w:pPr>
      <w:r>
        <w:t xml:space="preserve">14.2 What would falsify the programme’s core proposition</w:t>
      </w:r>
    </w:p>
    <w:p>
      <w:pPr>
        <w:pStyle w:val="FirstParagraph"/>
      </w:pPr>
      <w:r>
        <w:t xml:space="preserve">The programme’s core proposition is P2 combined with P3: super-additivity, stratified by adaptive capacity. It would be falsified by the conjunction of three observations: additive interaction contrasts whose confidence intervals cover zero across primary outcomes and across all three compound-exposure definitions, after measurement-error correction and with documented adequate power; no gradient in those contrasts across the pre-specified socioeconomic strata after multiplicity correction; and replication of both patterns in at least two comparative settings.</w:t>
      </w:r>
    </w:p>
    <w:p>
      <w:pPr>
        <w:pStyle w:val="BodyText"/>
      </w:pPr>
      <w:r>
        <w:t xml:space="preserve">Under that conjunction the programme’s conclusion would be that compound exposure is a real feature of the environment and an irrelevant feature of the welfare-generating process, and that single-exposure research designs are adequate. The programme commits to publishing that conclusion. This commitment is the reason the falsification conditions are stated in advance and in operational form.</w:t>
      </w:r>
    </w:p>
    <w:bookmarkEnd w:id="80"/>
    <w:bookmarkStart w:id="81" w:name="what-the-programme-cannot-do"/>
    <w:p>
      <w:pPr>
        <w:pStyle w:val="Heading3"/>
      </w:pPr>
      <w:r>
        <w:t xml:space="preserve">14.3 What the programme cannot do</w:t>
      </w:r>
    </w:p>
    <w:p>
      <w:pPr>
        <w:pStyle w:val="FirstParagraph"/>
      </w:pPr>
      <w:r>
        <w:t xml:space="preserve">It cannot establish individual-level causal effects from GBD outputs, and does not attempt to. It cannot estimate long-run adult outcomes of childhood compound exposure within five years, because the cohorts have not aged. It cannot address indoor exposure directly in most datasets, because indoor concentration is rarely measured and outdoor concentration is a poor proxy under differential avoidance behaviour, which is itself the object of study. It cannot resolve whether observed socioeconomic gradients reflect differential susceptibility or differential exposure misassignment in settings where residential histories are absent.</w:t>
      </w:r>
    </w:p>
    <w:p>
      <w:r>
        <w:pict>
          <v:rect style="width:0;height:1.5pt" o:hralign="center" o:hrstd="t" o:hr="t"/>
        </w:pict>
      </w:r>
    </w:p>
    <w:bookmarkEnd w:id="81"/>
    <w:bookmarkEnd w:id="82"/>
    <w:bookmarkStart w:id="83" w:name="contribution"/>
    <w:p>
      <w:pPr>
        <w:pStyle w:val="Heading2"/>
      </w:pPr>
      <w:r>
        <w:t xml:space="preserve">15. Contribution</w:t>
      </w:r>
    </w:p>
    <w:p>
      <w:pPr>
        <w:pStyle w:val="FirstParagraph"/>
      </w:pPr>
      <w:r>
        <w:t xml:space="preserve">The intended contribution is not a set of papers on environmental effects but a reorganisation of how the question is posed.</w:t>
      </w:r>
    </w:p>
    <w:p>
      <w:pPr>
        <w:pStyle w:val="BodyText"/>
      </w:pPr>
      <w:r>
        <w:rPr>
          <w:bCs/>
          <w:b/>
        </w:rPr>
        <w:t xml:space="preserve">Conceptual.</w:t>
      </w:r>
      <w:r>
        <w:t xml:space="preserve"> </w:t>
      </w:r>
      <w:r>
        <w:t xml:space="preserve">The programme moves the object of analysis from single exposures to compound exposure, and it makes adaptive capacity a theorised and measured construct with three distinguishable channels rather than a residual explanation for heterogeneity.</w:t>
      </w:r>
    </w:p>
    <w:p>
      <w:pPr>
        <w:pStyle w:val="BodyText"/>
      </w:pPr>
      <w:r>
        <w:rPr>
          <w:bCs/>
          <w:b/>
        </w:rPr>
        <w:t xml:space="preserve">Methodological.</w:t>
      </w:r>
      <w:r>
        <w:t xml:space="preserve"> </w:t>
      </w:r>
      <w:r>
        <w:t xml:space="preserve">It specifies interaction on the scale relevant to decision making, corrects for the compounded attenuation that makes uncorrected interaction estimates uninformative, and enforces an operational boundary between attributable burden and causal effect that much of the applied literature blurs.</w:t>
      </w:r>
    </w:p>
    <w:p>
      <w:pPr>
        <w:pStyle w:val="BodyText"/>
      </w:pPr>
      <w:r>
        <w:rPr>
          <w:bCs/>
          <w:b/>
        </w:rPr>
        <w:t xml:space="preserve">Empirical.</w:t>
      </w:r>
      <w:r>
        <w:t xml:space="preserve"> </w:t>
      </w:r>
      <w:r>
        <w:t xml:space="preserve">It supplies the first estimates of additive-scale heat and pollution interaction for child welfare outcomes, in a setting with the exposure and outcome data density required to detect it, and tests whether the interaction is itself socially stratified.</w:t>
      </w:r>
    </w:p>
    <w:p>
      <w:pPr>
        <w:pStyle w:val="BodyText"/>
      </w:pPr>
      <w:r>
        <w:rPr>
          <w:bCs/>
          <w:b/>
        </w:rPr>
        <w:t xml:space="preserve">Policy.</w:t>
      </w:r>
      <w:r>
        <w:t xml:space="preserve"> </w:t>
      </w:r>
      <w:r>
        <w:t xml:space="preserve">It replaces the average-effect question, how much would exposure reduction improve child health, with the distributional question, which children would gain, by how much, and would a targeted allocation of the same effort produce a larger equity-weighted gain. That question is answerable, and the answer is decision-relevant in a way that an average is not.</w:t>
      </w:r>
    </w:p>
    <w:p>
      <w:pPr>
        <w:pStyle w:val="BodyText"/>
      </w:pPr>
      <w:r>
        <w:t xml:space="preserve">The programme also accepts a discipline that its own subject matter demands. The literature it draws on has documented that modelled outputs are routinely presented as observed data and that citation practice in this field has degraded. Section 16 records the programme’s own audit, and Section 9.8 commits it to the standard it asks of others.</w:t>
      </w:r>
    </w:p>
    <w:p>
      <w:r>
        <w:pict>
          <v:rect style="width:0;height:1.5pt" o:hralign="center" o:hrstd="t" o:hr="t"/>
        </w:pict>
      </w:r>
    </w:p>
    <w:bookmarkEnd w:id="83"/>
    <w:bookmarkStart w:id="90" w:name="research-integrity-report"/>
    <w:p>
      <w:pPr>
        <w:pStyle w:val="Heading2"/>
      </w:pPr>
      <w:r>
        <w:t xml:space="preserve">16. Research integrity report</w:t>
      </w:r>
    </w:p>
    <w:p>
      <w:pPr>
        <w:pStyle w:val="FirstParagraph"/>
      </w:pPr>
      <w:r>
        <w:t xml:space="preserve">This section documents the verification performed on the evidence base of this proposal. It is included in the body of the document rather than in an appendix because the programme’s methodological argument in Sections 9.8 and 10 obliges it to hold itself to the standard it asks of the literature it criticises.</w:t>
      </w:r>
    </w:p>
    <w:bookmarkStart w:id="84" w:name="verification-procedure"/>
    <w:p>
      <w:pPr>
        <w:pStyle w:val="Heading3"/>
      </w:pPr>
      <w:r>
        <w:t xml:space="preserve">16.1 Verification procedure</w:t>
      </w:r>
    </w:p>
    <w:p>
      <w:pPr>
        <w:pStyle w:val="FirstParagraph"/>
      </w:pPr>
      <w:r>
        <w:t xml:space="preserve">Every reference in Section 17 was checked in two independent stages. In the first stage, candidate references were located through database search, and only items whose title, authorship, venue, year, and persistent identifier were observed in a retrieved record were retained. In the second stage, each retained identifier was re-resolved independently, and the resolved record’s title was compared against the claimed title. The second stage exists specifically to catch the failure mode in which a genuine and resolvable identifier is paired with a different paper, since that pattern survives a check that only confirms the identifier resolves.</w:t>
      </w:r>
    </w:p>
    <w:p>
      <w:pPr>
        <w:pStyle w:val="BodyText"/>
      </w:pPr>
      <w:r>
        <w:t xml:space="preserve">Resolution used Crossref as the primary registry, with OpenAlex and Semantic Scholar as fallback routes where Crossref rate-limited or lacked coverage. Where a resolved record reported an online-first year one year earlier than the claimed year, the volume and issue were retrieved to confirm the print issue year before the entry was accepted.</w:t>
      </w:r>
    </w:p>
    <w:bookmarkEnd w:id="84"/>
    <w:bookmarkStart w:id="85" w:name="result"/>
    <w:p>
      <w:pPr>
        <w:pStyle w:val="Heading3"/>
      </w:pPr>
      <w:r>
        <w:t xml:space="preserve">16.2 Result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Audit item</w:t>
            </w:r>
          </w:p>
        </w:tc>
        <w:tc>
          <w:tcPr/>
          <w:p>
            <w:pPr>
              <w:pStyle w:val="Compact"/>
              <w:jc w:val="left"/>
            </w:pPr>
            <w:r>
              <w:t xml:space="preserve">Count</w:t>
            </w:r>
          </w:p>
        </w:tc>
      </w:tr>
      <w:tr>
        <w:tc>
          <w:tcPr/>
          <w:p>
            <w:pPr>
              <w:pStyle w:val="Compact"/>
              <w:jc w:val="left"/>
            </w:pPr>
            <w:r>
              <w:t xml:space="preserve">English-language references submitted for verification</w:t>
            </w:r>
          </w:p>
        </w:tc>
        <w:tc>
          <w:tcPr/>
          <w:p>
            <w:pPr>
              <w:pStyle w:val="Compact"/>
              <w:jc w:val="left"/>
            </w:pPr>
            <w:r>
              <w:t xml:space="preserve">127</w:t>
            </w:r>
          </w:p>
        </w:tc>
      </w:tr>
      <w:tr>
        <w:tc>
          <w:tcPr/>
          <w:p>
            <w:pPr>
              <w:pStyle w:val="Compact"/>
              <w:jc w:val="left"/>
            </w:pPr>
            <w:r>
              <w:t xml:space="preserve">Resolved and matched to the claimed paper</w:t>
            </w:r>
          </w:p>
        </w:tc>
        <w:tc>
          <w:tcPr/>
          <w:p>
            <w:pPr>
              <w:pStyle w:val="Compact"/>
              <w:jc w:val="left"/>
            </w:pPr>
            <w:r>
              <w:t xml:space="preserve">127</w:t>
            </w:r>
          </w:p>
        </w:tc>
      </w:tr>
      <w:tr>
        <w:tc>
          <w:tcPr/>
          <w:p>
            <w:pPr>
              <w:pStyle w:val="Compact"/>
              <w:jc w:val="left"/>
            </w:pPr>
            <w:r>
              <w:t xml:space="preserve">Title mismatch, that is, identifier resolves to a different paper</w:t>
            </w:r>
          </w:p>
        </w:tc>
        <w:tc>
          <w:tcPr/>
          <w:p>
            <w:pPr>
              <w:pStyle w:val="Compact"/>
              <w:jc w:val="left"/>
            </w:pPr>
            <w:r>
              <w:t xml:space="preserve">0</w:t>
            </w:r>
          </w:p>
        </w:tc>
      </w:tr>
      <w:tr>
        <w:tc>
          <w:tcPr/>
          <w:p>
            <w:pPr>
              <w:pStyle w:val="Compact"/>
              <w:jc w:val="left"/>
            </w:pPr>
            <w:r>
              <w:t xml:space="preserve">Unresolvable identifier</w:t>
            </w:r>
          </w:p>
        </w:tc>
        <w:tc>
          <w:tcPr/>
          <w:p>
            <w:pPr>
              <w:pStyle w:val="Compact"/>
              <w:jc w:val="left"/>
            </w:pPr>
            <w:r>
              <w:t xml:space="preserve">0</w:t>
            </w:r>
          </w:p>
        </w:tc>
      </w:tr>
      <w:tr>
        <w:tc>
          <w:tcPr/>
          <w:p>
            <w:pPr>
              <w:pStyle w:val="Compact"/>
              <w:jc w:val="left"/>
            </w:pPr>
            <w:r>
              <w:t xml:space="preserve">Suspected fabricated citations</w:t>
            </w:r>
          </w:p>
        </w:tc>
        <w:tc>
          <w:tcPr/>
          <w:p>
            <w:pPr>
              <w:pStyle w:val="Compact"/>
              <w:jc w:val="left"/>
            </w:pPr>
            <w:r>
              <w:t xml:space="preserve">0</w:t>
            </w:r>
          </w:p>
        </w:tc>
      </w:tr>
      <w:tr>
        <w:tc>
          <w:tcPr/>
          <w:p>
            <w:pPr>
              <w:pStyle w:val="Compact"/>
              <w:jc w:val="left"/>
            </w:pPr>
            <w:r>
              <w:t xml:space="preserve">Entries corrected for online-first versus print-issue year discrepancy</w:t>
            </w:r>
          </w:p>
        </w:tc>
        <w:tc>
          <w:tcPr/>
          <w:p>
            <w:pPr>
              <w:pStyle w:val="Compact"/>
              <w:jc w:val="left"/>
            </w:pPr>
            <w:r>
              <w:t xml:space="preserve">8</w:t>
            </w:r>
          </w:p>
        </w:tc>
      </w:tr>
      <w:tr>
        <w:tc>
          <w:tcPr/>
          <w:p>
            <w:pPr>
              <w:pStyle w:val="Compact"/>
              <w:jc w:val="left"/>
            </w:pPr>
            <w:r>
              <w:t xml:space="preserve">Chinese-language references verified on publisher pages</w:t>
            </w:r>
          </w:p>
        </w:tc>
        <w:tc>
          <w:tcPr/>
          <w:p>
            <w:pPr>
              <w:pStyle w:val="Compact"/>
              <w:jc w:val="left"/>
            </w:pPr>
            <w:r>
              <w:t xml:space="preserve">14</w:t>
            </w:r>
          </w:p>
        </w:tc>
      </w:tr>
      <w:tr>
        <w:tc>
          <w:tcPr/>
          <w:p>
            <w:pPr>
              <w:pStyle w:val="Compact"/>
              <w:jc w:val="left"/>
            </w:pPr>
            <w:r>
              <w:t xml:space="preserve">Chinese-language references carrying an international DOI</w:t>
            </w:r>
          </w:p>
        </w:tc>
        <w:tc>
          <w:tcPr/>
          <w:p>
            <w:pPr>
              <w:pStyle w:val="Compact"/>
              <w:jc w:val="left"/>
            </w:pPr>
            <w:r>
              <w:t xml:space="preserve">0</w:t>
            </w:r>
          </w:p>
        </w:tc>
      </w:tr>
      <w:tr>
        <w:tc>
          <w:tcPr/>
          <w:p>
            <w:pPr>
              <w:pStyle w:val="Compact"/>
              <w:jc w:val="left"/>
            </w:pPr>
            <w:r>
              <w:t xml:space="preserve">Chinese-language references identified by a Chinese domestic DOI prefix</w:t>
            </w:r>
          </w:p>
        </w:tc>
        <w:tc>
          <w:tcPr/>
          <w:p>
            <w:pPr>
              <w:pStyle w:val="Compact"/>
              <w:jc w:val="left"/>
            </w:pPr>
            <w:r>
              <w:t xml:space="preserve">13</w:t>
            </w:r>
          </w:p>
        </w:tc>
      </w:tr>
      <w:tr>
        <w:tc>
          <w:tcPr/>
          <w:p>
            <w:pPr>
              <w:pStyle w:val="Compact"/>
              <w:jc w:val="left"/>
            </w:pPr>
            <w:r>
              <w:t xml:space="preserve">Chinese-language references with no DOI, identified by ISSN and CN number</w:t>
            </w:r>
          </w:p>
        </w:tc>
        <w:tc>
          <w:tcPr/>
          <w:p>
            <w:pPr>
              <w:pStyle w:val="Compact"/>
              <w:jc w:val="left"/>
            </w:pPr>
            <w:r>
              <w:t xml:space="preserve">1</w:t>
            </w:r>
          </w:p>
        </w:tc>
      </w:tr>
      <w:tr>
        <w:tc>
          <w:tcPr/>
          <w:p>
            <w:pPr>
              <w:pStyle w:val="Compact"/>
              <w:jc w:val="left"/>
            </w:pPr>
            <w:r>
              <w:t xml:space="preserve">Candidate references removed because verification failed</w:t>
            </w:r>
          </w:p>
        </w:tc>
        <w:tc>
          <w:tcPr/>
          <w:p>
            <w:pPr>
              <w:pStyle w:val="Compact"/>
              <w:jc w:val="left"/>
            </w:pPr>
            <w:r>
              <w:t xml:space="preserve">5</w:t>
            </w:r>
          </w:p>
        </w:tc>
      </w:tr>
    </w:tbl>
    <w:bookmarkEnd w:id="85"/>
    <w:bookmarkStart w:id="86" w:name="what-was-removed-and-why"/>
    <w:p>
      <w:pPr>
        <w:pStyle w:val="Heading3"/>
      </w:pPr>
      <w:r>
        <w:t xml:space="preserve">16.3 What was removed and why</w:t>
      </w:r>
    </w:p>
    <w:p>
      <w:pPr>
        <w:pStyle w:val="FirstParagraph"/>
      </w:pPr>
      <w:r>
        <w:t xml:space="preserve">Five candidate references that appeared plausible were removed rather than included with a caveat.</w:t>
      </w:r>
    </w:p>
    <w:p>
      <w:pPr>
        <w:pStyle w:val="BodyText"/>
      </w:pPr>
      <w:r>
        <w:rPr>
          <w:iCs/>
          <w:i/>
        </w:rPr>
        <w:t xml:space="preserve">Biggeri, Libanora, Mariani, and Menchini, on children conceptualising their capabilities.</w:t>
      </w:r>
      <w:r>
        <w:t xml:space="preserve"> </w:t>
      </w:r>
      <w:r>
        <w:t xml:space="preserve">The identifier initially associated with this item resolved to a different paper, specifically the Sen article already cited. This is a textbook chimeric pattern and the item was dropped rather than repaired by guessing a replacement identifier.</w:t>
      </w:r>
    </w:p>
    <w:p>
      <w:pPr>
        <w:pStyle w:val="BodyText"/>
      </w:pPr>
      <w:r>
        <w:rPr>
          <w:iCs/>
          <w:i/>
        </w:rPr>
        <w:t xml:space="preserve">Xie and Hu,</w:t>
      </w:r>
      <w:r>
        <w:rPr>
          <w:iCs/>
          <w:i/>
        </w:rPr>
        <w:t xml:space="preserve"> </w:t>
      </w:r>
      <w:r>
        <w:rPr>
          <w:iCs/>
          <w:i/>
        </w:rPr>
        <w:t xml:space="preserve">“</w:t>
      </w:r>
      <w:r>
        <w:rPr>
          <w:iCs/>
          <w:i/>
        </w:rPr>
        <w:t xml:space="preserve">An Introduction to the China Family Panel Studies</w:t>
      </w:r>
      <w:r>
        <w:rPr>
          <w:iCs/>
          <w:i/>
        </w:rPr>
        <w:t xml:space="preserve">”</w:t>
      </w:r>
      <w:r>
        <w:rPr>
          <w:iCs/>
          <w:i/>
        </w:rPr>
        <w:t xml:space="preserve">.</w:t>
      </w:r>
      <w:r>
        <w:t xml:space="preserve"> </w:t>
      </w:r>
      <w:r>
        <w:t xml:space="preserve">The legacy publisher identifier for this article returns a 404 from Crossref. The article itself is real and its volume, issue, and page range were confirmed, but because the programme committed to a fully resolvable identifier for every English-language entry, the CFPS methodology citation was replaced with Xie and Lu (2015) on the CFPS sampling design, whose identifier resolves cleanly.</w:t>
      </w:r>
    </w:p>
    <w:p>
      <w:pPr>
        <w:pStyle w:val="BodyText"/>
      </w:pPr>
      <w:r>
        <w:rPr>
          <w:iCs/>
          <w:i/>
        </w:rPr>
        <w:t xml:space="preserve">A methodology or cohort-profile paper for the China Education Panel Survey.</w:t>
      </w:r>
      <w:r>
        <w:t xml:space="preserve"> </w:t>
      </w:r>
      <w:r>
        <w:t xml:space="preserve">No such published paper could be located. The official survey site names no recommended citation. CEPS is therefore described in Section 7.2 as a data source and is not attributed to a non-existent profile article.</w:t>
      </w:r>
    </w:p>
    <w:p>
      <w:pPr>
        <w:pStyle w:val="BodyText"/>
      </w:pPr>
      <w:r>
        <w:rPr>
          <w:iCs/>
          <w:i/>
        </w:rPr>
        <w:t xml:space="preserve">A methodology or cohort-profile paper for the Gansu Survey of Children and Families.</w:t>
      </w:r>
      <w:r>
        <w:t xml:space="preserve"> </w:t>
      </w:r>
      <w:r>
        <w:t xml:space="preserve">Same finding, same treatment.</w:t>
      </w:r>
    </w:p>
    <w:p>
      <w:pPr>
        <w:pStyle w:val="BodyText"/>
      </w:pPr>
      <w:r>
        <w:rPr>
          <w:iCs/>
          <w:i/>
        </w:rPr>
        <w:t xml:space="preserve">The previous draft’s inline search-result markers.</w:t>
      </w:r>
      <w:r>
        <w:t xml:space="preserve"> </w:t>
      </w:r>
      <w:r>
        <w:t xml:space="preserve">The earlier version of this proposal contained twelve occurrences of automated search-result reference tokens of the form</w:t>
      </w:r>
      <w:r>
        <w:t xml:space="preserve"> </w:t>
      </w:r>
      <w:r>
        <w:t xml:space="preserve">“</w:t>
      </w:r>
      <w:r>
        <w:t xml:space="preserve">citeturnNsearchN</w:t>
      </w:r>
      <w:r>
        <w:t xml:space="preserve">”</w:t>
      </w:r>
      <w:r>
        <w:t xml:space="preserve"> </w:t>
      </w:r>
      <w:r>
        <w:t xml:space="preserve">embedded in the running text. These are artefacts of an automated drafting tool, not citations. They carried no bibliographic content, could not be resolved to any source, and have been removed. The substantive claims they were attached to have been re-sourced to verifiable references or, where no verifiable source exists, restated as claims about the programme’s own design rather than as claims about the world.</w:t>
      </w:r>
    </w:p>
    <w:bookmarkEnd w:id="86"/>
    <w:bookmarkStart w:id="87" w:name="factual-corrections-carried-forward"/>
    <w:p>
      <w:pPr>
        <w:pStyle w:val="Heading3"/>
      </w:pPr>
      <w:r>
        <w:t xml:space="preserve">16.4 Factual corrections carried forward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 in the previous draft</w:t>
            </w:r>
          </w:p>
        </w:tc>
        <w:tc>
          <w:tcPr/>
          <w:p>
            <w:pPr>
              <w:pStyle w:val="Compact"/>
              <w:jc w:val="left"/>
            </w:pPr>
            <w:r>
              <w:t xml:space="preserve">Correction</w:t>
            </w:r>
          </w:p>
        </w:tc>
        <w:tc>
          <w:tcPr/>
          <w:p>
            <w:pPr>
              <w:pStyle w:val="Compact"/>
              <w:jc w:val="left"/>
            </w:pPr>
            <w:r>
              <w:t xml:space="preserve">Basis</w:t>
            </w:r>
          </w:p>
        </w:tc>
      </w:tr>
      <w:tr>
        <w:tc>
          <w:tcPr/>
          <w:p>
            <w:pPr>
              <w:pStyle w:val="Compact"/>
              <w:jc w:val="left"/>
            </w:pPr>
            <w:r>
              <w:t xml:space="preserve">“</w:t>
            </w:r>
            <w:r>
              <w:t xml:space="preserve">Climate, Environment, and Childhood Inequalities</w:t>
            </w:r>
            <w:r>
              <w:t xml:space="preserve">”</w:t>
            </w:r>
            <w:r>
              <w:t xml:space="preserve"> </w:t>
            </w:r>
            <w:r>
              <w:t xml:space="preserve">as the initiative name</w:t>
            </w:r>
          </w:p>
        </w:tc>
        <w:tc>
          <w:tcPr/>
          <w:p>
            <w:pPr>
              <w:pStyle w:val="Compact"/>
              <w:jc w:val="left"/>
            </w:pPr>
            <w:r>
              <w:t xml:space="preserve">The initiative’s current public name is the Climate, Environment, and Childhood Initiative;</w:t>
            </w:r>
            <w:r>
              <w:t xml:space="preserve"> </w:t>
            </w:r>
            <w:r>
              <w:t xml:space="preserve">“</w:t>
            </w:r>
            <w:r>
              <w:t xml:space="preserve">Inequalities</w:t>
            </w:r>
            <w:r>
              <w:t xml:space="preserve">”</w:t>
            </w:r>
            <w:r>
              <w:t xml:space="preserve"> </w:t>
            </w:r>
            <w:r>
              <w:t xml:space="preserve">belongs to the comparative project’s title</w:t>
            </w:r>
          </w:p>
        </w:tc>
        <w:tc>
          <w:tcPr/>
          <w:p>
            <w:pPr>
              <w:pStyle w:val="Compact"/>
              <w:jc w:val="left"/>
            </w:pPr>
            <w:r>
              <w:t xml:space="preserve">Initiative’s own site</w:t>
            </w:r>
          </w:p>
        </w:tc>
      </w:tr>
      <w:tr>
        <w:tc>
          <w:tcPr/>
          <w:p>
            <w:pPr>
              <w:pStyle w:val="Compact"/>
              <w:jc w:val="left"/>
            </w:pPr>
            <w:r>
              <w:t xml:space="preserve">CECI described as a Penn Population Studies Center or PARC initiative</w:t>
            </w:r>
          </w:p>
        </w:tc>
        <w:tc>
          <w:tcPr/>
          <w:p>
            <w:pPr>
              <w:pStyle w:val="Compact"/>
              <w:jc w:val="left"/>
            </w:pPr>
            <w:r>
              <w:t xml:space="preserve">Not supported; the documented link is a PSC Quartet Pilot seed award</w:t>
            </w:r>
          </w:p>
        </w:tc>
        <w:tc>
          <w:tcPr/>
          <w:p>
            <w:pPr>
              <w:pStyle w:val="Compact"/>
              <w:jc w:val="left"/>
            </w:pPr>
            <w:r>
              <w:t xml:space="preserve">PSC allied centers listing</w:t>
            </w:r>
          </w:p>
        </w:tc>
      </w:tr>
      <w:tr>
        <w:tc>
          <w:tcPr/>
          <w:p>
            <w:pPr>
              <w:pStyle w:val="Compact"/>
              <w:jc w:val="left"/>
            </w:pPr>
            <w:r>
              <w:t xml:space="preserve">Fifth author of the South China birth weight paper given as Qiong Zhao</w:t>
            </w:r>
          </w:p>
        </w:tc>
        <w:tc>
          <w:tcPr/>
          <w:p>
            <w:pPr>
              <w:pStyle w:val="Compact"/>
              <w:jc w:val="left"/>
            </w:pPr>
            <w:r>
              <w:t xml:space="preserve">The author is Qingguo Zhao</w:t>
            </w:r>
          </w:p>
        </w:tc>
        <w:tc>
          <w:tcPr/>
          <w:p>
            <w:pPr>
              <w:pStyle w:val="Compact"/>
              <w:jc w:val="left"/>
            </w:pPr>
            <w:r>
              <w:t xml:space="preserve">Publisher and registry records</w:t>
            </w:r>
          </w:p>
        </w:tc>
      </w:tr>
      <w:tr>
        <w:tc>
          <w:tcPr/>
          <w:p>
            <w:pPr>
              <w:pStyle w:val="Compact"/>
              <w:jc w:val="left"/>
            </w:pPr>
            <w:r>
              <w:t xml:space="preserve">That paper dated to the identifier year</w:t>
            </w:r>
          </w:p>
        </w:tc>
        <w:tc>
          <w:tcPr/>
          <w:p>
            <w:pPr>
              <w:pStyle w:val="Compact"/>
              <w:jc w:val="left"/>
            </w:pPr>
            <w:r>
              <w:t xml:space="preserve">Print issue year is 2022, volume 105, article 102691</w:t>
            </w:r>
          </w:p>
        </w:tc>
        <w:tc>
          <w:tcPr/>
          <w:p>
            <w:pPr>
              <w:pStyle w:val="Compact"/>
              <w:jc w:val="left"/>
            </w:pPr>
            <w:r>
              <w:t xml:space="preserve">Publisher and registry records</w:t>
            </w:r>
          </w:p>
        </w:tc>
      </w:tr>
      <w:tr>
        <w:tc>
          <w:tcPr/>
          <w:p>
            <w:pPr>
              <w:pStyle w:val="Compact"/>
              <w:jc w:val="left"/>
            </w:pPr>
            <w:r>
              <w:t xml:space="preserve">“</w:t>
            </w:r>
            <w:r>
              <w:t xml:space="preserve">GBD 2023 Risk Factors Collaborators</w:t>
            </w:r>
            <w:r>
              <w:t xml:space="preserve">”</w:t>
            </w:r>
            <w:r>
              <w:t xml:space="preserve"> </w:t>
            </w:r>
            <w:r>
              <w:t xml:space="preserve">implied as a standalone citable capstone</w:t>
            </w:r>
          </w:p>
        </w:tc>
        <w:tc>
          <w:tcPr/>
          <w:p>
            <w:pPr>
              <w:pStyle w:val="Compact"/>
              <w:jc w:val="left"/>
            </w:pPr>
            <w:r>
              <w:t xml:space="preserve">No such standalone article exists; GBD 2023 merged the disability-adjusted life year and risk-factor capstones into a single paper</w:t>
            </w:r>
          </w:p>
        </w:tc>
        <w:tc>
          <w:tcPr/>
          <w:p>
            <w:pPr>
              <w:pStyle w:val="Compact"/>
              <w:jc w:val="left"/>
            </w:pPr>
            <w:r>
              <w:t xml:space="preserve">The Lancet 406(10513)</w:t>
            </w:r>
          </w:p>
        </w:tc>
      </w:tr>
      <w:tr>
        <w:tc>
          <w:tcPr/>
          <w:p>
            <w:pPr>
              <w:pStyle w:val="Compact"/>
              <w:jc w:val="left"/>
            </w:pPr>
            <w:r>
              <w:t xml:space="preserve">Subnational coverage carried over from GBD 2021</w:t>
            </w:r>
          </w:p>
        </w:tc>
        <w:tc>
          <w:tcPr/>
          <w:p>
            <w:pPr>
              <w:pStyle w:val="Compact"/>
              <w:jc w:val="left"/>
            </w:pPr>
            <w:r>
              <w:t xml:space="preserve">GBD 2023 covers 660 subnational locations; GBD 2021 covered 811</w:t>
            </w:r>
          </w:p>
        </w:tc>
        <w:tc>
          <w:tcPr/>
          <w:p>
            <w:pPr>
              <w:pStyle w:val="Compact"/>
              <w:jc w:val="left"/>
            </w:pPr>
            <w:r>
              <w:t xml:space="preserve">Capstone titles</w:t>
            </w:r>
          </w:p>
        </w:tc>
      </w:tr>
    </w:tbl>
    <w:bookmarkEnd w:id="87"/>
    <w:bookmarkStart w:id="88" w:name="standing-limitations-of-the-audit"/>
    <w:p>
      <w:pPr>
        <w:pStyle w:val="Heading3"/>
      </w:pPr>
      <w:r>
        <w:t xml:space="preserve">16.5 Standing limitations of the audit</w:t>
      </w:r>
    </w:p>
    <w:p>
      <w:pPr>
        <w:pStyle w:val="FirstParagraph"/>
      </w:pPr>
      <w:r>
        <w:t xml:space="preserve">Three limitations are recorded so that the audit is not over-read.</w:t>
      </w:r>
    </w:p>
    <w:p>
      <w:pPr>
        <w:pStyle w:val="BodyText"/>
      </w:pPr>
      <w:r>
        <w:t xml:space="preserve">First, verification establishes that a source exists and that its identifier resolves to the claimed paper. It does not establish that every finding attributed to that source in Section 4 is stated with the precision the source intended. Where a specific numerical finding is quoted in this document, it was taken from a retrieved abstract or record; where only bibliographic metadata could be retrieved, the reference is used to support the existence of a literature rather than a specific quantitative claim.</w:t>
      </w:r>
    </w:p>
    <w:p>
      <w:pPr>
        <w:pStyle w:val="BodyText"/>
      </w:pPr>
      <w:r>
        <w:t xml:space="preserve">Second, Chinese-language sources were verified on their publishers’ own abstract pages because the Chinese DOI prefixes used by these journals do not resolve through Crossref’s interface. This is a property of the Chinese scholarly infrastructure, not evidence of unreliability, and the entries are marked accordingly in Section 17.2. Several substantively relevant Chinese articles located in journals behind access controls could not be verified and were therefore excluded, which means Section 17.2 under-represents rather than over-represents the Chinese-language literature.</w:t>
      </w:r>
    </w:p>
    <w:p>
      <w:pPr>
        <w:pStyle w:val="BodyText"/>
      </w:pPr>
      <w:r>
        <w:t xml:space="preserve">Third, retraction status was not checked systematically for every entry, because retraction registry access was not available in this environment. This is recorded as an outstanding task rather than as a completed check, and it will be run before any of these references is carried into a submitted manuscript.</w:t>
      </w:r>
    </w:p>
    <w:bookmarkEnd w:id="88"/>
    <w:bookmarkStart w:id="89" w:name="overall-assessment"/>
    <w:p>
      <w:pPr>
        <w:pStyle w:val="Heading3"/>
      </w:pPr>
      <w:r>
        <w:t xml:space="preserve">16.6 Overall assessment</w:t>
      </w:r>
    </w:p>
    <w:p>
      <w:pPr>
        <w:pStyle w:val="FirstParagraph"/>
      </w:pPr>
      <w:r>
        <w:t xml:space="preserve">Citation confidence for the English-language reference list is high: 127 of 127 identifiers resolved and matched. Citation confidence for the Chinese-language list is moderate: all 14 entries were confirmed on publisher pages, but through a single route rather than two independent registries. Evidence level for the substantive claims in Section 4 is high for the pollution and child health relationship, high for the heat and human capital relationship, moderate for the interaction between heat and pollution in adult mortality, and low for the interaction in child welfare outcomes, which is precisely why the latter is this programme’s central question rather than its premise.</w:t>
      </w:r>
    </w:p>
    <w:p>
      <w:r>
        <w:pict>
          <v:rect style="width:0;height:1.5pt" o:hralign="center" o:hrstd="t" o:hr="t"/>
        </w:pict>
      </w:r>
    </w:p>
    <w:bookmarkEnd w:id="89"/>
    <w:bookmarkEnd w:id="90"/>
    <w:bookmarkStart w:id="94" w:name="references"/>
    <w:p>
      <w:pPr>
        <w:pStyle w:val="Heading2"/>
      </w:pPr>
      <w:r>
        <w:t xml:space="preserve">17. References</w:t>
      </w:r>
    </w:p>
    <w:bookmarkStart w:id="91" w:name="english-language-references"/>
    <w:p>
      <w:pPr>
        <w:pStyle w:val="Heading3"/>
      </w:pPr>
      <w:r>
        <w:t xml:space="preserve">17.1 English-language references</w:t>
      </w:r>
    </w:p>
    <w:p>
      <w:pPr>
        <w:pStyle w:val="FirstParagraph"/>
      </w:pPr>
      <w:r>
        <w:t xml:space="preserve">Every entry below carries a persistent identifier that was independently resolved and matched to the cited title. Style is APA 7th edition throughout.</w:t>
      </w:r>
    </w:p>
    <w:p>
      <w:pPr>
        <w:numPr>
          <w:ilvl w:val="0"/>
          <w:numId w:val="1001"/>
        </w:numPr>
        <w:pStyle w:val="Compact"/>
      </w:pPr>
      <w:r>
        <w:t xml:space="preserve">Alkire, S., &amp; Foster, J. (2011). Counting and multidimensional poverty measurement. Journal of Public Economics, 95(7-8), 476-487. https://doi.org/10.1016/j.jpubeco.2010.11.006</w:t>
      </w:r>
    </w:p>
    <w:p>
      <w:pPr>
        <w:numPr>
          <w:ilvl w:val="0"/>
          <w:numId w:val="1001"/>
        </w:numPr>
        <w:pStyle w:val="Compact"/>
      </w:pPr>
      <w:r>
        <w:t xml:space="preserve">Almond, D., &amp; Currie, J. (2011). Killing me softly: The fetal origins hypothesis. Journal of Economic Perspectives, 25(3), 153-172. https://doi.org/10.1257/jep.25.3.153</w:t>
      </w:r>
    </w:p>
    <w:p>
      <w:pPr>
        <w:numPr>
          <w:ilvl w:val="0"/>
          <w:numId w:val="1001"/>
        </w:numPr>
        <w:pStyle w:val="Compact"/>
      </w:pPr>
      <w:r>
        <w:t xml:space="preserve">Almond, D., &amp; Mazumder, B. (2013). Fetal origins and parental responses. Annual Review of Economics, 5(1), 37-56. https://doi.org/10.1146/annurev-economics-082912-110145</w:t>
      </w:r>
    </w:p>
    <w:p>
      <w:pPr>
        <w:numPr>
          <w:ilvl w:val="0"/>
          <w:numId w:val="1001"/>
        </w:numPr>
        <w:pStyle w:val="Compact"/>
      </w:pPr>
      <w:r>
        <w:t xml:space="preserve">Almond, D., Currie, J., &amp; Duque, V. (2018). Childhood circumstances and adult outcomes: Act II. Journal of Economic Literature, 56(4), 1360-1446. https://doi.org/10.1257/jel.20171164</w:t>
      </w:r>
    </w:p>
    <w:p>
      <w:pPr>
        <w:numPr>
          <w:ilvl w:val="0"/>
          <w:numId w:val="1001"/>
        </w:numPr>
        <w:pStyle w:val="Compact"/>
      </w:pPr>
      <w:r>
        <w:t xml:space="preserve">Analitis, A., Michelozzi, P., D’Ippoliti, D., de’Donato, F., Menne, B., Matthies, F., Atkinson, R. W., Iniguez, C., Basagana, X., Schneider, A., Lefranc, A., Paldy, A., Bisanti, L., &amp; Katsouyanni, K. (2014). Effects of heat waves on mortality: Effect modification and confounding by air pollutants. Epidemiology, 25(1), 15-22. https://doi.org/10.1097/EDE.0b013e31828ac01b</w:t>
      </w:r>
    </w:p>
    <w:p>
      <w:pPr>
        <w:numPr>
          <w:ilvl w:val="0"/>
          <w:numId w:val="1001"/>
        </w:numPr>
        <w:pStyle w:val="Compact"/>
      </w:pPr>
      <w:r>
        <w:t xml:space="preserve">Anderson, M. L. (2008). Multiple inference and gender differences in the effects of early intervention: A reevaluation of the Abecedarian, Perry Preschool, and Early Training Projects. Journal of the American Statistical Association, 103(484), 1481-1495. https://doi.org/10.1198/016214508000000841</w:t>
      </w:r>
    </w:p>
    <w:p>
      <w:pPr>
        <w:numPr>
          <w:ilvl w:val="0"/>
          <w:numId w:val="1001"/>
        </w:numPr>
        <w:pStyle w:val="Compact"/>
      </w:pPr>
      <w:r>
        <w:t xml:space="preserve">Arceo, E., Hanna, R., &amp; Oliva, P. (2016). Does the effect of pollution on infant mortality differ between developing and developed countries? Evidence from Mexico City. The Economic Journal, 126(591), 257-280. https://doi.org/10.1111/ecoj.12273</w:t>
      </w:r>
    </w:p>
    <w:p>
      <w:pPr>
        <w:numPr>
          <w:ilvl w:val="0"/>
          <w:numId w:val="1001"/>
        </w:numPr>
        <w:pStyle w:val="Compact"/>
      </w:pPr>
      <w:r>
        <w:t xml:space="preserve">Asaria, M., Griffin, S., &amp; Cookson, R. (2016). Distributional cost-effectiveness analysis: A tutorial. Medical Decision Making, 36(1), 8-19. https://doi.org/10.1177/0272989X15583266</w:t>
      </w:r>
    </w:p>
    <w:p>
      <w:pPr>
        <w:numPr>
          <w:ilvl w:val="0"/>
          <w:numId w:val="1001"/>
        </w:numPr>
        <w:pStyle w:val="Compact"/>
      </w:pPr>
      <w:r>
        <w:t xml:space="preserve">Barnett, I., Ariana, P., Petrou, S., Penny, M. E., Duc, L. T., Galab, S., Woldehanna, T., Escobal, J. A., Plugge, E., &amp; Boyden, J. (2013). Cohort profile: The Young Lives Study. International Journal of Epidemiology, 42(3), 701-708. https://doi.org/10.1093/ije/dys082</w:t>
      </w:r>
    </w:p>
    <w:p>
      <w:pPr>
        <w:numPr>
          <w:ilvl w:val="0"/>
          <w:numId w:val="1001"/>
        </w:numPr>
        <w:pStyle w:val="Compact"/>
      </w:pPr>
      <w:r>
        <w:t xml:space="preserve">Barreca, A., &amp; Schaller, J. (2020). The impact of high ambient temperatures on delivery timing and gestational lengths. Nature Climate Change, 10(1), 77-82. https://doi.org/10.1038/s41558-019-0632-4</w:t>
      </w:r>
    </w:p>
    <w:p>
      <w:pPr>
        <w:numPr>
          <w:ilvl w:val="0"/>
          <w:numId w:val="1001"/>
        </w:numPr>
        <w:pStyle w:val="Compact"/>
      </w:pPr>
      <w:r>
        <w:t xml:space="preserve">Bekkar, B., Pacheco, S., Basu, R., &amp; DeNicola, N. (2020). Association of air pollution and heat exposure with preterm birth, low birth weight, and stillbirth in the US: A systematic review. JAMA Network Open, 3(6), e208243. https://doi.org/10.1001/jamanetworkopen.2020.8243</w:t>
      </w:r>
    </w:p>
    <w:p>
      <w:pPr>
        <w:numPr>
          <w:ilvl w:val="0"/>
          <w:numId w:val="1001"/>
        </w:numPr>
        <w:pStyle w:val="Compact"/>
      </w:pPr>
      <w:r>
        <w:t xml:space="preserve">Besag, J., York, J., &amp; Mollie, A. (1991). Bayesian image restoration, with two applications in spatial statistics. Annals of the Institute of Statistical Mathematics, 43(1), 1-20. https://doi.org/10.1007/BF00116466</w:t>
      </w:r>
    </w:p>
    <w:p>
      <w:pPr>
        <w:numPr>
          <w:ilvl w:val="0"/>
          <w:numId w:val="1001"/>
        </w:numPr>
        <w:pStyle w:val="Compact"/>
      </w:pPr>
      <w:r>
        <w:t xml:space="preserve">Bharadwaj, P., Eberhard, J. P., &amp; Neilson, C. A. (2018). Health at birth, parental investments, and academic outcomes. Journal of Labor Economics, 36(2), 349-394. https://doi.org/10.1086/695616</w:t>
      </w:r>
    </w:p>
    <w:p>
      <w:pPr>
        <w:numPr>
          <w:ilvl w:val="0"/>
          <w:numId w:val="1001"/>
        </w:numPr>
        <w:pStyle w:val="Compact"/>
      </w:pPr>
      <w:r>
        <w:t xml:space="preserve">Bharadwaj, P., Gibson, M., Graff Zivin, J., &amp; Neilson, C. (2017). Gray matters: Fetal pollution exposure and human capital formation. Journal of the Association of Environmental and Resource Economists, 4(2), 505-542. https://doi.org/10.1086/691591</w:t>
      </w:r>
    </w:p>
    <w:p>
      <w:pPr>
        <w:numPr>
          <w:ilvl w:val="0"/>
          <w:numId w:val="1001"/>
        </w:numPr>
        <w:pStyle w:val="Compact"/>
      </w:pPr>
      <w:r>
        <w:t xml:space="preserve">Bhutta, Z. A. (2025). Global Burden of Disease 2023: Challenges and opportunities for a growing collaboration. PLOS Medicine, 22(11), Article e1004838. https://doi.org/10.1371/journal.pmed.1004838</w:t>
      </w:r>
    </w:p>
    <w:p>
      <w:pPr>
        <w:numPr>
          <w:ilvl w:val="0"/>
          <w:numId w:val="1001"/>
        </w:numPr>
        <w:pStyle w:val="Compact"/>
      </w:pPr>
      <w:r>
        <w:t xml:space="preserve">Bobb, J. F., Valeri, L., Claus Henn, B., Christiani, D. C., Wright, R. O., Mazumdar, M., Godleski, J. J., &amp; Coull, B. A. (2015). Bayesian kernel machine regression for estimating the health effects of multi-pollutant mixtures. Biostatistics, 16(3), 493-508. https://doi.org/10.1093/biostatistics/kxu058</w:t>
      </w:r>
    </w:p>
    <w:p>
      <w:pPr>
        <w:numPr>
          <w:ilvl w:val="0"/>
          <w:numId w:val="1001"/>
        </w:numPr>
        <w:pStyle w:val="Compact"/>
      </w:pPr>
      <w:r>
        <w:t xml:space="preserve">Borusyak, K., Jaravel, X., &amp; Spiess, J. (2024). Revisiting event-study designs: Robust and efficient estimation. The Review of Economic Studies, 91(6), 3253-3285. https://doi.org/10.1093/restud/rdae007</w:t>
      </w:r>
    </w:p>
    <w:p>
      <w:pPr>
        <w:numPr>
          <w:ilvl w:val="0"/>
          <w:numId w:val="1001"/>
        </w:numPr>
        <w:pStyle w:val="Compact"/>
      </w:pPr>
      <w:r>
        <w:t xml:space="preserve">Burke, M., Childs, M. L., de la Cuesta, B., Qiu, M., Li, J., Gould, C. F., Heft-Neal, S., &amp; Wara, M. (2023). The contribution of wildfire to PM2.5 trends in the USA. Nature, 622(7984), 761-766. https://doi.org/10.1038/s41586-023-06522-6</w:t>
      </w:r>
    </w:p>
    <w:p>
      <w:pPr>
        <w:numPr>
          <w:ilvl w:val="0"/>
          <w:numId w:val="1001"/>
        </w:numPr>
        <w:pStyle w:val="Compact"/>
      </w:pPr>
      <w:r>
        <w:t xml:space="preserve">Burnett, R. T., Pope, C. A., III, Ezzati, M., Olives, C., Lim, S. S., Mehta, S., Shin, H. H., Singh, G., Hubbell, B., Brauer, M., Anderson, H. R., Smith, K. R., Balmes, J. R., Bruce, N. G., Kan, H., Laden, F., Pruss-Ustun, A., Turner, M. C., Gapstur, S. M., … Cohen, A. (2014). An integrated risk function for estimating the global burden of disease attributable to ambient fine particulate matter exposure. Environmental Health Perspectives, 122(4), 397-403. https://doi.org/10.1289/ehp.1307049</w:t>
      </w:r>
    </w:p>
    <w:p>
      <w:pPr>
        <w:numPr>
          <w:ilvl w:val="0"/>
          <w:numId w:val="1001"/>
        </w:numPr>
        <w:pStyle w:val="Compact"/>
      </w:pPr>
      <w:r>
        <w:t xml:space="preserve">Burnett, R., Chen, H., Szyszkowicz, M., Fann, N., Hubbell, B., Pope, C. A., III, Apte, J. S., Brauer, M., Cohen, A., Weichenthal, S., Coggins, J., Di, Q., Brunekreef, B., Frostad, J., Lim, S. S., Kan, H., Walker, K. D., Thurston, G. D., Hayes, R. B., … Spadaro, J. V. (2018). Global estimates of mortality associated with long-term exposure to outdoor fine particulate matter. Proceedings of the National Academy of Sciences, 115(38), 9592-9597. https://doi.org/10.1073/pnas.1803222115</w:t>
      </w:r>
    </w:p>
    <w:p>
      <w:pPr>
        <w:numPr>
          <w:ilvl w:val="0"/>
          <w:numId w:val="1001"/>
        </w:numPr>
        <w:pStyle w:val="Compact"/>
      </w:pPr>
      <w:r>
        <w:t xml:space="preserve">Byass, P., de Courten, M., Graham, W. J., Laflamme, L., McCaw-Binns, A., Sankoh, O. A., Tollman, S. M., &amp; Zaba, B. (2013). Reflections on the Global Burden of Disease 2010 estimates. PLoS Medicine, 10(7), Article e1001477. https://doi.org/10.1371/journal.pmed.1001477</w:t>
      </w:r>
    </w:p>
    <w:p>
      <w:pPr>
        <w:numPr>
          <w:ilvl w:val="0"/>
          <w:numId w:val="1001"/>
        </w:numPr>
        <w:pStyle w:val="Compact"/>
      </w:pPr>
      <w:r>
        <w:t xml:space="preserve">Cai, J., Zhao, Y., Kan, J., Chen, R., Martin, R. V., van Donkelaar, A., Ao, J., Zhang, J., Kan, H., &amp; Hua, J. (2020). Prenatal exposure to specific PM2.5 chemical constituents and preterm birth in China: A nationwide cohort study. Environmental Science and Technology, 54(22), 14494-14501. https://doi.org/10.1021/acs.est.0c02373</w:t>
      </w:r>
    </w:p>
    <w:p>
      <w:pPr>
        <w:numPr>
          <w:ilvl w:val="0"/>
          <w:numId w:val="1001"/>
        </w:numPr>
        <w:pStyle w:val="Compact"/>
      </w:pPr>
      <w:r>
        <w:t xml:space="preserve">Callaway, B., &amp; Sant’Anna, P. H. C. (2021). Difference-in-differences with multiple time periods. Journal of Econometrics, 225(2), 200-230. https://doi.org/10.1016/j.jeconom.2020.12.001</w:t>
      </w:r>
    </w:p>
    <w:p>
      <w:pPr>
        <w:numPr>
          <w:ilvl w:val="0"/>
          <w:numId w:val="1001"/>
        </w:numPr>
        <w:pStyle w:val="Compact"/>
      </w:pPr>
      <w:r>
        <w:t xml:space="preserve">Carrico, C., Gennings, C., Wheeler, D. C., &amp; Factor-Litvak, P. (2015). Characterization of weighted quantile sum regression for highly correlated data in a risk analysis setting. Journal of Agricultural, Biological, and Environmental Statistics, 20(1), 100-120. https://doi.org/10.1007/s13253-014-0180-3</w:t>
      </w:r>
    </w:p>
    <w:p>
      <w:pPr>
        <w:numPr>
          <w:ilvl w:val="0"/>
          <w:numId w:val="1001"/>
        </w:numPr>
        <w:pStyle w:val="Compact"/>
      </w:pPr>
      <w:r>
        <w:t xml:space="preserve">Caruso, G. (2017). The legacy of natural disasters: The intergenerational impact of 100 years of disasters in Latin America. Journal of Development Economics, 127, 209-233. https://doi.org/10.1016/j.jdeveco.2017.03.007</w:t>
      </w:r>
    </w:p>
    <w:p>
      <w:pPr>
        <w:numPr>
          <w:ilvl w:val="0"/>
          <w:numId w:val="1001"/>
        </w:numPr>
        <w:pStyle w:val="Compact"/>
      </w:pPr>
      <w:r>
        <w:t xml:space="preserve">Chay, K. Y., &amp; Greenstone, M. (2003). The impact of air pollution on infant mortality: Evidence from geographic variation in pollution shocks induced by a recession. The Quarterly Journal of Economics, 118(3), 1121-1167. https://doi.org/10.1162/00335530360698513</w:t>
      </w:r>
    </w:p>
    <w:p>
      <w:pPr>
        <w:numPr>
          <w:ilvl w:val="0"/>
          <w:numId w:val="1001"/>
        </w:numPr>
        <w:pStyle w:val="Compact"/>
      </w:pPr>
      <w:r>
        <w:t xml:space="preserve">Chen, K. Z., Zeng, P., Song, Z., &amp; Shi, X. (2026). Opportunities swept away: How do floods affect children’s educational outcomes in rural China? Review of Development Economics. Advance online publication. https://doi.org/10.1111/rode.70166</w:t>
      </w:r>
    </w:p>
    <w:p>
      <w:pPr>
        <w:numPr>
          <w:ilvl w:val="0"/>
          <w:numId w:val="1001"/>
        </w:numPr>
        <w:pStyle w:val="Compact"/>
      </w:pPr>
      <w:r>
        <w:t xml:space="preserve">Chen, K., Wolf, K., Breitner, S., Gasparrini, A., Stafoggia, M., Samoli, E., Andersen, Z. J., Bero-Bedada, G., Bellander, T., Hennig, F., Jacquemin, B., Pekkanen, J., Hampel, R., Cyrys, J., Peters, A., &amp; Schneider, A. (2018). Two-way effect modifications of air pollution and air temperature on total natural and cardiovascular mortality in eight European urban areas. Environment International, 116, 186-196. https://doi.org/10.1016/j.envint.2018.04.021</w:t>
      </w:r>
    </w:p>
    <w:p>
      <w:pPr>
        <w:numPr>
          <w:ilvl w:val="0"/>
          <w:numId w:val="1001"/>
        </w:numPr>
        <w:pStyle w:val="Compact"/>
      </w:pPr>
      <w:r>
        <w:t xml:space="preserve">Chen, R., Yin, P., Wang, L., Liu, C., Niu, Y., Wang, W., Jiang, Y., Liu, Y., Liu, J., Qi, J., You, J., Kan, H., &amp; Zhou, M. (2018). Association between ambient temperature and mortality risk and burden: Time series study in 272 main Chinese cities. BMJ, 363, k4306. https://doi.org/10.1136/bmj.k4306</w:t>
      </w:r>
    </w:p>
    <w:p>
      <w:pPr>
        <w:numPr>
          <w:ilvl w:val="0"/>
          <w:numId w:val="1001"/>
        </w:numPr>
        <w:pStyle w:val="Compact"/>
      </w:pPr>
      <w:r>
        <w:t xml:space="preserve">Chen, Y., Ebenstein, A., Greenstone, M., &amp; Li, H. (2013). Evidence on the impact of sustained exposure to air pollution on life expectancy from China’s Huai River policy. Proceedings of the National Academy of Sciences, 110(32), 12936-12941. https://doi.org/10.1073/pnas.1300018110</w:t>
      </w:r>
    </w:p>
    <w:p>
      <w:pPr>
        <w:numPr>
          <w:ilvl w:val="0"/>
          <w:numId w:val="1001"/>
        </w:numPr>
        <w:pStyle w:val="Compact"/>
      </w:pPr>
      <w:r>
        <w:t xml:space="preserve">Chersich, M. F., Pham, M. D., Areal, A., Haghighi, M. M., Manyuchi, A., Swift, C. P., Wernecke, B., Robinson, M., Hetem, R., Boeckmann, M., &amp; Hajat, S. (2020). Associations between high temperatures in pregnancy and risk of preterm birth, low birth weight, and stillbirths: Systematic review and meta-analysis. BMJ, 371, m3811. https://doi.org/10.1136/bmj.m3811</w:t>
      </w:r>
    </w:p>
    <w:p>
      <w:pPr>
        <w:numPr>
          <w:ilvl w:val="0"/>
          <w:numId w:val="1001"/>
        </w:numPr>
        <w:pStyle w:val="Compact"/>
      </w:pPr>
      <w:r>
        <w:t xml:space="preserve">Clasen, T. F., Chang, H. H., Thompson, L. M., Kirby, M. A., Balakrishnan, K., Diaz-Artiga, A., McCracken, J. P., Rosa, G., Steenland, K., Younger, A., Aravindalochanan, V., Barr, D. B., Castanaza, A., Chen, Y., Chiang, M., Clark, M. L., Garg, S., Hartinger, S., Jabbarzadeh, S., … Peel, J. L. (2022). Liquefied petroleum gas or biomass for cooking and effects on birth weight. New England Journal of Medicine, 387(19), 1735-1746. https://doi.org/10.1056/NEJMoa2206734</w:t>
      </w:r>
    </w:p>
    <w:p>
      <w:pPr>
        <w:numPr>
          <w:ilvl w:val="0"/>
          <w:numId w:val="1001"/>
        </w:numPr>
        <w:pStyle w:val="Compact"/>
      </w:pPr>
      <w:r>
        <w:t xml:space="preserve">Cookson, R., Mirelman, A. J., Griffin, S., Asaria, M., Dawkins, B., Norheim, O. F., Verguet, S., &amp; Culyer, A. J. (2017). Using cost-effectiveness analysis to address health equity concerns. Value in Health, 20(2), 206-212. https://doi.org/10.1016/j.jval.2016.11.027</w:t>
      </w:r>
    </w:p>
    <w:p>
      <w:pPr>
        <w:numPr>
          <w:ilvl w:val="0"/>
          <w:numId w:val="1001"/>
        </w:numPr>
        <w:pStyle w:val="Compact"/>
      </w:pPr>
      <w:r>
        <w:t xml:space="preserve">Corsi, D. J., Neuman, M., Finlay, J. E., &amp; Subramanian, S. V. (2012). Demographic and health surveys: A profile. International Journal of Epidemiology, 41(6), 1602-1613. https://doi.org/10.1093/ije/dys184</w:t>
      </w:r>
    </w:p>
    <w:p>
      <w:pPr>
        <w:numPr>
          <w:ilvl w:val="0"/>
          <w:numId w:val="1001"/>
        </w:numPr>
        <w:pStyle w:val="Compact"/>
      </w:pPr>
      <w:r>
        <w:t xml:space="preserve">Currie, J., &amp; Vogl, T. (2013). Early-life health and adult circumstance in developing countries. Annual Review of Economics, 5(1), 1-36. https://doi.org/10.1146/annurev-economics-081412-103704</w:t>
      </w:r>
    </w:p>
    <w:p>
      <w:pPr>
        <w:numPr>
          <w:ilvl w:val="0"/>
          <w:numId w:val="1001"/>
        </w:numPr>
        <w:pStyle w:val="Compact"/>
      </w:pPr>
      <w:r>
        <w:t xml:space="preserve">de Chaisemartin, C., &amp; D’Haultfoeuille, X. (2020). Two-way fixed effects estimators with heterogeneous treatment effects. American Economic Review, 110(9), 2964-2996. https://doi.org/10.1257/aer.20181169</w:t>
      </w:r>
    </w:p>
    <w:p>
      <w:pPr>
        <w:numPr>
          <w:ilvl w:val="0"/>
          <w:numId w:val="1001"/>
        </w:numPr>
        <w:pStyle w:val="Compact"/>
      </w:pPr>
      <w:r>
        <w:t xml:space="preserve">Deuchert, E., &amp; Felfe, C. (2015). The tempest: Short- and long-term consequences of a natural disaster for children’s development. European Economic Review, 80, 280-294. https://doi.org/10.1016/j.euroecorev.2015.09.004</w:t>
      </w:r>
    </w:p>
    <w:p>
      <w:pPr>
        <w:numPr>
          <w:ilvl w:val="0"/>
          <w:numId w:val="1001"/>
        </w:numPr>
        <w:pStyle w:val="Compact"/>
      </w:pPr>
      <w:r>
        <w:t xml:space="preserve">Dimitrova, A., Dimitrova, A., Mengel, M., Gasparrini, A., Lotze-Campen, H., &amp; Gabrysch, S. (2024). Temperature-related neonatal deaths attributable to climate change in 29 low- and middle-income countries. Nature Communications, 15(1), 5504. https://doi.org/10.1038/s41467-024-49890-x</w:t>
      </w:r>
    </w:p>
    <w:p>
      <w:pPr>
        <w:numPr>
          <w:ilvl w:val="0"/>
          <w:numId w:val="1001"/>
        </w:numPr>
        <w:pStyle w:val="Compact"/>
      </w:pPr>
      <w:r>
        <w:t xml:space="preserve">Ebenstein, A., Fan, M., Greenstone, M., He, G., &amp; Zhou, M. (2017). New evidence on the impact of sustained exposure to air pollution on life expectancy from China’s Huai River Policy. Proceedings of the National Academy of Sciences, 114(39), 10384-10389. https://doi.org/10.1073/pnas.1616784114</w:t>
      </w:r>
    </w:p>
    <w:p>
      <w:pPr>
        <w:numPr>
          <w:ilvl w:val="0"/>
          <w:numId w:val="1001"/>
        </w:numPr>
        <w:pStyle w:val="Compact"/>
      </w:pPr>
      <w:r>
        <w:t xml:space="preserve">Eyring, V., Bony, S., Meehl, G. A., Senior, C. A., Stevens, B., Stouffer, R. J., &amp; Taylor, K. E. (2016). Overview of the Coupled Model Intercomparison Project Phase 6 (CMIP6) experimental design and organization. Geoscientific Model Development, 9(5), 1937-1958. https://doi.org/10.5194/gmd-9-1937-2016</w:t>
      </w:r>
    </w:p>
    <w:p>
      <w:pPr>
        <w:numPr>
          <w:ilvl w:val="0"/>
          <w:numId w:val="1001"/>
        </w:numPr>
        <w:pStyle w:val="Compact"/>
      </w:pPr>
      <w:r>
        <w:t xml:space="preserve">Fan, M., He, G., &amp; Zhou, M. (2020). The winter choke: Coal-fired heating, air pollution, and mortality in China. Journal of Health Economics, 71, 102316. https://doi.org/10.1016/j.jhealeco.2020.102316</w:t>
      </w:r>
    </w:p>
    <w:p>
      <w:pPr>
        <w:numPr>
          <w:ilvl w:val="0"/>
          <w:numId w:val="1001"/>
        </w:numPr>
        <w:pStyle w:val="Compact"/>
      </w:pPr>
      <w:r>
        <w:t xml:space="preserve">Favara, M., Crivello, G., Penny, M., Porter, C., Revathi, E., Sanchez, A., Scott, D., Duc, L. T., Woldehanna, T., &amp; McKay, A. (2021). Cohort profile update: The Young Lives study. International Journal of Epidemiology, 50(6), 1784-1785e. https://doi.org/10.1093/ije/dyab111</w:t>
      </w:r>
    </w:p>
    <w:p>
      <w:pPr>
        <w:numPr>
          <w:ilvl w:val="0"/>
          <w:numId w:val="1001"/>
        </w:numPr>
        <w:pStyle w:val="Compact"/>
      </w:pPr>
      <w:r>
        <w:t xml:space="preserve">Fiore, A. M., Naik, V., &amp; Leibensperger, E. M. (2015). Air quality and climate connections. Journal of the Air and Waste Management Association, 65(6), 645-685. https://doi.org/10.1080/10962247.2015.1040526</w:t>
      </w:r>
    </w:p>
    <w:p>
      <w:pPr>
        <w:numPr>
          <w:ilvl w:val="0"/>
          <w:numId w:val="1001"/>
        </w:numPr>
        <w:pStyle w:val="Compact"/>
      </w:pPr>
      <w:r>
        <w:t xml:space="preserve">Funk, C., Peterson, P., Landsfeld, M., Pedreros, D., Verdin, J., Shukla, S., Husak, G., Rowland, J., Harrison, L., Hoell, A., &amp; Michaelsen, J. (2015). The climate hazards infrared precipitation with stations, a new environmental record for monitoring extremes. Scientific Data, 2(1), Article 150066. https://doi.org/10.1038/sdata.2015.66</w:t>
      </w:r>
    </w:p>
    <w:p>
      <w:pPr>
        <w:numPr>
          <w:ilvl w:val="0"/>
          <w:numId w:val="1001"/>
        </w:numPr>
        <w:pStyle w:val="Compact"/>
      </w:pPr>
      <w:r>
        <w:t xml:space="preserve">Gao, M., Wang, F., Ding, Y., Wu, Z., Xu, Y., Lu, X., Wang, Z., Carmichael, G. R., &amp; McElroy, M. B. (2023). Large-scale climate patterns offer preseasonal hints on the co-occurrence of heat wave and O3 pollution in China. Proceedings of the National Academy of Sciences, 120(26), Article e2218274120. https://doi.org/10.1073/pnas.2218274120</w:t>
      </w:r>
    </w:p>
    <w:p>
      <w:pPr>
        <w:numPr>
          <w:ilvl w:val="0"/>
          <w:numId w:val="1001"/>
        </w:numPr>
        <w:pStyle w:val="Compact"/>
      </w:pPr>
      <w:r>
        <w:t xml:space="preserve">Garg, T., Jagnani, M., &amp; Taraz, V. (2020). Temperature and human capital in India. Journal of the Association of Environmental and Resource Economists, 7(6), 1113-1150. https://doi.org/10.1086/710066</w:t>
      </w:r>
    </w:p>
    <w:p>
      <w:pPr>
        <w:numPr>
          <w:ilvl w:val="0"/>
          <w:numId w:val="1001"/>
        </w:numPr>
        <w:pStyle w:val="Compact"/>
      </w:pPr>
      <w:r>
        <w:t xml:space="preserve">Gasparrini, A., Armstrong, B., &amp; Kenward, M. G. (2010). Distributed lag non-linear models. Statistics in Medicine, 29(21), 2224-2234. https://doi.org/10.1002/sim.3940</w:t>
      </w:r>
    </w:p>
    <w:p>
      <w:pPr>
        <w:numPr>
          <w:ilvl w:val="0"/>
          <w:numId w:val="1001"/>
        </w:numPr>
        <w:pStyle w:val="Compact"/>
      </w:pPr>
      <w:r>
        <w:t xml:space="preserve">Gasparrini, A., Guo, Y., Hashizume, M., Lavigne, E., Zanobetti, A., Schwartz, J., Tobias, A., Tong, S., Rocklov, J., Forsberg, B., Leone, M., De Sario, M., Bell, M. L., Guo, Y.-L. L., Wu, C.-F., Kan, H., Yi, S.-M., Coelho, M. de S. Z. S., Saldiva, P. H. N., … Armstrong, B. (2015). Mortality risk attributable to high and low ambient temperature: A multicountry observational study. The Lancet, 386(9991), 369-375. https://doi.org/10.1016/S0140-6736(14)62114-0</w:t>
      </w:r>
    </w:p>
    <w:p>
      <w:pPr>
        <w:numPr>
          <w:ilvl w:val="0"/>
          <w:numId w:val="1001"/>
        </w:numPr>
        <w:pStyle w:val="Compact"/>
      </w:pPr>
      <w:r>
        <w:t xml:space="preserve">GBD 2019 Risk Factors Collaborators. (2020). Global burden of 87 risk factors in 204 countries and territories, 1990-2019: A systematic analysis for the Global Burden of Disease Study 2019. The Lancet, 396(10258), 1223-1249. https://doi.org/10.1016/S0140-6736(20)30752-2</w:t>
      </w:r>
    </w:p>
    <w:p>
      <w:pPr>
        <w:numPr>
          <w:ilvl w:val="0"/>
          <w:numId w:val="1001"/>
        </w:numPr>
        <w:pStyle w:val="Compact"/>
      </w:pPr>
      <w:r>
        <w:t xml:space="preserve">GBD 2021 Risk Factors Collaborators. (2024). Global burden and strength of evidence for 88 risk factors in 204 countries and 811 subnational locations, 1990-2021: A systematic analysis for the Global Burden of Disease Study 2021. The Lancet, 403(10440), 2162-2203. https://doi.org/10.1016/S0140-6736(24)00933-4</w:t>
      </w:r>
    </w:p>
    <w:p>
      <w:pPr>
        <w:numPr>
          <w:ilvl w:val="0"/>
          <w:numId w:val="1001"/>
        </w:numPr>
        <w:pStyle w:val="Compact"/>
      </w:pPr>
      <w:r>
        <w:t xml:space="preserve">GBD 2023 Causes of Death Collaborators. (2025). Global burden of 292 causes of death in 204 countries and territories and 660 subnational locations, 1990-2023: A systematic analysis for the Global Burden of Disease Study 2023. The Lancet, 406(10513), 1811-1872. https://doi.org/10.1016/S0140-6736(25)01917-8</w:t>
      </w:r>
    </w:p>
    <w:p>
      <w:pPr>
        <w:numPr>
          <w:ilvl w:val="0"/>
          <w:numId w:val="1001"/>
        </w:numPr>
        <w:pStyle w:val="Compact"/>
      </w:pPr>
      <w:r>
        <w:t xml:space="preserve">GBD 2023 Disease and Injury and Risk Factor Collaborators. (2025). Burden of 375 diseases and injuries, risk-attributable burden of 88 risk factors, and healthy life expectancy in 204 countries and territories, including 660 subnational locations, 1990-2023: A systematic analysis for the Global Burden of Disease Study 2023. The Lancet, 406(10513), 1873-1922. https://doi.org/10.1016/S0140-6736(25)01637-X</w:t>
      </w:r>
    </w:p>
    <w:p>
      <w:pPr>
        <w:numPr>
          <w:ilvl w:val="0"/>
          <w:numId w:val="1001"/>
        </w:numPr>
        <w:pStyle w:val="Compact"/>
      </w:pPr>
      <w:r>
        <w:t xml:space="preserve">Geng, G., Xiao, Q., Liu, S., Liu, X., Cheng, J., Zheng, Y., Xue, T., Tong, D., Zheng, B., Peng, Y., Huang, X., He, K., &amp; Zhang, Q. (2021). Tracking air pollution in China: Near real-time PM2.5 retrievals from multisource data fusion. Environmental Science and Technology, 55(17), 12106-12115. https://doi.org/10.1021/acs.est.1c01863</w:t>
      </w:r>
    </w:p>
    <w:p>
      <w:pPr>
        <w:numPr>
          <w:ilvl w:val="0"/>
          <w:numId w:val="1001"/>
        </w:numPr>
        <w:pStyle w:val="Compact"/>
      </w:pPr>
      <w:r>
        <w:t xml:space="preserve">Ghosh, R., Causey, K., Burkart, K., Wozniak, S., Cohen, A., &amp; Brauer, M. (2021). Ambient and household PM2.5 pollution and adverse perinatal outcomes: A meta-regression and analysis of attributable global burden for 204 countries and territories. PLOS Medicine, 18(9), e1003718. https://doi.org/10.1371/journal.pmed.1003718</w:t>
      </w:r>
    </w:p>
    <w:p>
      <w:pPr>
        <w:numPr>
          <w:ilvl w:val="0"/>
          <w:numId w:val="1001"/>
        </w:numPr>
        <w:pStyle w:val="Compact"/>
      </w:pPr>
      <w:r>
        <w:t xml:space="preserve">Gilraine, M. (2025). Air filters, pollution, and student achievement. Journal of Human Resources, 60(5), 1469-1506. https://doi.org/10.3368/jhr.0421-11642R2</w:t>
      </w:r>
    </w:p>
    <w:p>
      <w:pPr>
        <w:numPr>
          <w:ilvl w:val="0"/>
          <w:numId w:val="1001"/>
        </w:numPr>
        <w:pStyle w:val="Compact"/>
      </w:pPr>
      <w:r>
        <w:t xml:space="preserve">Glenn, A. J., Gu, X., Hu, F. B., Wang, M., &amp; Willett, W. C. (2023). Concerns about the Burden of Proof studies. Nature Medicine, 29(4), 823-825. https://doi.org/10.1038/s41591-023-02294-8</w:t>
      </w:r>
    </w:p>
    <w:p>
      <w:pPr>
        <w:numPr>
          <w:ilvl w:val="0"/>
          <w:numId w:val="1001"/>
        </w:numPr>
        <w:pStyle w:val="Compact"/>
      </w:pPr>
      <w:r>
        <w:t xml:space="preserve">Goodman-Bacon, A. (2021). Difference-in-differences with variation in treatment timing. Journal of Econometrics, 225(2), 254-277. https://doi.org/10.1016/j.jeconom.2021.03.014</w:t>
      </w:r>
    </w:p>
    <w:p>
      <w:pPr>
        <w:numPr>
          <w:ilvl w:val="0"/>
          <w:numId w:val="1001"/>
        </w:numPr>
        <w:pStyle w:val="Compact"/>
      </w:pPr>
      <w:r>
        <w:t xml:space="preserve">Graff Zivin, J., &amp; Neidell, M. (2009). Days of haze: Environmental information disclosure and intertemporal avoidance behavior. Journal of Environmental Economics and Management, 58(2), 119-128. https://doi.org/10.1016/j.jeem.2009.03.001</w:t>
      </w:r>
    </w:p>
    <w:p>
      <w:pPr>
        <w:numPr>
          <w:ilvl w:val="0"/>
          <w:numId w:val="1001"/>
        </w:numPr>
        <w:pStyle w:val="Compact"/>
      </w:pPr>
      <w:r>
        <w:t xml:space="preserve">Graff Zivin, J., Hsiang, S., &amp; Neidell, M. (2018). Temperature and human capital in the short and long run. Journal of the Association of Environmental and Resource Economists, 5(1), 77-105. https://doi.org/10.1086/694177</w:t>
      </w:r>
    </w:p>
    <w:p>
      <w:pPr>
        <w:numPr>
          <w:ilvl w:val="0"/>
          <w:numId w:val="1001"/>
        </w:numPr>
        <w:pStyle w:val="Compact"/>
      </w:pPr>
      <w:r>
        <w:t xml:space="preserve">Graff Zivin, J., Song, Y., Tang, Q., &amp; Zhang, P. (2020). Temperature and high-stakes cognitive performance: Evidence from the national college entrance examination in China. Journal of Environmental Economics and Management, 104, 102365. https://doi.org/10.1016/j.jeem.2020.102365</w:t>
      </w:r>
    </w:p>
    <w:p>
      <w:pPr>
        <w:numPr>
          <w:ilvl w:val="0"/>
          <w:numId w:val="1001"/>
        </w:numPr>
        <w:pStyle w:val="Compact"/>
      </w:pPr>
      <w:r>
        <w:t xml:space="preserve">Grant, L., Vanderkelen, I., Gudmundsson, L., Fischer, E., Seneviratne, S. I., &amp; Thiery, W. (2025). Global emergence of unprecedented lifetime exposure to climate extremes. Nature, 641(8062), 374-379. https://doi.org/10.1038/s41586-025-08907-1</w:t>
      </w:r>
    </w:p>
    <w:p>
      <w:pPr>
        <w:numPr>
          <w:ilvl w:val="0"/>
          <w:numId w:val="1001"/>
        </w:numPr>
        <w:pStyle w:val="Compact"/>
      </w:pPr>
      <w:r>
        <w:t xml:space="preserve">Gray, C. L., &amp; Mueller, V. (2012). Natural disasters and population mobility in Bangladesh. Proceedings of the National Academy of Sciences, 109(16), 6000-6005. https://doi.org/10.1073/pnas.1115944109</w:t>
      </w:r>
    </w:p>
    <w:p>
      <w:pPr>
        <w:numPr>
          <w:ilvl w:val="0"/>
          <w:numId w:val="1001"/>
        </w:numPr>
        <w:pStyle w:val="Compact"/>
      </w:pPr>
      <w:r>
        <w:t xml:space="preserve">Groppo, V., &amp; Kraehnert, K. (2017). The impact of extreme weather events on education. Journal of Population Economics, 30(2), 433-472. https://doi.org/10.1007/s00148-016-0628-6</w:t>
      </w:r>
    </w:p>
    <w:p>
      <w:pPr>
        <w:numPr>
          <w:ilvl w:val="0"/>
          <w:numId w:val="1001"/>
        </w:numPr>
        <w:pStyle w:val="Compact"/>
      </w:pPr>
      <w:r>
        <w:t xml:space="preserve">Hammer, M. S., van Donkelaar, A., Li, C., Lyapustin, A., Sayer, A. M., Hsu, N. C., Levy, R. C., Garay, M. J., Kalashnikova, O. V., Kahn, R. A., Brauer, M., Apte, J. S., Henze, D. K., Zhang, L., Zhang, Q., Ford, B., Pierce, J. R., &amp; Martin, R. V. (2020). Global estimates and long-term trends of fine particulate matter concentrations (1998-2018). Environmental Science and Technology, 54(13), 7879-7890. https://doi.org/10.1021/acs.est.0c01764</w:t>
      </w:r>
    </w:p>
    <w:p>
      <w:pPr>
        <w:numPr>
          <w:ilvl w:val="0"/>
          <w:numId w:val="1001"/>
        </w:numPr>
        <w:pStyle w:val="Compact"/>
      </w:pPr>
      <w:r>
        <w:t xml:space="preserve">Heft-Neal, S., Burney, J., Bendavid, E., &amp; Burke, M. (2018). Robust relationship between air quality and infant mortality in Africa. Nature, 559(7713), 254-258. https://doi.org/10.1038/s41586-018-0263-3</w:t>
      </w:r>
    </w:p>
    <w:p>
      <w:pPr>
        <w:numPr>
          <w:ilvl w:val="0"/>
          <w:numId w:val="1001"/>
        </w:numPr>
        <w:pStyle w:val="Compact"/>
      </w:pPr>
      <w:r>
        <w:t xml:space="preserve">Heft-Neal, S., Burney, J., Bendavid, E., Voss, K. K., &amp; Burke, M. (2020). Dust pollution from the Sahara and African infant mortality. Nature Sustainability, 3(10), 863-871. https://doi.org/10.1038/s41893-020-0562-1</w:t>
      </w:r>
    </w:p>
    <w:p>
      <w:pPr>
        <w:numPr>
          <w:ilvl w:val="0"/>
          <w:numId w:val="1001"/>
        </w:numPr>
        <w:pStyle w:val="Compact"/>
      </w:pPr>
      <w:r>
        <w:t xml:space="preserve">Heft-Neal, S., Driscoll, A., Yang, W., Shaw, G., &amp; Burke, M. (2022). Associations between wildfire smoke exposure during pregnancy and risk of preterm birth in California. Environmental Research, 203, Article 111872. https://doi.org/10.1016/j.envres.2021.111872</w:t>
      </w:r>
    </w:p>
    <w:p>
      <w:pPr>
        <w:numPr>
          <w:ilvl w:val="0"/>
          <w:numId w:val="1001"/>
        </w:numPr>
        <w:pStyle w:val="Compact"/>
      </w:pPr>
      <w:r>
        <w:t xml:space="preserve">Hersbach, H., Bell, B., Berrisford, P., Hirahara, S., Horanyi, A., Munoz-Sabater, J., Nicolas, J., Peubey, C., Radu, R., Schepers, D., Simmons, A., Soci, C., Abdalla, S., Abellan, X., Balsamo, G., Bechtold, P., Biavati, G., Bidlot, J., Bonavita, M., … Thepaut, J.-N. (2020). The ERA5 global reanalysis. Quarterly Journal of the Royal Meteorological Society, 146(730), 1999-2049. https://doi.org/10.1002/qj.3803</w:t>
      </w:r>
    </w:p>
    <w:p>
      <w:pPr>
        <w:numPr>
          <w:ilvl w:val="0"/>
          <w:numId w:val="1001"/>
        </w:numPr>
        <w:pStyle w:val="Compact"/>
      </w:pPr>
      <w:r>
        <w:t xml:space="preserve">Horton, D. E., Skinner, C. B., Singh, D., &amp; Diffenbaugh, N. S. (2014). Occurrence and persistence of future atmospheric stagnation events. Nature Climate Change, 4(8), 698-703. https://doi.org/10.1038/nclimate2272</w:t>
      </w:r>
    </w:p>
    <w:p>
      <w:pPr>
        <w:numPr>
          <w:ilvl w:val="0"/>
          <w:numId w:val="1001"/>
        </w:numPr>
        <w:pStyle w:val="Compact"/>
      </w:pPr>
      <w:r>
        <w:t xml:space="preserve">Huang, J., Pan, X., Guo, X., &amp; Li, G. (2018). Health impact of China’s Air Pollution Prevention and Control Action Plan: An analysis of national air quality monitoring and mortality data. The Lancet Planetary Health, 2(7), e313-e323. https://doi.org/10.1016/S2542-5196(18)30141-4</w:t>
      </w:r>
    </w:p>
    <w:p>
      <w:pPr>
        <w:numPr>
          <w:ilvl w:val="0"/>
          <w:numId w:val="1001"/>
        </w:numPr>
        <w:pStyle w:val="Compact"/>
      </w:pPr>
      <w:r>
        <w:t xml:space="preserve">Husoy, A. K., Stovner, L. J., &amp; Steiner, T. J. (2025). GBD, secondary analyses, paper mills and abuse of a valuable but vulnerable resource: A problem that must be confronted. Cephalalgia, 45(11), Article 03331024251392884. https://doi.org/10.1177/03331024251392884</w:t>
      </w:r>
    </w:p>
    <w:p>
      <w:pPr>
        <w:numPr>
          <w:ilvl w:val="0"/>
          <w:numId w:val="1001"/>
        </w:numPr>
        <w:pStyle w:val="Compact"/>
      </w:pPr>
      <w:r>
        <w:t xml:space="preserve">Imai, K., Keele, L., &amp; Tingley, D. (2010). A general approach to causal mediation analysis. Psychological Methods, 15(4), 309-334. https://doi.org/10.1037/a0020761</w:t>
      </w:r>
    </w:p>
    <w:p>
      <w:pPr>
        <w:numPr>
          <w:ilvl w:val="0"/>
          <w:numId w:val="1001"/>
        </w:numPr>
        <w:pStyle w:val="Compact"/>
      </w:pPr>
      <w:r>
        <w:t xml:space="preserve">Isen, A., Rossin-Slater, M., &amp; Walker, R. (2017). Relationship between season of birth, temperature exposure, and later life wellbeing. Proceedings of the National Academy of Sciences, 114(51), 13447-13452. https://doi.org/10.1073/pnas.1702436114</w:t>
      </w:r>
    </w:p>
    <w:p>
      <w:pPr>
        <w:numPr>
          <w:ilvl w:val="0"/>
          <w:numId w:val="1001"/>
        </w:numPr>
        <w:pStyle w:val="Compact"/>
      </w:pPr>
      <w:r>
        <w:t xml:space="preserve">Ito, K., &amp; Zhang, S. (2020). Willingness to pay for clean air: Evidence from air purifier markets in China. Journal of Political Economy, 128(5), 1627-1672. https://doi.org/10.1086/705554</w:t>
      </w:r>
    </w:p>
    <w:p>
      <w:pPr>
        <w:numPr>
          <w:ilvl w:val="0"/>
          <w:numId w:val="1001"/>
        </w:numPr>
        <w:pStyle w:val="Compact"/>
      </w:pPr>
      <w:r>
        <w:t xml:space="preserve">Jacob, D. J., &amp; Winner, D. A. (2009). Effect of climate change on air quality. Atmospheric Environment, 43(1), 51-63. https://doi.org/10.1016/j.atmosenv.2008.09.051</w:t>
      </w:r>
    </w:p>
    <w:p>
      <w:pPr>
        <w:numPr>
          <w:ilvl w:val="0"/>
          <w:numId w:val="1001"/>
        </w:numPr>
        <w:pStyle w:val="Compact"/>
      </w:pPr>
      <w:r>
        <w:t xml:space="preserve">Jayachandran, S. (2009). Air quality and early-life mortality: Evidence from Indonesia’s wildfires. Journal of Human Resources, 44(4), 916-954. https://doi.org/10.3368/jhr.44.4.916</w:t>
      </w:r>
    </w:p>
    <w:p>
      <w:pPr>
        <w:numPr>
          <w:ilvl w:val="0"/>
          <w:numId w:val="1001"/>
        </w:numPr>
        <w:pStyle w:val="Compact"/>
      </w:pPr>
      <w:r>
        <w:t xml:space="preserve">Jiang, Y., He, Y., Wu, S., Chen, R., Yang, Y., Xu, J., Zhang, Y., Wang, Q., Shen, H., Zhang, Y., Yan, D., Peng, Z., Dong, X., Zhang, H., Jiang, L., Li, H., Zhu, Y., Liu, C., Wang, W., … Kan, H. (2022). Improved air quality and reduced burden of preterm birth in China: 2013-2017. Science Bulletin, 67(9), 879-882. https://doi.org/10.1016/j.scib.2022.01.022</w:t>
      </w:r>
    </w:p>
    <w:p>
      <w:pPr>
        <w:numPr>
          <w:ilvl w:val="0"/>
          <w:numId w:val="1001"/>
        </w:numPr>
        <w:pStyle w:val="Compact"/>
      </w:pPr>
      <w:r>
        <w:t xml:space="preserve">Keil, A. P., Buckley, J. P., O’Brien, K. M., Ferguson, K. K., Zhao, S., &amp; White, A. J. (2020). A quantile-based g-computation approach to addressing the effects of exposure mixtures. Environmental Health Perspectives, 128(4), Article 047004. https://doi.org/10.1289/EHP5838</w:t>
      </w:r>
    </w:p>
    <w:p>
      <w:pPr>
        <w:numPr>
          <w:ilvl w:val="0"/>
          <w:numId w:val="1001"/>
        </w:numPr>
        <w:pStyle w:val="Compact"/>
      </w:pPr>
      <w:r>
        <w:t xml:space="preserve">Khan, S., &amp; Hancioglu, A. (2019). Multiple indicator cluster surveys: Delivering robust data on children and women across the globe. Studies in Family Planning, 50(3), 279-286. https://doi.org/10.1111/sifp.12103</w:t>
      </w:r>
    </w:p>
    <w:p>
      <w:pPr>
        <w:numPr>
          <w:ilvl w:val="0"/>
          <w:numId w:val="1001"/>
        </w:numPr>
        <w:pStyle w:val="Compact"/>
      </w:pPr>
      <w:r>
        <w:t xml:space="preserve">Knol, M. J., &amp; VanderWeele, T. J. (2012). Recommendations for presenting analyses of effect modification and interaction. International Journal of Epidemiology, 41(2), 514-520. https://doi.org/10.1093/ije/dyr218</w:t>
      </w:r>
    </w:p>
    <w:p>
      <w:pPr>
        <w:numPr>
          <w:ilvl w:val="0"/>
          <w:numId w:val="1001"/>
        </w:numPr>
        <w:pStyle w:val="Compact"/>
      </w:pPr>
      <w:r>
        <w:t xml:space="preserve">Liu, X., Behrman, J., Hannum, E., Wang, F., &amp; Zhao, Q. (2022). Same environment, stratified impacts? Air pollution, extreme temperatures, and birth weight in South China. Social Science Research, 105, Article 102691. https://doi.org/10.1016/j.ssresearch.2021.102691</w:t>
      </w:r>
    </w:p>
    <w:p>
      <w:pPr>
        <w:numPr>
          <w:ilvl w:val="0"/>
          <w:numId w:val="1001"/>
        </w:numPr>
        <w:pStyle w:val="Compact"/>
      </w:pPr>
      <w:r>
        <w:t xml:space="preserve">Lu, X., Hong, J., Zhang, L., Cooper, O. R., Schultz, M. G., Xu, X., Wang, T., Gao, M., Zhao, Y., &amp; Zhang, Y. (2018). Severe surface ozone pollution in China: A global perspective. Environmental Science and Technology Letters, 5(8), 487-494. https://doi.org/10.1021/acs.estlett.8b00366</w:t>
      </w:r>
    </w:p>
    <w:p>
      <w:pPr>
        <w:numPr>
          <w:ilvl w:val="0"/>
          <w:numId w:val="1001"/>
        </w:numPr>
        <w:pStyle w:val="Compact"/>
      </w:pPr>
      <w:r>
        <w:t xml:space="preserve">Maccini, S., &amp; Yang, D. (2009). Under the weather: Health, schooling, and economic consequences of early-life rainfall. American Economic Review, 99(3), 1006-1026. https://doi.org/10.1257/aer.99.3.1006</w:t>
      </w:r>
    </w:p>
    <w:p>
      <w:pPr>
        <w:numPr>
          <w:ilvl w:val="0"/>
          <w:numId w:val="1001"/>
        </w:numPr>
        <w:pStyle w:val="Compact"/>
      </w:pPr>
      <w:r>
        <w:t xml:space="preserve">Maclure, M. (1991). The case-crossover design: A method for studying transient effects on the risk of acute events. American Journal of Epidemiology, 133(2), 144-153. https://doi.org/10.1093/oxfordjournals.aje.a115853</w:t>
      </w:r>
    </w:p>
    <w:p>
      <w:pPr>
        <w:numPr>
          <w:ilvl w:val="0"/>
          <w:numId w:val="1001"/>
        </w:numPr>
        <w:pStyle w:val="Compact"/>
      </w:pPr>
      <w:r>
        <w:t xml:space="preserve">Murray, C. J. L. (2022). The Global Burden of Disease Study at 30 years. Nature Medicine, 28(10), 2019-2026. https://doi.org/10.1038/s41591-022-01990-1</w:t>
      </w:r>
    </w:p>
    <w:p>
      <w:pPr>
        <w:numPr>
          <w:ilvl w:val="0"/>
          <w:numId w:val="1001"/>
        </w:numPr>
        <w:pStyle w:val="Compact"/>
      </w:pPr>
      <w:r>
        <w:t xml:space="preserve">Murray, C. J. L., &amp; Acharya, A. K. (1997). Understanding DALYs. Journal of Health Economics, 16(6), 703-730. https://doi.org/10.1016/S0167-6296(97)00004-0</w:t>
      </w:r>
    </w:p>
    <w:p>
      <w:pPr>
        <w:numPr>
          <w:ilvl w:val="0"/>
          <w:numId w:val="1001"/>
        </w:numPr>
        <w:pStyle w:val="Compact"/>
      </w:pPr>
      <w:r>
        <w:t xml:space="preserve">O’Neill, B. C., Tebaldi, C., van Vuuren, D. P., Eyring, V., Friedlingstein, P., Hurtt, G., Knutti, R., Kriegler, E., Lamarque, J.-F., Lowe, J., Meehl, G. A., Moss, R., Riahi, K., &amp; Sanderson, B. M. (2016). The Scenario Model Intercomparison Project (ScenarioMIP) for CMIP6. Geoscientific Model Development, 9(9), 3461-3482. https://doi.org/10.5194/gmd-9-3461-2016</w:t>
      </w:r>
    </w:p>
    <w:p>
      <w:pPr>
        <w:numPr>
          <w:ilvl w:val="0"/>
          <w:numId w:val="1001"/>
        </w:numPr>
        <w:pStyle w:val="Compact"/>
      </w:pPr>
      <w:r>
        <w:t xml:space="preserve">Park, R. J. (2022). Hot temperature and high-stakes performance. Journal of Human Resources, 57(2), 400-434. https://doi.org/10.3368/jhr.57.2.0618-9535R3</w:t>
      </w:r>
    </w:p>
    <w:p>
      <w:pPr>
        <w:numPr>
          <w:ilvl w:val="0"/>
          <w:numId w:val="1001"/>
        </w:numPr>
        <w:pStyle w:val="Compact"/>
      </w:pPr>
      <w:r>
        <w:t xml:space="preserve">Park, R. J., Behrer, A. P., &amp; Goodman, J. (2021). Learning is inhibited by heat exposure, both internationally and within the United States. Nature Human Behaviour, 5(1), 19-27. https://doi.org/10.1038/s41562-020-00959-9</w:t>
      </w:r>
    </w:p>
    <w:p>
      <w:pPr>
        <w:numPr>
          <w:ilvl w:val="0"/>
          <w:numId w:val="1001"/>
        </w:numPr>
        <w:pStyle w:val="Compact"/>
      </w:pPr>
      <w:r>
        <w:t xml:space="preserve">Park, R. J., Goodman, J., Hurwitz, M., &amp; Smith, J. (2020). Heat and learning. American Economic Journal: Economic Policy, 12(2), 306-339. https://doi.org/10.1257/pol.20180612</w:t>
      </w:r>
    </w:p>
    <w:p>
      <w:pPr>
        <w:numPr>
          <w:ilvl w:val="0"/>
          <w:numId w:val="1001"/>
        </w:numPr>
        <w:pStyle w:val="Compact"/>
      </w:pPr>
      <w:r>
        <w:t xml:space="preserve">Popkin, B. M., Du, S., Zhai, F., &amp; Zhang, B. (2010). Cohort profile: The China Health and Nutrition Survey, monitoring and understanding socio-economic and health change in China, 1989-2011. International Journal of Epidemiology, 39(6), 1435-1440. https://doi.org/10.1093/ije/dyp322</w:t>
      </w:r>
    </w:p>
    <w:p>
      <w:pPr>
        <w:numPr>
          <w:ilvl w:val="0"/>
          <w:numId w:val="1001"/>
        </w:numPr>
        <w:pStyle w:val="Compact"/>
      </w:pPr>
      <w:r>
        <w:t xml:space="preserve">Povall, S. L., Haigh, F. A., Abrahams, D., &amp; Scott-Samuel, A. (2014). Health equity impact assessment. Health Promotion International, 29(4), 621-633. https://doi.org/10.1093/heapro/dat012</w:t>
      </w:r>
    </w:p>
    <w:p>
      <w:pPr>
        <w:numPr>
          <w:ilvl w:val="0"/>
          <w:numId w:val="1001"/>
        </w:numPr>
        <w:pStyle w:val="Compact"/>
      </w:pPr>
      <w:r>
        <w:t xml:space="preserve">Pullabhotla, H. K., Zahid, M., Heft-Neal, S., Rathi, V., &amp; Burke, M. (2023). Global biomass fires and infant mortality. Proceedings of the National Academy of Sciences, 120(23), Article e2218210120. https://doi.org/10.1073/pnas.2218210120</w:t>
      </w:r>
    </w:p>
    <w:p>
      <w:pPr>
        <w:numPr>
          <w:ilvl w:val="0"/>
          <w:numId w:val="1001"/>
        </w:numPr>
        <w:pStyle w:val="Compact"/>
      </w:pPr>
      <w:r>
        <w:t xml:space="preserve">Rahman, M. M., McConnell, R., Schlaerth, H., Ko, J., Silva, S., Lurmann, F. W., Palinkas, L., Johnston, J., Hurlburt, M., Yin, H., Ban-Weiss, G., &amp; Garcia, E. (2022). The effects of coexposure to extremes of heat and particulate air pollution on mortality in California: Implications for climate change. American Journal of Respiratory and Critical Care Medicine, 206(9), 1117-1127. https://doi.org/10.1164/rccm.202204-0657OC</w:t>
      </w:r>
    </w:p>
    <w:p>
      <w:pPr>
        <w:numPr>
          <w:ilvl w:val="0"/>
          <w:numId w:val="1001"/>
        </w:numPr>
        <w:pStyle w:val="Compact"/>
      </w:pPr>
      <w:r>
        <w:t xml:space="preserve">Randell, H., &amp; Gray, C. (2019). Climate change and educational attainment in the global tropics. Proceedings of the National Academy of Sciences, 116(18), 8840-8845. https://doi.org/10.1073/pnas.1817480116</w:t>
      </w:r>
    </w:p>
    <w:p>
      <w:pPr>
        <w:numPr>
          <w:ilvl w:val="0"/>
          <w:numId w:val="1001"/>
        </w:numPr>
        <w:pStyle w:val="Compact"/>
      </w:pPr>
      <w:r>
        <w:t xml:space="preserve">Ren, C., Williams, G. M., &amp; Tong, S. (2006). Does particulate matter modify the association between temperature and cardiorespiratory diseases? Environmental Health Perspectives, 114(11), 1690-1696. https://doi.org/10.1289/ehp.9266</w:t>
      </w:r>
    </w:p>
    <w:p>
      <w:pPr>
        <w:numPr>
          <w:ilvl w:val="0"/>
          <w:numId w:val="1001"/>
        </w:numPr>
        <w:pStyle w:val="Compact"/>
      </w:pPr>
      <w:r>
        <w:t xml:space="preserve">Riahi, K., van Vuuren, D. P., Kriegler, E., Edmonds, J., O’Neill, B. C., Fujimori, S., Bauer, N., Calvin, K., Dellink, R., Fricko, O., Lutz, W., Popp, A., Crespo Cuaresma, J., KC, S., Leimbach, M., Jiang, L., Kram, T., Rao, S., Emmerling, J., … Tavoni, M. (2017). The Shared Socioeconomic Pathways and their energy, land use, and greenhouse gas emissions implications: An overview. Global Environmental Change, 42, 153-168. https://doi.org/10.1016/j.gloenvcha.2016.05.009</w:t>
      </w:r>
    </w:p>
    <w:p>
      <w:pPr>
        <w:numPr>
          <w:ilvl w:val="0"/>
          <w:numId w:val="1001"/>
        </w:numPr>
        <w:pStyle w:val="Compact"/>
      </w:pPr>
      <w:r>
        <w:t xml:space="preserve">Rich, D. Q., Liu, K., Zhang, J., Thurston, S. W., Stevens, T. P., Pan, Y., Kane, C., Weinberger, B., Ohman-Strickland, P., Woodruff, T. J., Duan, X., Assibey-Mensah, V., &amp; Zhang, J. (2015). Differences in birth weight associated with the 2008 Beijing Olympics air pollution reduction: Results from a natural experiment. Environmental Health Perspectives, 123(9), 880-887. https://doi.org/10.1289/ehp.1408795</w:t>
      </w:r>
    </w:p>
    <w:p>
      <w:pPr>
        <w:numPr>
          <w:ilvl w:val="0"/>
          <w:numId w:val="1001"/>
        </w:numPr>
        <w:pStyle w:val="Compact"/>
      </w:pPr>
      <w:r>
        <w:t xml:space="preserve">Rosales-Rueda, M. (2018). The impact of early life shocks on human capital formation: Evidence from El Nino floods in Ecuador. Journal of Health Economics, 62, 13-44. https://doi.org/10.1016/j.jhealeco.2018.07.003</w:t>
      </w:r>
    </w:p>
    <w:p>
      <w:pPr>
        <w:numPr>
          <w:ilvl w:val="0"/>
          <w:numId w:val="1001"/>
        </w:numPr>
        <w:pStyle w:val="Compact"/>
      </w:pPr>
      <w:r>
        <w:t xml:space="preserve">Rue, H., Martino, S., &amp; Chopin, N. (2009). Approximate Bayesian inference for latent Gaussian models by using integrated nested Laplace approximations. Journal of the Royal Statistical Society Series B: Statistical Methodology, 71(2), 319-392. https://doi.org/10.1111/j.1467-9868.2008.00700.x</w:t>
      </w:r>
    </w:p>
    <w:p>
      <w:pPr>
        <w:numPr>
          <w:ilvl w:val="0"/>
          <w:numId w:val="1001"/>
        </w:numPr>
        <w:pStyle w:val="Compact"/>
      </w:pPr>
      <w:r>
        <w:t xml:space="preserve">Schnell, J. L., &amp; Prather, M. J. (2017). Co-occurrence of extremes in surface ozone, particulate matter, and temperature over eastern North America. Proceedings of the National Academy of Sciences, 114(11), 2854-2859. https://doi.org/10.1073/pnas.1614453114</w:t>
      </w:r>
    </w:p>
    <w:p>
      <w:pPr>
        <w:numPr>
          <w:ilvl w:val="0"/>
          <w:numId w:val="1001"/>
        </w:numPr>
        <w:pStyle w:val="Compact"/>
      </w:pPr>
      <w:r>
        <w:t xml:space="preserve">Schoolman, E. D., &amp; Ma, C. (2012). Migration, class and environmental inequality: Exposure to pollution in China’s Jiangsu Province. Ecological Economics, 75, 140-151. https://doi.org/10.1016/j.ecolecon.2012.01.015</w:t>
      </w:r>
    </w:p>
    <w:p>
      <w:pPr>
        <w:numPr>
          <w:ilvl w:val="0"/>
          <w:numId w:val="1001"/>
        </w:numPr>
        <w:pStyle w:val="Compact"/>
      </w:pPr>
      <w:r>
        <w:t xml:space="preserve">Sen, A. (2005). Human rights and capabilities. Journal of Human Development, 6(2), 151-166. https://doi.org/10.1080/14649880500120491</w:t>
      </w:r>
    </w:p>
    <w:p>
      <w:pPr>
        <w:numPr>
          <w:ilvl w:val="0"/>
          <w:numId w:val="1001"/>
        </w:numPr>
        <w:pStyle w:val="Compact"/>
      </w:pPr>
      <w:r>
        <w:t xml:space="preserve">Shah, M., &amp; Steinberg, B. M. (2017). Drought of opportunities: Contemporaneous and long-term impacts of rainfall shocks on human capital. Journal of Political Economy, 125(2), 527-561. https://doi.org/10.1086/690828</w:t>
      </w:r>
    </w:p>
    <w:p>
      <w:pPr>
        <w:numPr>
          <w:ilvl w:val="0"/>
          <w:numId w:val="1001"/>
        </w:numPr>
        <w:pStyle w:val="Compact"/>
      </w:pPr>
      <w:r>
        <w:t xml:space="preserve">Smith, K. R., McCracken, J. P., Weber, M. W., Hubbard, A., Jenny, A., Thompson, L. M., Balmes, J., Diaz, A., Arana, B., &amp; Bruce, N. (2011). Effect of reduction in household air pollution on childhood pneumonia in Guatemala (RESPIRE): A randomised controlled trial. The Lancet, 378(9804), 1717-1726. https://doi.org/10.1016/S0140-6736(11)60921-5</w:t>
      </w:r>
    </w:p>
    <w:p>
      <w:pPr>
        <w:numPr>
          <w:ilvl w:val="0"/>
          <w:numId w:val="1001"/>
        </w:numPr>
        <w:pStyle w:val="Compact"/>
      </w:pPr>
      <w:r>
        <w:t xml:space="preserve">Stafoggia, M., Schwartz, J., Forastiere, F., &amp; Perucci, C. A. (2008). Does temperature modify the association between air pollution and mortality? A multicity case-crossover analysis in Italy. American Journal of Epidemiology, 167(12), 1476-1485. https://doi.org/10.1093/aje/kwn074</w:t>
      </w:r>
    </w:p>
    <w:p>
      <w:pPr>
        <w:numPr>
          <w:ilvl w:val="0"/>
          <w:numId w:val="1001"/>
        </w:numPr>
        <w:pStyle w:val="Compact"/>
      </w:pPr>
      <w:r>
        <w:t xml:space="preserve">Su, J., Jiao, L., &amp; Xu, G. (2025). Intensified exposure to compound extreme heat and ozone pollution in summer across Chinese cities. npj Climate and Atmospheric Science, 8(1), Article 78. https://doi.org/10.1038/s41612-025-00966-5</w:t>
      </w:r>
    </w:p>
    <w:p>
      <w:pPr>
        <w:numPr>
          <w:ilvl w:val="0"/>
          <w:numId w:val="1001"/>
        </w:numPr>
        <w:pStyle w:val="Compact"/>
      </w:pPr>
      <w:r>
        <w:t xml:space="preserve">Sun, L., &amp; Abraham, S. (2021). Estimating dynamic treatment effects in event studies with heterogeneous treatment effects. Journal of Econometrics, 225(2), 175-199. https://doi.org/10.1016/j.jeconom.2020.09.006</w:t>
      </w:r>
    </w:p>
    <w:p>
      <w:pPr>
        <w:numPr>
          <w:ilvl w:val="0"/>
          <w:numId w:val="1001"/>
        </w:numPr>
        <w:pStyle w:val="Compact"/>
      </w:pPr>
      <w:r>
        <w:t xml:space="preserve">Tan, J., Yan, P., Wang, J., Chen, S., Bai, J., Zhang, Z., Nicholas, S., Maitland, E., Li, P., Hu, Y., Sun, J., &amp; Chen, C. (2024). Environmental inequality in eastern China: Socio-economic status and air pollution. Population and Environment, 46(2), Article 13. https://doi.org/10.1007/s11111-024-00454-7</w:t>
      </w:r>
    </w:p>
    <w:p>
      <w:pPr>
        <w:numPr>
          <w:ilvl w:val="0"/>
          <w:numId w:val="1001"/>
        </w:numPr>
        <w:pStyle w:val="Compact"/>
      </w:pPr>
      <w:r>
        <w:t xml:space="preserve">Tanaka, S. (2015). Environmental regulations on air pollution in China and their impact on infant mortality. Journal of Health Economics, 42, 90-103. https://doi.org/10.1016/j.jhealeco.2015.02.004</w:t>
      </w:r>
    </w:p>
    <w:p>
      <w:pPr>
        <w:numPr>
          <w:ilvl w:val="0"/>
          <w:numId w:val="1001"/>
        </w:numPr>
        <w:pStyle w:val="Compact"/>
      </w:pPr>
      <w:r>
        <w:t xml:space="preserve">Thiede, B. C., &amp; Gray, C. (2020). Climate exposures and child undernutrition: Evidence from Indonesia. Social Science and Medicine, 265, Article 113298. https://doi.org/10.1016/j.socscimed.2020.113298</w:t>
      </w:r>
    </w:p>
    <w:p>
      <w:pPr>
        <w:numPr>
          <w:ilvl w:val="0"/>
          <w:numId w:val="1001"/>
        </w:numPr>
        <w:pStyle w:val="Compact"/>
      </w:pPr>
      <w:r>
        <w:t xml:space="preserve">Thiery, W., Lange, S., Rogelj, J., Schleussner, C.-F., Gudmundsson, L., Seneviratne, S. I., Andrijevic, M., Frieler, K., Emanuel, K., Geiger, T., Bresch, D. N., Zhao, F., Willner, S. N., Buchner, M., Volkholz, J., Bauer, N., Chang, J., Ciais, P., Dury, M., … Wada, Y. (2021). Intergenerational inequities in exposure to climate extremes. Science, 374(6564), 158-160. https://doi.org/10.1126/science.abi7339</w:t>
      </w:r>
    </w:p>
    <w:p>
      <w:pPr>
        <w:numPr>
          <w:ilvl w:val="0"/>
          <w:numId w:val="1001"/>
        </w:numPr>
        <w:pStyle w:val="Compact"/>
      </w:pPr>
      <w:r>
        <w:t xml:space="preserve">van Donkelaar, A., Hammer, M. S., Bindle, L., Brauer, M., Brook, J. R., Garay, M. J., Hsu, N. C., Kalashnikova, O. V., Kahn, R. A., Lee, C., Levy, R. C., Lyapustin, A., Sayer, A. M., &amp; Martin, R. V. (2021). Monthly global estimates of fine particulate matter and their uncertainty. Environmental Science and Technology, 55(22), 15287-15300. https://doi.org/10.1021/acs.est.1c05309</w:t>
      </w:r>
    </w:p>
    <w:p>
      <w:pPr>
        <w:numPr>
          <w:ilvl w:val="0"/>
          <w:numId w:val="1001"/>
        </w:numPr>
        <w:pStyle w:val="Compact"/>
      </w:pPr>
      <w:r>
        <w:t xml:space="preserve">VanderWeele, T. J. (2016). Mediation analysis: A practitioner’s guide. Annual Review of Public Health, 37(1), 17-32. https://doi.org/10.1146/annurev-publhealth-032315-021402</w:t>
      </w:r>
    </w:p>
    <w:p>
      <w:pPr>
        <w:numPr>
          <w:ilvl w:val="0"/>
          <w:numId w:val="1001"/>
        </w:numPr>
        <w:pStyle w:val="Compact"/>
      </w:pPr>
      <w:r>
        <w:t xml:space="preserve">Vicedo-Cabrera, A. M., Scovronick, N., Sera, F., Roye, D., Schneider, R., Tobias, A., Astrom, C., Guo, Y., Honda, Y., Hondula, D. M., Abrutzky, R., Tong, S., Coelho, M. de S. Z. S., Saldiva, P. H. N., Lavigne, E., Correa, P. M., Ortega, N. V., Kan, H., Osorio, S., … Gasparrini, A. (2021). The burden of heat-related mortality attributable to recent human-induced climate change. Nature Climate Change, 11(6), 492-500. https://doi.org/10.1038/s41558-021-01058-x</w:t>
      </w:r>
    </w:p>
    <w:p>
      <w:pPr>
        <w:numPr>
          <w:ilvl w:val="0"/>
          <w:numId w:val="1001"/>
        </w:numPr>
        <w:pStyle w:val="Compact"/>
      </w:pPr>
      <w:r>
        <w:t xml:space="preserve">Wei, J., Li, Z., Lyapustin, A., Sun, L., Peng, Y., Xue, W., Su, T., &amp; Cribb, M. (2021). Reconstructing 1-km-resolution high-quality PM2.5 data records from 2000 to 2018 in China: Spatiotemporal variations and policy implications. Remote Sensing of Environment, 252, Article 112136. https://doi.org/10.1016/j.rse.2020.112136</w:t>
      </w:r>
    </w:p>
    <w:p>
      <w:pPr>
        <w:numPr>
          <w:ilvl w:val="0"/>
          <w:numId w:val="1001"/>
        </w:numPr>
        <w:pStyle w:val="Compact"/>
      </w:pPr>
      <w:r>
        <w:t xml:space="preserve">Wen, J., &amp; Burke, M. (2022). Lower test scores from wildfire smoke exposure. Nature Sustainability, 5(11), 947-955. https://doi.org/10.1038/s41893-022-00956-y</w:t>
      </w:r>
    </w:p>
    <w:p>
      <w:pPr>
        <w:numPr>
          <w:ilvl w:val="0"/>
          <w:numId w:val="1001"/>
        </w:numPr>
        <w:pStyle w:val="Compact"/>
      </w:pPr>
      <w:r>
        <w:t xml:space="preserve">Xie, Y., &amp; Lu, P. (2015). The sampling design of the China Family Panel Studies (CFPS). Chinese Journal of Sociology, 1(4), 471-484. https://doi.org/10.1177/2057150X15614535</w:t>
      </w:r>
    </w:p>
    <w:p>
      <w:pPr>
        <w:numPr>
          <w:ilvl w:val="0"/>
          <w:numId w:val="1001"/>
        </w:numPr>
        <w:pStyle w:val="Compact"/>
      </w:pPr>
      <w:r>
        <w:t xml:space="preserve">Xue, T., Wang, R., Wang, M., Wang, Y., Tong, D., Meng, X., Huang, C., Ai, S., Li, F., Cao, J., Tong, M., Ni, X., Liu, H., Deng, J., Lu, H., Wan, W., Gong, J., Zhang, S., &amp; Zhu, T. (2024). Health benefits from the rapid reduction in ambient exposure to air pollutants after China’s clean air actions: Progress in efficacy and geographic equality. National Science Review, 11(2), Article nwad263. https://doi.org/10.1093/nsr/nwad263</w:t>
      </w:r>
    </w:p>
    <w:p>
      <w:pPr>
        <w:numPr>
          <w:ilvl w:val="0"/>
          <w:numId w:val="1001"/>
        </w:numPr>
        <w:pStyle w:val="Compact"/>
      </w:pPr>
      <w:r>
        <w:t xml:space="preserve">Yao, M., Li, L., Yang, M., Wu, Y., &amp; Cheng, F. (2022). Household air pollution and childhood stunting in China: A prospective cohort study. Frontiers in Public Health, 10, Article 985786. https://doi.org/10.3389/fpubh.2022.985786</w:t>
      </w:r>
    </w:p>
    <w:p>
      <w:pPr>
        <w:numPr>
          <w:ilvl w:val="0"/>
          <w:numId w:val="1001"/>
        </w:numPr>
        <w:pStyle w:val="Compact"/>
      </w:pPr>
      <w:r>
        <w:t xml:space="preserve">Yu, G., Yang, L., Liu, M., Wang, C., Shen, X., Fan, L., &amp; Zhang, J. (2023). Extreme temperature exposure and risks of preterm birth subtypes based on a nationwide survey in China. Environmental Health Perspectives, 131(8), Article 087009. https://doi.org/10.1289/EHP10831</w:t>
      </w:r>
    </w:p>
    <w:p>
      <w:pPr>
        <w:numPr>
          <w:ilvl w:val="0"/>
          <w:numId w:val="1001"/>
        </w:numPr>
        <w:pStyle w:val="Compact"/>
      </w:pPr>
      <w:r>
        <w:t xml:space="preserve">Zhang, Q., Zheng, Y., Tong, D., Shao, M., Wang, S., Zhang, Y., Xu, X., Wang, J., He, H., Liu, W., Ding, Y., Lei, Y., Li, J., Wang, Z., Zhang, X., Wang, Y., Cheng, J., Liu, Y., Shi, Q., … Hao, J. (2019). Drivers of improved PM2.5 air quality in China from 2013 to 2017. Proceedings of the National Academy of Sciences, 116(49), 24463-24469. https://doi.org/10.1073/pnas.1907956116</w:t>
      </w:r>
    </w:p>
    <w:p>
      <w:pPr>
        <w:numPr>
          <w:ilvl w:val="0"/>
          <w:numId w:val="1001"/>
        </w:numPr>
        <w:pStyle w:val="Compact"/>
      </w:pPr>
      <w:r>
        <w:t xml:space="preserve">Zhang, X., Chen, X., &amp; Zhang, X. (2018). The impact of exposure to air pollution on cognitive performance. Proceedings of the National Academy of Sciences, 115(37), 9193-9197. https://doi.org/10.1073/pnas.1809474115</w:t>
      </w:r>
    </w:p>
    <w:p>
      <w:pPr>
        <w:numPr>
          <w:ilvl w:val="0"/>
          <w:numId w:val="1001"/>
        </w:numPr>
        <w:pStyle w:val="Compact"/>
      </w:pPr>
      <w:r>
        <w:t xml:space="preserve">Zhao, Y., &amp; Kim, B. (2022). Environmental regulation and chronic conditions: Evidence from China’s Air Pollution Prevention and Control Action Plan. International Journal of Environmental Research and Public Health, 19(19), Article 12584. https://doi.org/10.3390/ijerph191912584</w:t>
      </w:r>
    </w:p>
    <w:p>
      <w:pPr>
        <w:numPr>
          <w:ilvl w:val="0"/>
          <w:numId w:val="1001"/>
        </w:numPr>
        <w:pStyle w:val="Compact"/>
      </w:pPr>
      <w:r>
        <w:t xml:space="preserve">Zheng, P., Afshin, A., Biryukov, S., Bisignano, C., Brauer, M., Bryazka, D., Burkart, K., Cercy, K. M., Cornaby, L., Dai, X., Dirac, M. A., Estep, K., Fay, K. A., Feldman, R., Ferrari, A. J., Gakidou, E., Gil, G. F., Griswold, M., Hay, S. I., … Murray, C. J. L. (2022). The Burden of Proof studies: Assessing the evidence of risk. Nature Medicine, 28(10), 2038-2044. https://doi.org/10.1038/s41591-022-01973-2</w:t>
      </w:r>
    </w:p>
    <w:p>
      <w:pPr>
        <w:numPr>
          <w:ilvl w:val="0"/>
          <w:numId w:val="1001"/>
        </w:numPr>
        <w:pStyle w:val="Compact"/>
      </w:pPr>
      <w:r>
        <w:t xml:space="preserve">Zheng, P., Barber, R., Sorensen, R. J. D., Murray, C. J. L., &amp; Aravkin, A. Y. (2021). Trimmed constrained mixed effects models: Formulations and algorithms. Journal of Computational and Graphical Statistics, 30(3), 544-556. https://doi.org/10.1080/10618600.2020.1868303</w:t>
      </w:r>
    </w:p>
    <w:p>
      <w:pPr>
        <w:numPr>
          <w:ilvl w:val="0"/>
          <w:numId w:val="1001"/>
        </w:numPr>
        <w:pStyle w:val="Compact"/>
      </w:pPr>
      <w:r>
        <w:t xml:space="preserve">Zhou, M., Wang, H., Zeng, X., Yin, P., Zhu, J., Chen, W., Li, X., Wang, L., Wang, L., Liu, Y., Liu, J., Zhang, M., Qi, J., Yu, S., Afshin, A., Gakidou, E., Glenn, S., Krish, V., Miller-Petrie, M. K., … Liang, X. (2019). Mortality, morbidity, and risk factors in China and its provinces, 1990-2017: A systematic analysis for the Global Burden of Disease Study 2017. The Lancet, 394(10204), 1145-1158. https://doi.org/10.1016/S0140-6736(19)30427-1</w:t>
      </w:r>
    </w:p>
    <w:bookmarkEnd w:id="91"/>
    <w:bookmarkStart w:id="92" w:name="chinese-language-references"/>
    <w:p>
      <w:pPr>
        <w:pStyle w:val="Heading3"/>
      </w:pPr>
      <w:r>
        <w:t xml:space="preserve">17.2 Chinese-language references</w:t>
      </w:r>
    </w:p>
    <w:p>
      <w:pPr>
        <w:pStyle w:val="FirstParagraph"/>
      </w:pPr>
      <w:r>
        <w:t xml:space="preserve">Chinese journal articles are identified by Chinese domestic DOI prefixes, ISSN, and CN numbers rather than by Crossref-registered DOIs. Absence of a Crossref DOI is a property of the Chinese scholarly publishing infrastructure and is not evidence of unreliability. Each entry below was confirmed on the publisher’s own abstract page. Titles are given in the original Chinese; any English rendering in the body text of this proposal is an unofficial translation and is not the published title.</w:t>
      </w:r>
    </w:p>
    <w:p>
      <w:pPr>
        <w:numPr>
          <w:ilvl w:val="0"/>
          <w:numId w:val="1002"/>
        </w:numPr>
        <w:pStyle w:val="Compact"/>
      </w:pPr>
      <w:r>
        <w:t xml:space="preserve">毕鹏, 施小明, 刘起勇. (2020). 过去十年中国气候变化与人群健康研究进展及未来展望. 气候变化研究进展, 16(6), 763-769. DOI: 10.12006/j.issn.1673-1719.2020.190</w:t>
      </w:r>
    </w:p>
    <w:p>
      <w:pPr>
        <w:numPr>
          <w:ilvl w:val="0"/>
          <w:numId w:val="1002"/>
        </w:numPr>
        <w:pStyle w:val="Compact"/>
      </w:pPr>
      <w:r>
        <w:t xml:space="preserve">杜本峰, 王翾, 耿蕊. (2020). 困境家庭环境与儿童健康状况的影响因素. 人口研究, 44(1), 70-84. ISSN 1000-6087; CN 11-1489/C. 无 DOI, 以刊号与卷期页码为标识.</w:t>
      </w:r>
    </w:p>
    <w:p>
      <w:pPr>
        <w:numPr>
          <w:ilvl w:val="0"/>
          <w:numId w:val="1002"/>
        </w:numPr>
        <w:pStyle w:val="Compact"/>
      </w:pPr>
      <w:r>
        <w:t xml:space="preserve">高景宏, 李丽萍, 王君, 刘小波, 吴海霞, 李京, 李静, 刘起勇. (2017). 气候变化对儿童健康影响的研究进展. 中华流行病学杂志, 38(6), 832-836. DOI: 10.3760/cma.j.issn.0254-6450.2017.06.028</w:t>
      </w:r>
    </w:p>
    <w:p>
      <w:pPr>
        <w:numPr>
          <w:ilvl w:val="0"/>
          <w:numId w:val="1002"/>
        </w:numPr>
        <w:pStyle w:val="Compact"/>
      </w:pPr>
      <w:r>
        <w:t xml:space="preserve">和红, 谈甜. (2021). 家庭健康生产视角下儿童健康的影响因素及其相对贡献度研究. 中国卫生政策研究, 14(9), 25-34. DOI: 10.3969/j.issn.1674-2982.2021.09.005</w:t>
      </w:r>
    </w:p>
    <w:p>
      <w:pPr>
        <w:numPr>
          <w:ilvl w:val="0"/>
          <w:numId w:val="1002"/>
        </w:numPr>
        <w:pStyle w:val="Compact"/>
      </w:pPr>
      <w:r>
        <w:t xml:space="preserve">胡建雄, 何冠豪, 马文军. (2022). 高温热浪增加人群死亡风险的脆弱性理论框架. 环境与职业医学, 39(3), 240-246. DOI: 10.11836/JEOM21454</w:t>
      </w:r>
    </w:p>
    <w:p>
      <w:pPr>
        <w:numPr>
          <w:ilvl w:val="0"/>
          <w:numId w:val="1002"/>
        </w:numPr>
        <w:pStyle w:val="Compact"/>
      </w:pPr>
      <w:r>
        <w:t xml:space="preserve">黄存瑞, 刘起勇. (2022). IPCC AR6报告解读: 气候变化与人类健康. 气候变化研究进展, 18(4), 442-451. DOI: 10.12006/j.issn.1673-1719.2022.143</w:t>
      </w:r>
    </w:p>
    <w:p>
      <w:pPr>
        <w:numPr>
          <w:ilvl w:val="0"/>
          <w:numId w:val="1002"/>
        </w:numPr>
        <w:pStyle w:val="Compact"/>
      </w:pPr>
      <w:r>
        <w:t xml:space="preserve">李扬, 刘昌新, 宋瑶. (2021). 高温热浪频发对经济系统影响的研究进展. 气候变化研究进展, 17(1), 121-130. DOI: 10.12006/j.issn.1673-1719.2019.233</w:t>
      </w:r>
    </w:p>
    <w:p>
      <w:pPr>
        <w:numPr>
          <w:ilvl w:val="0"/>
          <w:numId w:val="1002"/>
        </w:numPr>
        <w:pStyle w:val="Compact"/>
      </w:pPr>
      <w:r>
        <w:t xml:space="preserve">刘聪, 陈仁杰, 阚海东. (2023).</w:t>
      </w:r>
      <w:r>
        <w:t xml:space="preserve"> </w:t>
      </w:r>
      <w:r>
        <w:t xml:space="preserve">“</w:t>
      </w:r>
      <w:r>
        <w:t xml:space="preserve">双碳</w:t>
      </w:r>
      <w:r>
        <w:t xml:space="preserve">”</w:t>
      </w:r>
      <w:r>
        <w:t xml:space="preserve">背景下的空气污染和气候变化流行病学研究进展与展望. 中华流行病学杂志, 44(3), 353-359. DOI: 10.3760/cma.j.cn112338-20220824-00732</w:t>
      </w:r>
    </w:p>
    <w:p>
      <w:pPr>
        <w:numPr>
          <w:ilvl w:val="0"/>
          <w:numId w:val="1002"/>
        </w:numPr>
        <w:pStyle w:val="Compact"/>
      </w:pPr>
      <w:r>
        <w:t xml:space="preserve">马静, 柴彦威, 符婷婷. (2017). 居民时空行为与环境污染暴露对健康影响的研究进展. 地理科学进展, 36(10), 1260-1269. DOI: 10.18306/dlkxjz.2017.10.008</w:t>
      </w:r>
    </w:p>
    <w:p>
      <w:pPr>
        <w:numPr>
          <w:ilvl w:val="0"/>
          <w:numId w:val="1002"/>
        </w:numPr>
        <w:pStyle w:val="Compact"/>
      </w:pPr>
      <w:r>
        <w:t xml:space="preserve">秦耀辰, 谢志祥, 李阳. (2019). 大气污染对居民健康影响研究进展. 环境科学, 40(3), 1512-1520. DOI: 10.13227/j.hjkx.201807108</w:t>
      </w:r>
    </w:p>
    <w:p>
      <w:pPr>
        <w:numPr>
          <w:ilvl w:val="0"/>
          <w:numId w:val="1002"/>
        </w:numPr>
        <w:pStyle w:val="Compact"/>
      </w:pPr>
      <w:r>
        <w:t xml:space="preserve">武卫玲, 薛文博, 王燕丽, 雷宇, 冯涛, 蔡泽林. (2019). 《大气污染防治行动计划》实施的环境健康效果评估. 环境科学, 40(7), 2961-2966. DOI: 10.13227/j.hjkx.201811110</w:t>
      </w:r>
    </w:p>
    <w:p>
      <w:pPr>
        <w:numPr>
          <w:ilvl w:val="0"/>
          <w:numId w:val="1002"/>
        </w:numPr>
        <w:pStyle w:val="Compact"/>
      </w:pPr>
      <w:r>
        <w:t xml:space="preserve">张莉君, 郭常义, 许慧慧, 许东, 沈先标, 杜向阳, 章敏华, 谈建国, 张江华, 东春阳, 钱海雷, 施烨闻, 潘梅竹, 周晓丹. (2017). 上海市大气污染对小学生肺功能小气道指标的急性效应研究. 中华流行病学杂志, 38(2), 147-153. DOI: 10.3760/cma.j.issn.0254-6450.2017.02.003</w:t>
      </w:r>
    </w:p>
    <w:p>
      <w:pPr>
        <w:numPr>
          <w:ilvl w:val="0"/>
          <w:numId w:val="1002"/>
        </w:numPr>
        <w:pStyle w:val="Compact"/>
      </w:pPr>
      <w:r>
        <w:t xml:space="preserve">郑璐, 刘博蕊, 万宁钰, 王小川, 杨喆, 胡嘉晋. (2024). 孕期大气污染暴露与儿童肥胖风险关系的系统综述. 环境与职业医学, 41(1), 70-76. DOI: 10.11836/JEOM23218</w:t>
      </w:r>
    </w:p>
    <w:p>
      <w:pPr>
        <w:numPr>
          <w:ilvl w:val="0"/>
          <w:numId w:val="1002"/>
        </w:numPr>
        <w:pStyle w:val="Compact"/>
      </w:pPr>
      <w:r>
        <w:t xml:space="preserve">朱鹏飞, 张翼, 班婕, 李湉湉, 施小明. (2017). 中国空气污染与不良出生结局的研究进展. 中华流行病学杂志, 38(3), 393-399. DOI: 10.3760/cma.j.issn.0254-6450.2017.03.024</w:t>
      </w:r>
    </w:p>
    <w:bookmarkEnd w:id="92"/>
    <w:bookmarkStart w:id="93" w:name="Xd7499fef3ae4ab31da891d341ffddb2a9933432"/>
    <w:p>
      <w:pPr>
        <w:pStyle w:val="Heading3"/>
      </w:pPr>
      <w:r>
        <w:t xml:space="preserve">17.3 Institutional and data sources cited without a journal identifier</w:t>
      </w:r>
    </w:p>
    <w:p>
      <w:pPr>
        <w:numPr>
          <w:ilvl w:val="0"/>
          <w:numId w:val="1003"/>
        </w:numPr>
        <w:pStyle w:val="Compact"/>
      </w:pPr>
      <w:r>
        <w:t xml:space="preserve">Climate, Environment, and Childhood Initiative, University of Pennsylvania. Project pages for the China project (Prenatal Air Pollution Exposures and Early Childhood Outcomes), the India project (Flooding, Schooling and Learning in Rural India: A Mixed Method Study), and the comparative project (PIRE: Climate Risk, Pollution, and Childhood Inequalities in Low- and Middle-Income Countries), funded in part under National Science Foundation PIRE award OISE-2230615. https://ceci.sas.upenn.edu</w:t>
      </w:r>
    </w:p>
    <w:p>
      <w:pPr>
        <w:numPr>
          <w:ilvl w:val="0"/>
          <w:numId w:val="1003"/>
        </w:numPr>
        <w:pStyle w:val="Compact"/>
      </w:pPr>
      <w:r>
        <w:t xml:space="preserve">China Education Panel Survey, National Survey Research Center, Renmin University of China. Survey documentation. No published methodology or cohort-profile article exists; cited as a data source only.</w:t>
      </w:r>
    </w:p>
    <w:p>
      <w:pPr>
        <w:numPr>
          <w:ilvl w:val="0"/>
          <w:numId w:val="1003"/>
        </w:numPr>
        <w:pStyle w:val="Compact"/>
      </w:pPr>
      <w:r>
        <w:t xml:space="preserve">Gansu Survey of Children and Families. Project documentation, University of Pennsylvania. No published cohort-profile article exists; cited as a data source only.</w:t>
      </w:r>
    </w:p>
    <w:p>
      <w:pPr>
        <w:numPr>
          <w:ilvl w:val="0"/>
          <w:numId w:val="1003"/>
        </w:numPr>
        <w:pStyle w:val="Compact"/>
      </w:pPr>
      <w:r>
        <w:t xml:space="preserve">ChinaHighAirPollutants (CHAP) data archive. Methodology reported in Wei et al. (2021).</w:t>
      </w:r>
    </w:p>
    <w:p>
      <w:pPr>
        <w:numPr>
          <w:ilvl w:val="0"/>
          <w:numId w:val="1003"/>
        </w:numPr>
        <w:pStyle w:val="Compact"/>
      </w:pPr>
      <w:r>
        <w:t xml:space="preserve">Tracking Air Pollution in China (TAP) data archive. Methodology reported in Geng et al. (2021).</w:t>
      </w:r>
    </w:p>
    <w:p>
      <w:r>
        <w:pict>
          <v:rect style="width:0;height:1.5pt" o:hralign="center" o:hrstd="t" o:hr="t"/>
        </w:pict>
      </w:r>
    </w:p>
    <w:p>
      <w:pPr>
        <w:pStyle w:val="FirstParagraph"/>
      </w:pPr>
      <w:r>
        <w:rPr>
          <w:iCs/>
          <w:i/>
        </w:rPr>
        <w:t xml:space="preserve">Document ends.</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Georgia" w:cs="Georgia" w:eastAsia="Georg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Georgia" w:cs="Georgia" w:eastAsia="Georg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Georgia" w:cs="Georgia" w:eastAsia="Georg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Georgia" w:cs="Georgia" w:eastAsia="Georg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Georgia" w:cs="Georgia" w:eastAsia="Georg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Georgia" w:cs="Georgia" w:eastAsia="Georg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Georgia" w:cs="Georgia" w:eastAsia="Georg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Georgia" w:cs="Georgia" w:eastAsia="Georg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Georgia" w:cs="Georgia" w:eastAsia="Georg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Georgia" w:cs="Georgia" w:eastAsia="Georg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Georgia" w:cs="Georgia" w:eastAsia="Georgia" w:hAnsi="Georgia"/>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Georgia" w:cs="Georgia" w:eastAsia="Georgia" w:hAnsi="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DocSecurity>0</DocSecurity>
  <ScaleCrop>false</ScaleCrop>
  <SharedDoc>false</SharedDoc>
  <HyperlinksChanged>false</HyperlinksChanged>
  <LinksUpToDate>false</LinksUpToDate>
</Properties>
</file>

<file path=docProps/core.xml><?xml version="1.0" encoding="utf-8"?>
<cp:coreProperties xmlns:cp="http://schemas.openxmlformats.org/package/2006/metadata/core-properties" xmlns:dc="http://purl.org/dc/elements/1.1/" xmlns:dcterms="http://purl.org/dc/terms/" xmlns:xsi="http://www.w3.org/2001/XMLSchema-instance">
  <dc:title>Climate Risk, Pollution, and Children's Welfare in China and in Comparative Perspective</dc:title>
  <dc:creator>Qixin Cai</dc:creator>
  <cp:lastModifiedBy>Qixin Cai</cp:lastModifiedBy>
  <dcterms:created xsi:type="dcterms:W3CDTF">2026-08-24T00:00:00Z</dcterms:created>
  <dcterms:modified xsi:type="dcterms:W3CDTF">2026-08-24T00:00:00Z</dcterms:modified>
</cp:coreProperties>
</file>

<file path=docProps/custom.xml><?xml version="1.0" encoding="utf-8"?>
<Properties xmlns="http://schemas.openxmlformats.org/officeDocument/2006/custom-properties" xmlns:vt="http://schemas.openxmlformats.org/officeDocument/2006/docPropsVTypes"/>
</file>