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DC4405"/>
          <w:sz w:val="20"/>
          <w:szCs w:val="20"/>
        </w:rPr>
        <w:t xml:space="preserve">EXECUTIVE SUMMARY</w:t>
      </w:r>
    </w:p>
    <w:p>
      <w:pPr>
        <w:spacing w:after="80" w:before="0"/>
      </w:pPr>
      <w:r>
        <w:rPr>
          <w:rFonts w:ascii="Arial" w:cs="Arial" w:eastAsia="Arial" w:hAnsi="Arial"/>
          <w:b/>
          <w:bCs/>
          <w:color w:val="003262"/>
          <w:sz w:val="48"/>
          <w:szCs w:val="48"/>
        </w:rPr>
        <w:t xml:space="preserve">OpenAlex: Increasing Visibility of COH Research</w:t>
      </w:r>
    </w:p>
    <w:p>
      <w:pPr>
        <w:spacing w:after="40" w:before="0"/>
      </w:pPr>
      <w:r>
        <w:rPr>
          <w:rFonts w:ascii="Arial" w:cs="Arial" w:eastAsia="Arial" w:hAnsi="Arial"/>
          <w:color w:val="424242"/>
          <w:sz w:val="24"/>
          <w:szCs w:val="24"/>
        </w:rPr>
        <w:t xml:space="preserve">A Recommendation for the College of Health</w:t>
      </w:r>
    </w:p>
    <w:p>
      <w:pPr>
        <w:spacing w:after="0" w:before="0"/>
      </w:pPr>
      <w:r>
        <w:rPr>
          <w:rFonts w:ascii="Arial" w:cs="Arial" w:eastAsia="Arial" w:hAnsi="Arial"/>
          <w:color w:val="424242"/>
          <w:sz w:val="20"/>
          <w:szCs w:val="20"/>
        </w:rPr>
        <w:t xml:space="preserve">Prepared by: Marketing &amp; Communications  ·  May 2026</w:t>
      </w:r>
    </w:p>
    <w:p>
      <w:pPr>
        <w:pBdr>
          <w:bottom w:val="single" w:color="DC4405" w:sz="12" w:space="6"/>
        </w:pBdr>
        <w:spacing w:after="360" w:before="0"/>
      </w:pPr>
    </w:p>
    <w:p>
      <w:pPr>
        <w:pStyle w:val="Heading1"/>
        <w:pBdr>
          <w:bottom w:val="single" w:color="DC4405" w:sz="6" w:space="4"/>
        </w:pBdr>
        <w:spacing w:after="100" w:before="320"/>
      </w:pPr>
      <w:r>
        <w:rPr>
          <w:rFonts w:ascii="Arial" w:cs="Arial" w:eastAsia="Arial" w:hAnsi="Arial"/>
          <w:b/>
          <w:bCs/>
          <w:color w:val="003262"/>
          <w:sz w:val="30"/>
          <w:szCs w:val="30"/>
        </w:rPr>
        <w:t xml:space="preserve">The Opportunity</w:t>
      </w:r>
    </w:p>
    <w:p>
      <w:pPr>
        <w:spacing w:after="120" w:before="0"/>
      </w:pPr>
      <w:r>
        <w:rPr>
          <w:rFonts w:ascii="Arial" w:cs="Arial" w:eastAsia="Arial" w:hAnsi="Arial"/>
          <w:sz w:val="22"/>
          <w:szCs w:val="22"/>
        </w:rPr>
        <w:t xml:space="preserve">The College of Health produces substantial, high-quality research — but that research is not as visible as it should be. Most of our faculty publications are tracked only by expensive subscription tools (Scopus, Web of Science) that require institutional licenses to access, or by manually maintained web pages that quickly go out of date.</w:t>
      </w:r>
    </w:p>
    <w:p>
      <w:pPr>
        <w:spacing w:after="120" w:before="0"/>
      </w:pPr>
      <w:r>
        <w:rPr>
          <w:rFonts w:ascii="Arial" w:cs="Arial" w:eastAsia="Arial" w:hAnsi="Arial"/>
          <w:sz w:val="22"/>
          <w:szCs w:val="22"/>
        </w:rPr>
        <w:t xml:space="preserve">There is now a free, open, and powerful alternative: OpenAlex. It gives us the ability to surface COH research metrics publicly and automatically — without recurring licensing fees, without IT dependencies, and without asking faculty to maintain anything.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4405" w:sz="8"/>
              <w:left w:val="single" w:color="CCCCCC" w:sz="1"/>
              <w:bottom w:val="single" w:color="CCCCCC" w:sz="1"/>
              <w:right w:val="single" w:color="CCCCCC" w:sz="1"/>
            </w:tcBorders>
            <w:shd w:fill="E8F0FD" w:val="clear"/>
            <w:tcMar>
              <w:top w:type="dxa" w:w="140"/>
              <w:left w:type="dxa" w:w="180"/>
              <w:bottom w:type="dxa" w:w="140"/>
              <w:right w:type="dxa" w:w="180"/>
            </w:tcMar>
          </w:tcPr>
          <w:p>
            <w:pPr>
              <w:spacing w:after="60"/>
            </w:pPr>
            <w:r>
              <w:rPr>
                <w:rFonts w:ascii="Arial" w:cs="Arial" w:eastAsia="Arial" w:hAnsi="Arial"/>
                <w:b/>
                <w:bCs/>
                <w:color w:val="003262"/>
                <w:sz w:val="22"/>
                <w:szCs w:val="22"/>
              </w:rPr>
              <w:t xml:space="preserve">What is OpenAlex?</w:t>
            </w:r>
          </w:p>
          <w:p>
            <w:pPr>
              <w:spacing w:after="0"/>
            </w:pPr>
            <w:r>
              <w:rPr>
                <w:rFonts w:ascii="Arial" w:cs="Arial" w:eastAsia="Arial" w:hAnsi="Arial"/>
                <w:sz w:val="22"/>
                <w:szCs w:val="22"/>
              </w:rPr>
              <w:t xml:space="preserve">A free, nonprofit-operated catalog of 477 million scholarly works, built on open data. It knows who wrote what, where they work, who cited them, what their research is about, and whether their papers are freely readable. It is used by the French Ministry of Research, Sorbonne University, and hundreds of institutions globally — and it is available to us at no cost.</w:t>
            </w:r>
          </w:p>
        </w:tc>
      </w:tr>
    </w:tbl>
    <w:p>
      <w:pPr>
        <w:spacing w:after="160" w:before="0"/>
      </w:pPr>
    </w:p>
    <w:p>
      <w:pPr>
        <w:pStyle w:val="Heading1"/>
        <w:pBdr>
          <w:bottom w:val="single" w:color="DC4405" w:sz="6" w:space="4"/>
        </w:pBdr>
        <w:spacing w:after="100" w:before="320"/>
      </w:pPr>
      <w:r>
        <w:rPr>
          <w:rFonts w:ascii="Arial" w:cs="Arial" w:eastAsia="Arial" w:hAnsi="Arial"/>
          <w:b/>
          <w:bCs/>
          <w:color w:val="003262"/>
          <w:sz w:val="30"/>
          <w:szCs w:val="30"/>
        </w:rPr>
        <w:t xml:space="preserve">The Problem We Are Solving</w:t>
      </w:r>
    </w:p>
    <w:p>
      <w:pPr>
        <w:spacing w:after="120" w:before="0"/>
      </w:pPr>
      <w:r>
        <w:rPr>
          <w:rFonts w:ascii="Arial" w:cs="Arial" w:eastAsia="Arial" w:hAnsi="Arial"/>
          <w:sz w:val="22"/>
          <w:szCs w:val="22"/>
        </w:rPr>
        <w:t xml:space="preserve">When a prospective graduate student, journalist, or grant officer visits a COH faculty profile page, they typically see:</w:t>
      </w:r>
    </w:p>
    <w:p>
      <w:pPr>
        <w:pStyle w:val="ListParagraph"/>
        <w:numPr>
          <w:ilvl w:val="0"/>
          <w:numId w:val="2"/>
        </w:numPr>
        <w:spacing w:after="100" w:before="0"/>
      </w:pPr>
      <w:r>
        <w:rPr>
          <w:rFonts w:ascii="Arial" w:cs="Arial" w:eastAsia="Arial" w:hAnsi="Arial"/>
          <w:b w:val="false"/>
          <w:bCs w:val="false"/>
          <w:sz w:val="22"/>
          <w:szCs w:val="22"/>
        </w:rPr>
        <w:t xml:space="preserve">A static, often outdated list of publications (if it has been updated at all)</w:t>
      </w:r>
    </w:p>
    <w:p>
      <w:pPr>
        <w:pStyle w:val="ListParagraph"/>
        <w:numPr>
          <w:ilvl w:val="0"/>
          <w:numId w:val="2"/>
        </w:numPr>
        <w:spacing w:after="100" w:before="0"/>
      </w:pPr>
      <w:r>
        <w:rPr>
          <w:rFonts w:ascii="Arial" w:cs="Arial" w:eastAsia="Arial" w:hAnsi="Arial"/>
          <w:b w:val="false"/>
          <w:bCs w:val="false"/>
          <w:sz w:val="22"/>
          <w:szCs w:val="22"/>
        </w:rPr>
        <w:t xml:space="preserve">No indication of whether the research is freely readable</w:t>
      </w:r>
    </w:p>
    <w:p>
      <w:pPr>
        <w:pStyle w:val="ListParagraph"/>
        <w:numPr>
          <w:ilvl w:val="0"/>
          <w:numId w:val="2"/>
        </w:numPr>
        <w:spacing w:after="100" w:before="0"/>
      </w:pPr>
      <w:r>
        <w:rPr>
          <w:rFonts w:ascii="Arial" w:cs="Arial" w:eastAsia="Arial" w:hAnsi="Arial"/>
          <w:b w:val="false"/>
          <w:bCs w:val="false"/>
          <w:sz w:val="22"/>
          <w:szCs w:val="22"/>
        </w:rPr>
        <w:t xml:space="preserve">No context for how impactful the work is in its field</w:t>
      </w:r>
    </w:p>
    <w:p>
      <w:pPr>
        <w:pStyle w:val="ListParagraph"/>
        <w:numPr>
          <w:ilvl w:val="0"/>
          <w:numId w:val="2"/>
        </w:numPr>
        <w:spacing w:after="100" w:before="0"/>
      </w:pPr>
      <w:r>
        <w:rPr>
          <w:rFonts w:ascii="Arial" w:cs="Arial" w:eastAsia="Arial" w:hAnsi="Arial"/>
          <w:b w:val="false"/>
          <w:bCs w:val="false"/>
          <w:sz w:val="22"/>
          <w:szCs w:val="22"/>
        </w:rPr>
        <w:t xml:space="preserve">No connection to the researcher's broader publication record</w:t>
      </w:r>
    </w:p>
    <w:p>
      <w:pPr>
        <w:spacing w:after="120" w:before="0"/>
      </w:pPr>
      <w:r>
        <w:rPr>
          <w:rFonts w:ascii="Arial" w:cs="Arial" w:eastAsia="Arial" w:hAnsi="Arial"/>
          <w:sz w:val="22"/>
          <w:szCs w:val="22"/>
        </w:rPr>
        <w:t xml:space="preserve">Meanwhile, platforms like Dimensions, Altmetric, and PlumX already add citation and attention metrics to our individual publication pages — but nothing comparable exists on faculty profile pages or in our publication lists.</w:t>
      </w:r>
    </w:p>
    <w:p>
      <w:pPr>
        <w:spacing w:after="120" w:before="0"/>
      </w:pPr>
      <w:r>
        <w:rPr>
          <w:rFonts w:ascii="Arial" w:cs="Arial" w:eastAsia="Arial" w:hAnsi="Arial"/>
          <w:sz w:val="22"/>
          <w:szCs w:val="22"/>
        </w:rPr>
        <w:t xml:space="preserve">OpenAlex fills this gap. It gives us the data infrastructure to tell a richer research story across the entire COH web presence.</w:t>
      </w:r>
    </w:p>
    <w:p>
      <w:pPr>
        <w:spacing w:after="160" w:before="0"/>
      </w:pPr>
    </w:p>
    <w:p>
      <w:pPr>
        <w:pStyle w:val="Heading1"/>
        <w:pBdr>
          <w:bottom w:val="single" w:color="DC4405" w:sz="6" w:space="4"/>
        </w:pBdr>
        <w:spacing w:after="100" w:before="320"/>
      </w:pPr>
      <w:r>
        <w:rPr>
          <w:rFonts w:ascii="Arial" w:cs="Arial" w:eastAsia="Arial" w:hAnsi="Arial"/>
          <w:b/>
          <w:bCs/>
          <w:color w:val="003262"/>
          <w:sz w:val="30"/>
          <w:szCs w:val="30"/>
        </w:rPr>
        <w:t xml:space="preserve">What We Recommend</w:t>
      </w:r>
    </w:p>
    <w:p>
      <w:pPr>
        <w:spacing w:after="120" w:before="0"/>
      </w:pPr>
      <w:r>
        <w:rPr>
          <w:rFonts w:ascii="Arial" w:cs="Arial" w:eastAsia="Arial" w:hAnsi="Arial"/>
          <w:sz w:val="22"/>
          <w:szCs w:val="22"/>
        </w:rPr>
        <w:t xml:space="preserve">We propose a phased implementation of three OpenAlex-powered capabilities, in priority order:</w:t>
      </w:r>
    </w:p>
    <w:p>
      <w:pPr>
        <w:spacing w:after="120" w:before="0"/>
      </w:pPr>
    </w:p>
    <w:p>
      <w:pPr>
        <w:pStyle w:val="Heading2"/>
        <w:spacing w:after="80" w:before="200"/>
      </w:pPr>
      <w:r>
        <w:rPr>
          <w:rFonts w:ascii="Arial" w:cs="Arial" w:eastAsia="Arial" w:hAnsi="Arial"/>
          <w:b/>
          <w:bCs/>
          <w:color w:val="003262"/>
          <w:sz w:val="24"/>
          <w:szCs w:val="24"/>
        </w:rPr>
        <w:t xml:space="preserve">Phase 1 — Publication Page Metrics Badge (0–3 months)</w:t>
      </w:r>
    </w:p>
    <w:p>
      <w:pPr>
        <w:spacing w:after="120" w:before="0"/>
      </w:pPr>
      <w:r>
        <w:rPr>
          <w:rFonts w:ascii="Arial" w:cs="Arial" w:eastAsia="Arial" w:hAnsi="Arial"/>
          <w:sz w:val="22"/>
          <w:szCs w:val="22"/>
        </w:rPr>
        <w:t xml:space="preserve">Add an OpenAlex badge alongside the existing Dimensions and Altmetric badges on individual publication pages. This badge will display:</w:t>
      </w:r>
    </w:p>
    <w:p>
      <w:pPr>
        <w:pStyle w:val="ListParagraph"/>
        <w:numPr>
          <w:ilvl w:val="0"/>
          <w:numId w:val="2"/>
        </w:numPr>
        <w:spacing w:after="100" w:before="0"/>
      </w:pPr>
      <w:r>
        <w:rPr>
          <w:rFonts w:ascii="Arial" w:cs="Arial" w:eastAsia="Arial" w:hAnsi="Arial"/>
          <w:b w:val="false"/>
          <w:bCs w:val="false"/>
          <w:sz w:val="22"/>
          <w:szCs w:val="22"/>
        </w:rPr>
        <w:t xml:space="preserve">Citation count and citation percentile ranking (e.g., "Top 10% in 2024")</w:t>
      </w:r>
    </w:p>
    <w:p>
      <w:pPr>
        <w:pStyle w:val="ListParagraph"/>
        <w:numPr>
          <w:ilvl w:val="0"/>
          <w:numId w:val="2"/>
        </w:numPr>
        <w:spacing w:after="100" w:before="0"/>
      </w:pPr>
      <w:r>
        <w:rPr>
          <w:rFonts w:ascii="Arial" w:cs="Arial" w:eastAsia="Arial" w:hAnsi="Arial"/>
          <w:b w:val="false"/>
          <w:bCs w:val="false"/>
          <w:sz w:val="22"/>
          <w:szCs w:val="22"/>
        </w:rPr>
        <w:t xml:space="preserve">Field-Weighted Citation Impact — how this paper compares to global peers in its field</w:t>
      </w:r>
    </w:p>
    <w:p>
      <w:pPr>
        <w:pStyle w:val="ListParagraph"/>
        <w:numPr>
          <w:ilvl w:val="0"/>
          <w:numId w:val="2"/>
        </w:numPr>
        <w:spacing w:after="100" w:before="0"/>
      </w:pPr>
      <w:r>
        <w:rPr>
          <w:rFonts w:ascii="Arial" w:cs="Arial" w:eastAsia="Arial" w:hAnsi="Arial"/>
          <w:b w:val="false"/>
          <w:bCs w:val="false"/>
          <w:sz w:val="22"/>
          <w:szCs w:val="22"/>
        </w:rPr>
        <w:t xml:space="preserve">Open access status and direct PDF link where available</w:t>
      </w:r>
    </w:p>
    <w:p>
      <w:pPr>
        <w:pStyle w:val="ListParagraph"/>
        <w:numPr>
          <w:ilvl w:val="0"/>
          <w:numId w:val="2"/>
        </w:numPr>
        <w:spacing w:after="100" w:before="0"/>
      </w:pPr>
      <w:r>
        <w:rPr>
          <w:rFonts w:ascii="Arial" w:cs="Arial" w:eastAsia="Arial" w:hAnsi="Arial"/>
          <w:b w:val="false"/>
          <w:bCs w:val="false"/>
          <w:sz w:val="22"/>
          <w:szCs w:val="22"/>
        </w:rPr>
        <w:t xml:space="preserve">Research topic tags and funder attribution</w:t>
      </w:r>
    </w:p>
    <w:p>
      <w:pPr>
        <w:spacing w:after="120" w:before="0"/>
      </w:pPr>
      <w:r>
        <w:rPr>
          <w:rFonts w:ascii="Arial" w:cs="Arial" w:eastAsia="Arial" w:hAnsi="Arial"/>
          <w:b/>
          <w:bCs/>
          <w:sz w:val="22"/>
          <w:szCs w:val="22"/>
        </w:rPr>
        <w:t xml:space="preserve">Effort: </w:t>
      </w:r>
      <w:r>
        <w:rPr>
          <w:rFonts w:ascii="Arial" w:cs="Arial" w:eastAsia="Arial" w:hAnsi="Arial"/>
          <w:sz w:val="22"/>
          <w:szCs w:val="22"/>
        </w:rPr>
        <w:t xml:space="preserve">Low — implemented via a small JavaScript file and a one-line change to an existing Drupal View. No module installation required. The technical plan is already complete.</w:t>
      </w:r>
    </w:p>
    <w:p>
      <w:pPr>
        <w:spacing w:after="120" w:before="0"/>
      </w:pPr>
    </w:p>
    <w:p>
      <w:pPr>
        <w:pStyle w:val="Heading2"/>
        <w:spacing w:after="80" w:before="200"/>
      </w:pPr>
      <w:r>
        <w:rPr>
          <w:rFonts w:ascii="Arial" w:cs="Arial" w:eastAsia="Arial" w:hAnsi="Arial"/>
          <w:b/>
          <w:bCs/>
          <w:color w:val="003262"/>
          <w:sz w:val="24"/>
          <w:szCs w:val="24"/>
        </w:rPr>
        <w:t xml:space="preserve">Phase 2 — Live Publication Lists on Faculty Profiles (3–6 months)</w:t>
      </w:r>
    </w:p>
    <w:p>
      <w:pPr>
        <w:spacing w:after="120" w:before="0"/>
      </w:pPr>
      <w:r>
        <w:rPr>
          <w:rFonts w:ascii="Arial" w:cs="Arial" w:eastAsia="Arial" w:hAnsi="Arial"/>
          <w:sz w:val="22"/>
          <w:szCs w:val="22"/>
        </w:rPr>
        <w:t xml:space="preserve">Replace or supplement static publication lists on faculty profile pages with automatically updated lists drawn from the OpenAlex API, keyed to each faculty member's ORCID. Lists update daily without any manual intervention.</w:t>
      </w:r>
    </w:p>
    <w:p>
      <w:pPr>
        <w:spacing w:after="120" w:before="0"/>
      </w:pPr>
      <w:r>
        <w:rPr>
          <w:rFonts w:ascii="Arial" w:cs="Arial" w:eastAsia="Arial" w:hAnsi="Arial"/>
          <w:b/>
          <w:bCs/>
          <w:sz w:val="22"/>
          <w:szCs w:val="22"/>
        </w:rPr>
        <w:t xml:space="preserve">Prerequisite: </w:t>
      </w:r>
      <w:r>
        <w:rPr>
          <w:rFonts w:ascii="Arial" w:cs="Arial" w:eastAsia="Arial" w:hAnsi="Arial"/>
          <w:sz w:val="22"/>
          <w:szCs w:val="22"/>
        </w:rPr>
        <w:t xml:space="preserve">Faculty ORCID adoption. We recommend adding an ORCID field to faculty profiles in Drupal and running a brief campaign to collect ORCIDs from existing faculty.</w:t>
      </w:r>
    </w:p>
    <w:p>
      <w:pPr>
        <w:spacing w:after="120" w:before="0"/>
      </w:pPr>
      <w:r>
        <w:rPr>
          <w:rFonts w:ascii="Arial" w:cs="Arial" w:eastAsia="Arial" w:hAnsi="Arial"/>
          <w:b/>
          <w:bCs/>
          <w:sz w:val="22"/>
          <w:szCs w:val="22"/>
        </w:rPr>
        <w:t xml:space="preserve">Effort: </w:t>
      </w:r>
      <w:r>
        <w:rPr>
          <w:rFonts w:ascii="Arial" w:cs="Arial" w:eastAsia="Arial" w:hAnsi="Arial"/>
          <w:sz w:val="22"/>
          <w:szCs w:val="22"/>
        </w:rPr>
        <w:t xml:space="preserve">Medium — requires adding one field to Drupal and a JavaScript widget on faculty profile pages.</w:t>
      </w:r>
    </w:p>
    <w:p>
      <w:pPr>
        <w:spacing w:after="120" w:before="0"/>
      </w:pPr>
    </w:p>
    <w:p>
      <w:pPr>
        <w:pStyle w:val="Heading2"/>
        <w:spacing w:after="80" w:before="200"/>
      </w:pPr>
      <w:r>
        <w:rPr>
          <w:rFonts w:ascii="Arial" w:cs="Arial" w:eastAsia="Arial" w:hAnsi="Arial"/>
          <w:b/>
          <w:bCs/>
          <w:color w:val="003262"/>
          <w:sz w:val="24"/>
          <w:szCs w:val="24"/>
        </w:rPr>
        <w:t xml:space="preserve">Phase 3 — Author Metrics Panel on Faculty Profiles (6–12 months)</w:t>
      </w:r>
    </w:p>
    <w:p>
      <w:pPr>
        <w:spacing w:after="120" w:before="0"/>
      </w:pPr>
      <w:r>
        <w:rPr>
          <w:rFonts w:ascii="Arial" w:cs="Arial" w:eastAsia="Arial" w:hAnsi="Arial"/>
          <w:sz w:val="22"/>
          <w:szCs w:val="22"/>
        </w:rPr>
        <w:t xml:space="preserve">Display a metrics summary card on each faculty profile page showing total citations, h-index, publication count, and top research topics — all automatically populated from OpenAlex using the faculty member's ORCID.</w:t>
      </w:r>
    </w:p>
    <w:p>
      <w:pPr>
        <w:spacing w:after="120" w:before="0"/>
      </w:pPr>
      <w:r>
        <w:rPr>
          <w:rFonts w:ascii="Arial" w:cs="Arial" w:eastAsia="Arial" w:hAnsi="Arial"/>
          <w:b/>
          <w:bCs/>
          <w:sz w:val="22"/>
          <w:szCs w:val="22"/>
        </w:rPr>
        <w:t xml:space="preserve">Effort: </w:t>
      </w:r>
      <w:r>
        <w:rPr>
          <w:rFonts w:ascii="Arial" w:cs="Arial" w:eastAsia="Arial" w:hAnsi="Arial"/>
          <w:sz w:val="22"/>
          <w:szCs w:val="22"/>
        </w:rPr>
        <w:t xml:space="preserve">Medium — depends on Phase 2 ORCID infrastructure being in place.</w:t>
      </w:r>
    </w:p>
    <w:p>
      <w:pPr>
        <w:spacing w:after="160" w:before="0"/>
      </w:pPr>
    </w:p>
    <w:p>
      <w:pPr>
        <w:pStyle w:val="Heading1"/>
        <w:pBdr>
          <w:bottom w:val="single" w:color="DC4405" w:sz="6" w:space="4"/>
        </w:pBdr>
        <w:spacing w:after="100" w:before="320"/>
      </w:pPr>
      <w:r>
        <w:rPr>
          <w:rFonts w:ascii="Arial" w:cs="Arial" w:eastAsia="Arial" w:hAnsi="Arial"/>
          <w:b/>
          <w:bCs/>
          <w:color w:val="003262"/>
          <w:sz w:val="30"/>
          <w:szCs w:val="30"/>
        </w:rPr>
        <w:t xml:space="preserve">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00"/>
        <w:gridCol w:w="1200"/>
        <w:gridCol w:w="2640"/>
      </w:tblGrid>
      <w:tr>
        <w:tc>
          <w:tcPr>
            <w:tcW w:type="dxa" w:w="252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Resource Requirement</w:t>
            </w:r>
          </w:p>
        </w:tc>
        <w:tc>
          <w:tcPr>
            <w:tcW w:type="dxa" w:w="1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Licensing Cost</w:t>
            </w:r>
          </w:p>
        </w:tc>
        <w:tc>
          <w:tcPr>
            <w:tcW w:type="dxa" w:w="264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Publication page badge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 uses existing Drupal 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 months</w:t>
            </w:r>
          </w:p>
        </w:tc>
      </w:tr>
      <w:tr>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ORCID field in Drupal</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Minimal Drupal admin time + faculty outreach</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6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1–2 months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Faculty publication widget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JavaScript development + Drupal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months</w:t>
            </w:r>
          </w:p>
        </w:tc>
      </w:tr>
      <w:tr>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Author metrics panel</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JavaScript development + design review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6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6–12 months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4405" w:sz="8"/>
              <w:left w:val="single" w:color="CCCCCC" w:sz="1"/>
              <w:bottom w:val="single" w:color="CCCCCC" w:sz="1"/>
              <w:right w:val="single" w:color="CCCCCC" w:sz="1"/>
            </w:tcBorders>
            <w:shd w:fill="E8F5E9" w:val="clear"/>
            <w:tcMar>
              <w:top w:type="dxa" w:w="140"/>
              <w:left w:type="dxa" w:w="180"/>
              <w:bottom w:type="dxa" w:w="140"/>
              <w:right w:type="dxa" w:w="180"/>
            </w:tcMar>
          </w:tcPr>
          <w:p>
            <w:pPr>
              <w:spacing w:after="60"/>
            </w:pPr>
            <w:r>
              <w:rPr>
                <w:rFonts w:ascii="Arial" w:cs="Arial" w:eastAsia="Arial" w:hAnsi="Arial"/>
                <w:b/>
                <w:bCs/>
                <w:color w:val="003262"/>
                <w:sz w:val="22"/>
                <w:szCs w:val="22"/>
              </w:rPr>
              <w:t xml:space="preserve">Cost to the College</w:t>
            </w:r>
          </w:p>
          <w:p>
            <w:pPr>
              <w:spacing w:after="0"/>
            </w:pPr>
            <w:r>
              <w:rPr>
                <w:rFonts w:ascii="Arial" w:cs="Arial" w:eastAsia="Arial" w:hAnsi="Arial"/>
                <w:sz w:val="22"/>
                <w:szCs w:val="22"/>
              </w:rPr>
              <w:t xml:space="preserve">Zero licensing cost at any phase. OpenAlex is free. Implementation requires MarComm staff time and minimal JavaScript development — no new software purchases, no vendor contracts, no IT infrastructure.</w:t>
            </w:r>
          </w:p>
        </w:tc>
      </w:tr>
    </w:tbl>
    <w:p>
      <w:pPr>
        <w:spacing w:after="160" w:before="0"/>
      </w:pPr>
    </w:p>
    <w:p>
      <w:pPr>
        <w:pStyle w:val="Heading1"/>
        <w:pBdr>
          <w:bottom w:val="single" w:color="DC4405" w:sz="6" w:space="4"/>
        </w:pBdr>
        <w:spacing w:after="100" w:before="320"/>
      </w:pPr>
      <w:r>
        <w:rPr>
          <w:rFonts w:ascii="Arial" w:cs="Arial" w:eastAsia="Arial" w:hAnsi="Arial"/>
          <w:b/>
          <w:bCs/>
          <w:color w:val="003262"/>
          <w:sz w:val="30"/>
          <w:szCs w:val="30"/>
        </w:rPr>
        <w:t xml:space="preserve">Why This Matters Now</w:t>
      </w:r>
    </w:p>
    <w:p>
      <w:pPr>
        <w:spacing w:after="120" w:before="0"/>
      </w:pPr>
      <w:r>
        <w:rPr>
          <w:rFonts w:ascii="Arial" w:cs="Arial" w:eastAsia="Arial" w:hAnsi="Arial"/>
          <w:b/>
          <w:bCs/>
          <w:sz w:val="22"/>
          <w:szCs w:val="22"/>
        </w:rPr>
        <w:t xml:space="preserve">Research visibility is increasingly competitive. </w:t>
      </w:r>
      <w:r>
        <w:rPr>
          <w:rFonts w:ascii="Arial" w:cs="Arial" w:eastAsia="Arial" w:hAnsi="Arial"/>
          <w:sz w:val="22"/>
          <w:szCs w:val="22"/>
        </w:rPr>
        <w:t xml:space="preserve">Prospective faculty, graduate students, and research partners evaluate institutions online before they ever reach out. A faculty page with no publication metrics sends a different signal than one that shows citation impact, open access commitment, and research breadth.</w:t>
      </w:r>
    </w:p>
    <w:p>
      <w:pPr>
        <w:spacing w:after="120" w:before="0"/>
      </w:pPr>
      <w:r>
        <w:rPr>
          <w:rFonts w:ascii="Arial" w:cs="Arial" w:eastAsia="Arial" w:hAnsi="Arial"/>
          <w:b/>
          <w:bCs/>
          <w:sz w:val="22"/>
          <w:szCs w:val="22"/>
        </w:rPr>
        <w:t xml:space="preserve">Open access is now mandated, not optional. </w:t>
      </w:r>
      <w:r>
        <w:rPr>
          <w:rFonts w:ascii="Arial" w:cs="Arial" w:eastAsia="Arial" w:hAnsi="Arial"/>
          <w:sz w:val="22"/>
          <w:szCs w:val="22"/>
        </w:rPr>
        <w:t xml:space="preserve">NIH's 2025 data sharing policy and other federal mandates require researchers to make their work publicly accessible. OpenAlex tracks this compliance and lets us demonstrate it publicly.</w:t>
      </w:r>
    </w:p>
    <w:p>
      <w:pPr>
        <w:spacing w:after="120" w:before="0"/>
      </w:pPr>
      <w:r>
        <w:rPr>
          <w:rFonts w:ascii="Arial" w:cs="Arial" w:eastAsia="Arial" w:hAnsi="Arial"/>
          <w:b/>
          <w:bCs/>
          <w:sz w:val="22"/>
          <w:szCs w:val="22"/>
        </w:rPr>
        <w:t xml:space="preserve">Our competitors are already doing this. </w:t>
      </w:r>
      <w:r>
        <w:rPr>
          <w:rFonts w:ascii="Arial" w:cs="Arial" w:eastAsia="Arial" w:hAnsi="Arial"/>
          <w:sz w:val="22"/>
          <w:szCs w:val="22"/>
        </w:rPr>
        <w:t xml:space="preserve">Schools with stronger research brands routinely surface citation metrics, funding histories, and publication records on faculty pages. This is standard practice at R1 institutions.</w:t>
      </w:r>
    </w:p>
    <w:p>
      <w:pPr>
        <w:spacing w:after="120" w:before="0"/>
      </w:pPr>
      <w:r>
        <w:rPr>
          <w:rFonts w:ascii="Arial" w:cs="Arial" w:eastAsia="Arial" w:hAnsi="Arial"/>
          <w:b/>
          <w:bCs/>
          <w:sz w:val="22"/>
          <w:szCs w:val="22"/>
        </w:rPr>
        <w:t xml:space="preserve">The technology is ready. </w:t>
      </w:r>
      <w:r>
        <w:rPr>
          <w:rFonts w:ascii="Arial" w:cs="Arial" w:eastAsia="Arial" w:hAnsi="Arial"/>
          <w:sz w:val="22"/>
          <w:szCs w:val="22"/>
        </w:rPr>
        <w:t xml:space="preserve">The complete technical build plan is already written. Phase 1 can begin immediately following approval, with visible results on the COH website within weeks.</w:t>
      </w:r>
    </w:p>
    <w:p>
      <w:pPr>
        <w:spacing w:after="160" w:before="0"/>
      </w:pPr>
    </w:p>
    <w:p>
      <w:pPr>
        <w:pStyle w:val="Heading1"/>
        <w:pBdr>
          <w:bottom w:val="single" w:color="DC4405" w:sz="6" w:space="4"/>
        </w:pBdr>
        <w:spacing w:after="100" w:before="320"/>
      </w:pPr>
      <w:r>
        <w:rPr>
          <w:rFonts w:ascii="Arial" w:cs="Arial" w:eastAsia="Arial" w:hAnsi="Arial"/>
          <w:b/>
          <w:bCs/>
          <w:color w:val="003262"/>
          <w:sz w:val="30"/>
          <w:szCs w:val="30"/>
        </w:rPr>
        <w:t xml:space="preserve">Request for Approval</w:t>
      </w:r>
    </w:p>
    <w:p>
      <w:pPr>
        <w:spacing w:after="120" w:before="0"/>
      </w:pPr>
      <w:r>
        <w:rPr>
          <w:rFonts w:ascii="Arial" w:cs="Arial" w:eastAsia="Arial" w:hAnsi="Arial"/>
          <w:sz w:val="22"/>
          <w:szCs w:val="22"/>
        </w:rPr>
        <w:t xml:space="preserve">We are requesting approval to proceed with Phase 1 — the publication page badge — and to begin the ORCID outreach campaign needed to enable Phases 2 and 3.</w:t>
      </w:r>
    </w:p>
    <w:p>
      <w:pPr>
        <w:spacing w:after="120" w:before="0"/>
      </w:pPr>
      <w:r>
        <w:rPr>
          <w:rFonts w:ascii="Arial" w:cs="Arial" w:eastAsia="Arial" w:hAnsi="Arial"/>
          <w:sz w:val="22"/>
          <w:szCs w:val="22"/>
        </w:rPr>
        <w:t xml:space="preserve">Phase 1 requires no budget and minimal risk: if the badge does not render (e.g., due to a Content Security Policy conflict), it fails invisibly and the existing page is unaffected. There is no downside scenario.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4405" w:sz="8"/>
              <w:left w:val="single" w:color="CCCCCC" w:sz="1"/>
              <w:bottom w:val="single" w:color="CCCCCC" w:sz="1"/>
              <w:right w:val="single" w:color="CCCCCC" w:sz="1"/>
            </w:tcBorders>
            <w:shd w:fill="E8F0FD" w:val="clear"/>
            <w:tcMar>
              <w:top w:type="dxa" w:w="140"/>
              <w:left w:type="dxa" w:w="180"/>
              <w:bottom w:type="dxa" w:w="140"/>
              <w:right w:type="dxa" w:w="180"/>
            </w:tcMar>
          </w:tcPr>
          <w:p>
            <w:pPr>
              <w:spacing w:after="60"/>
            </w:pPr>
            <w:r>
              <w:rPr>
                <w:rFonts w:ascii="Arial" w:cs="Arial" w:eastAsia="Arial" w:hAnsi="Arial"/>
                <w:b/>
                <w:bCs/>
                <w:color w:val="003262"/>
                <w:sz w:val="22"/>
                <w:szCs w:val="22"/>
              </w:rPr>
              <w:t xml:space="preserve">Immediate next step</w:t>
            </w:r>
          </w:p>
          <w:p>
            <w:pPr>
              <w:spacing w:after="0"/>
            </w:pPr>
            <w:r>
              <w:rPr>
                <w:rFonts w:ascii="Arial" w:cs="Arial" w:eastAsia="Arial" w:hAnsi="Arial"/>
                <w:sz w:val="22"/>
                <w:szCs w:val="22"/>
              </w:rPr>
              <w:t xml:space="preserve">Approve Phase 1 implementation. MarComm will complete the JavaScript widget and deploy it to the COH publications path (/research/publications/*) within 2–4 weeks. We will report back with a live demonstration before moving to Phase 2.</w:t>
            </w:r>
          </w:p>
        </w:tc>
      </w:tr>
    </w:tbl>
    <w:p>
      <w:pPr>
        <w:spacing w:after="200" w:before="0"/>
      </w:pPr>
    </w:p>
    <w:p>
      <w:pPr>
        <w:pBdr>
          <w:top w:val="single" w:color="BDBDBD" w:sz="4" w:space="8"/>
        </w:pBdr>
        <w:spacing w:after="60" w:before="0"/>
      </w:pPr>
    </w:p>
    <w:p>
      <w:pPr>
        <w:spacing w:after="120" w:before="0"/>
      </w:pPr>
      <w:r>
        <w:rPr>
          <w:rFonts w:ascii="Arial" w:cs="Arial" w:eastAsia="Arial" w:hAnsi="Arial"/>
          <w:sz w:val="22"/>
          <w:szCs w:val="22"/>
        </w:rPr>
        <w:t xml:space="preserve">Questions? Contact COH Marketing &amp; Communications.</w:t>
      </w:r>
    </w:p>
    <w:p>
      <w:pPr>
        <w:spacing w:after="120" w:before="0"/>
      </w:pPr>
      <w:r>
        <w:rPr>
          <w:rFonts w:ascii="Arial" w:cs="Arial" w:eastAsia="Arial" w:hAnsi="Arial"/>
          <w:b/>
          <w:bCs/>
          <w:sz w:val="22"/>
          <w:szCs w:val="22"/>
        </w:rPr>
        <w:t xml:space="preserve">OpenAlex: </w:t>
      </w:r>
      <w:r>
        <w:rPr>
          <w:rFonts w:ascii="Arial" w:cs="Arial" w:eastAsia="Arial" w:hAnsi="Arial"/>
          <w:color w:val="1565C0"/>
          <w:sz w:val="22"/>
          <w:szCs w:val="22"/>
        </w:rPr>
        <w:t xml:space="preserve">https://openalex.org</w:t>
      </w:r>
    </w:p>
    <w:p>
      <w:pPr>
        <w:spacing w:after="120" w:before="0"/>
      </w:pPr>
      <w:r>
        <w:rPr>
          <w:rFonts w:ascii="Arial" w:cs="Arial" w:eastAsia="Arial" w:hAnsi="Arial"/>
          <w:b/>
          <w:bCs/>
          <w:sz w:val="22"/>
          <w:szCs w:val="22"/>
        </w:rPr>
        <w:t xml:space="preserve">API Documentation: </w:t>
      </w:r>
      <w:r>
        <w:rPr>
          <w:rFonts w:ascii="Arial" w:cs="Arial" w:eastAsia="Arial" w:hAnsi="Arial"/>
          <w:color w:val="1565C0"/>
          <w:sz w:val="22"/>
          <w:szCs w:val="22"/>
        </w:rPr>
        <w:t xml:space="preserve">https://developers.openalex.org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424242"/>
        <w:sz w:val="18"/>
        <w:szCs w:val="18"/>
      </w:rPr>
      <w:t xml:space="preserve">COH Marketing &amp; Communications  ·  For internal distribution</w:t>
    </w:r>
    <w:r>
      <w:rPr>
        <w:sz w:val="18"/>
        <w:szCs w:val="18"/>
      </w:rPr>
      <w:t xml:space="preserve">        </w:t>
    </w:r>
    <w:fldSimple w:instr="PAGE">
      <w:r>
        <w:t xml:space="preserve">Arial</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4405" w:sz="4" w:space="4"/>
      </w:pBdr>
      <w:spacing w:after="80"/>
    </w:pPr>
    <w:r>
      <w:rPr>
        <w:rFonts w:ascii="Arial" w:cs="Arial" w:eastAsia="Arial" w:hAnsi="Arial"/>
        <w:color w:val="424242"/>
        <w:sz w:val="18"/>
        <w:szCs w:val="18"/>
      </w:rPr>
      <w:t xml:space="preserve">EXECUTIVE SUMMARY  ·  OpenAlex for COH Research Visibility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03262"/>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032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2026-05-15T21:02:50.483Z</dcterms:created>
  <dcterms:modified xsi:type="dcterms:W3CDTF">2026-05-15T21:02:50.483Z</dcterms:modified>
</cp:coreProperties>
</file>

<file path=docProps/custom.xml><?xml version="1.0" encoding="utf-8"?>
<Properties xmlns="http://schemas.openxmlformats.org/officeDocument/2006/custom-properties" xmlns:vt="http://schemas.openxmlformats.org/officeDocument/2006/docPropsVTypes"/>
</file>