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Applying Continual Learning Architecture Insights to memoRable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Technical 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Based on: Mirzadeh et al. (2022) "Architecture Matters in Continual Learning"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The Mirzadeh et al. paper demonstrates that architectural decisions can match or exceed sophisticated continual learning algorithms. A ResNet-18 with Global Average Pooling removed achieves 67.4% accuracy on Split CIFAR-100—outperforming Experience Replay with 1,000 stored examples (64.3%)—without storing any past data.</w:t>
      </w:r>
    </w:p>
    <w:p>
      <w:pPr>
        <w:spacing w:after="200"/>
      </w:pPr>
      <w:r>
        <w:rPr>
          <w:sz w:val="22"/>
          <w:szCs w:val="22"/>
        </w:rPr>
        <w:t xml:space="preserve">For memoRable's context-aware memory system, these findings directly apply to: the salience scoring neural components, the 21-day pattern learning system (anticipation_service), embedding generation, and any future neural retrieval mechanisms.</w:t>
      </w:r>
    </w:p>
    <w:p>
      <w:pPr>
        <w:pStyle w:val="Heading1"/>
      </w:pPr>
      <w:r>
        <w:t xml:space="preserve">Key Findings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memoRable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 &gt; 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63% less forgetting (CNN×1→×16)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extractor, salience MLP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Remove/Reduce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+22% accuracy, -25% forgetting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CNN-based encoders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 (stable dist.)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+6% accuracy, -2% forgetting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memory, related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 (shifting dist.)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+3× forgetting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 in episodic memory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+7% learning 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feature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CL 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Optional—use for training stability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30-40% less forgetting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Multi-modal encoders, context embeddings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Width Optimization for Salience Service</w:t>
      </w:r>
    </w:p>
    <w:p>
      <w:pPr>
        <w:spacing w:after="200"/>
      </w:pPr>
      <w:r>
        <w:rPr>
          <w:sz w:val="22"/>
          <w:szCs w:val="22"/>
        </w:rPr>
        <w:t xml:space="preserve">The most robust finding: wider networks forget less. Going from CNN×1 to CNN×16 reduces forgetting by 63% (12.6% → 4.7%). This directly applies to memoRable's salience calculation pipeline.</w:t>
      </w:r>
    </w:p>
    <w:p>
      <w:pPr>
        <w:pStyle w:val="Heading2"/>
      </w:pPr>
      <w:r>
        <w:t xml:space="preserve">Current Architecture (Inferred)</w:t>
      </w:r>
    </w:p>
    <w:p>
      <w:pPr>
        <w:spacing w:after="200"/>
      </w:pPr>
      <w:r>
        <w:rPr>
          <w:sz w:val="22"/>
          <w:szCs w:val="22"/>
        </w:rPr>
        <w:t xml:space="preserve">The salience_calculator.ts likely uses an MLP or transformer-based approach to combine the five weighted factors (Emotional 30%, Novelty 20%, Relevance 20%, Social 15%, Consequential 15%). If neural components are used for feature extraction or combination, width matters.</w:t>
      </w:r>
    </w:p>
    <w:p>
      <w:pPr>
        <w:pStyle w:val="Heading2"/>
      </w:pPr>
      <w:r>
        <w:t xml:space="preserve">Recommended Change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Double hidden dimensions in any MLP layers used for salience combination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using learned embeddings for memory features, increase embedding dimension from typical 512 to 1024+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For the feature_extractor.ts: if it uses any neural encoding, prefer wider shallow architectures</w:t>
      </w:r>
    </w:p>
    <w:p>
      <w:pPr>
        <w:pStyle w:val="Heading3"/>
      </w:pPr>
      <w:r>
        <w:t xml:space="preserve">TypeScript Implementation Pattern</w:t>
      </w:r>
    </w:p>
    <w:p>
      <w:pPr>
        <w:shd w:fill="F7FAFC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// Prefer this (wider):
interface WideFeatureExtractor {
  inputDim: number;
  hiddenDim: number;  // Should be 2-4× inputDim
  outputDim: number;
  layers: 2;  // Keep shallow
}
// Over this (deeper):
interface DeepFeatureExtractor {
  inputDim: number;
  hiddenDim: number;  // Same as inputDim
  outputDim: number;
  layers: 6;  // Adds parameters without CL benefit
}</w:t>
      </w:r>
    </w:p>
    <w:p>
      <w:pPr>
        <w:pStyle w:val="Heading1"/>
      </w:pPr>
      <w:r>
        <w:t xml:space="preserve">2. Anticipation Service Pattern Learning</w:t>
      </w:r>
    </w:p>
    <w:p>
      <w:pPr>
        <w:spacing w:after="200"/>
      </w:pPr>
      <w:r>
        <w:rPr>
          <w:sz w:val="22"/>
          <w:szCs w:val="22"/>
        </w:rPr>
        <w:t xml:space="preserve">The 21-day pattern learning system is fundamentally a continual learning problem. The system observes user behavior over time and must remember old patterns while learning new ones.</w:t>
      </w:r>
    </w:p>
    <w:p>
      <w:pPr>
        <w:pStyle w:val="Heading2"/>
      </w:pPr>
      <w:r>
        <w:t xml:space="preserve">Architecture Alignment</w:t>
      </w:r>
    </w:p>
    <w:p>
      <w:pPr>
        <w:spacing w:after="200"/>
      </w:pPr>
      <w:r>
        <w:rPr>
          <w:sz w:val="22"/>
          <w:szCs w:val="22"/>
        </w:rPr>
        <w:t xml:space="preserve">The paper's findings on pattern formation timelines (21 days) align with memoRable's design. The RL feedback mechanism (used/ignored/dismissed) maps to the paper's recommendation for adaptive learning.</w:t>
      </w:r>
    </w:p>
    <w:p>
      <w:pPr>
        <w:pStyle w:val="Heading2"/>
      </w:pPr>
      <w:r>
        <w:t xml:space="preserve">Specific Recommendations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Pattern Embedding Width: If patterns are encoded as vectors, use minimum 512 dimensions. The paper shows 2× width roughly halves forgetting.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Avoid Deep Pattern Networks: If using neural pattern matching, keep to 2-3 layers maximum. Deeper networks don't improve CL metrics.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Normalization Strategy: Since user behavior distributions likely shift over time (weekday vs weekend, seasonal changes), avoid BatchNorm in pattern learning. Use LayerNorm or GroupNorm instead.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Consider ViT-style Attention: The paper shows ViTs have 30-40% less forgetting. For pattern recognition across variable-length context sequences, transformer attention may be more robust than RNN/CNN approaches.</w:t>
      </w:r>
    </w:p>
    <w:p>
      <w:r>
        <w:br w:type="page"/>
      </w:r>
    </w:p>
    <w:p>
      <w:pPr>
        <w:pStyle w:val="Heading1"/>
      </w:pPr>
      <w:r>
        <w:t xml:space="preserve">3. Normalization Strategy by Component</w:t>
      </w:r>
    </w:p>
    <w:p>
      <w:pPr>
        <w:spacing w:after="200"/>
      </w:pPr>
      <w:r>
        <w:rPr>
          <w:sz w:val="22"/>
          <w:szCs w:val="22"/>
        </w:rPr>
        <w:t xml:space="preserve">BatchNorm's effect is highly context-dependent. When input distributions are stable (Split CIFAR-100), it helps. When distributions shift dramatically (Permuted MNIST), it triples forgetting.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memoRable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Normalization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Memory Embeddings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 OK—related content has similar statistics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Episodic Memory 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LayerNorm—diverse experiences, variable contexts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Frame 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LayerNorm—location/activity varies significantly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 Learning (anticipation)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GroupNorm—behavioral patterns evolve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Salience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LayerNorm—processes heterogeneous input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 OK—social patterns relatively consistent</w:t>
            </w:r>
          </w:p>
        </w:tc>
      </w:tr>
    </w:tbl>
    <w:p>
      <w:pPr>
        <w:pStyle w:val="Heading1"/>
      </w:pPr>
      <w:r>
        <w:t xml:space="preserve">4. Embedding Service Architecture</w:t>
      </w:r>
    </w:p>
    <w:p>
      <w:pPr>
        <w:spacing w:after="200"/>
      </w:pPr>
      <w:r>
        <w:rPr>
          <w:sz w:val="22"/>
          <w:szCs w:val="22"/>
        </w:rPr>
        <w:t xml:space="preserve">memoRable uses Weaviate for vector search. The embedding generation architecture directly impacts retrieval quality over time as new memories accumulate.</w:t>
      </w:r>
    </w:p>
    <w:p>
      <w:pPr>
        <w:pStyle w:val="Heading2"/>
      </w:pPr>
      <w:r>
        <w:t xml:space="preserve">GAP Considerations</w:t>
      </w:r>
    </w:p>
    <w:p>
      <w:pPr>
        <w:spacing w:after="200"/>
      </w:pPr>
      <w:r>
        <w:rPr>
          <w:sz w:val="22"/>
          <w:szCs w:val="22"/>
        </w:rPr>
        <w:t xml:space="preserve">If using CNN-based visual encoders (for image memories), the paper's GAP findings are critical. Removing GAP from ResNet-18 improved accuracy by 22.4 percentage points and reduced forgetting by 25.6 points.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visual memory encoding: Replace GAP with AdaptiveAvgPool2d((4, 4)) to preserve spatial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 the parameter increase (11.2M → 11.9M for ResNet-18) as worthwhile for 3× retention improvement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For text embeddings: Ensure final projection layer is wide (1024+), not bottlenecked</w:t>
      </w:r>
    </w:p>
    <w:p>
      <w:pPr>
        <w:pStyle w:val="Heading2"/>
      </w:pPr>
      <w:r>
        <w:t xml:space="preserve">Transformer vs CNN for Memory Encoding</w:t>
      </w:r>
    </w:p>
    <w:p>
      <w:pPr>
        <w:spacing w:after="200"/>
      </w:pPr>
      <w:r>
        <w:rPr>
          <w:sz w:val="22"/>
          <w:szCs w:val="22"/>
        </w:rPr>
        <w:t xml:space="preserve">The paper shows ViTs have inherent robustness to distribution shifts (30-40% less forgetting than ResNets). For a memory system that must handle diverse, evolving content types, this suggests: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Prefer transformer-based encoders for multi-modal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attention mechanism provides natural handling of variable-length inputs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Self-attention's global receptive field may be why ViTs retain better—information isn't lost to pooling hierarchies</w:t>
      </w:r>
    </w:p>
    <w:p>
      <w:r>
        <w:br w:type="page"/>
      </w:r>
    </w:p>
    <w:p>
      <w:pPr>
        <w:pStyle w:val="Heading1"/>
      </w:pPr>
      <w:r>
        <w:t xml:space="preserve">5. Implementation Priority Matrix</w:t>
      </w:r>
    </w:p>
    <w:p>
      <w:pPr>
        <w:spacing w:after="200"/>
      </w:pPr>
      <w:r>
        <w:rPr>
          <w:sz w:val="22"/>
          <w:szCs w:val="22"/>
        </w:rPr>
        <w:t xml:space="preserve">Ranked by impact/effort ratio based on paper's quantitative findings: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2160"/>
        <w:gridCol w:w="1620"/>
        <w:gridCol w:w="18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Remove/reduce GAP in any CNN encoders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+22% acc, -70% forget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hidden layer widths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-63% forgetting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BatchNorm with LayerNorm in shifting-distribution paths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-67% forgetting in affected paths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MaxPooling to feature extractors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+7% learning acc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ViT for context/pattern encoding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-30-40% forgetting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network depth (if &gt;4 layers)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</w:pPr>
      <w:r>
        <w:t xml:space="preserve">6. Concrete Code Patterns</w:t>
      </w:r>
    </w:p>
    <w:p>
      <w:pPr>
        <w:pStyle w:val="Heading2"/>
      </w:pPr>
      <w:r>
        <w:t xml:space="preserve">Pattern Learning with CL-Optimized Architecture</w:t>
      </w:r>
    </w:p>
    <w:p>
      <w:pPr>
        <w:shd w:fill="F7FAFC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// anticipation_service.ts - CL-optimized pattern encoder
interface CLOptimizedPatternEncoder {
  // Wide, shallow architecture per paper findings
  contextDim: 1024;     // 2× typical, reduces forgetting
  patternDim: 512;      // Wide pattern representation
  layers: 2;            // Shallow—depth doesn't help CL
  normalization: 'layer'; // Not batch—user behavior shifts
  dropout: 0.1;         // Light regularization
}
class PatternLearner {
  private encoder: nn.Sequential;
  constructor(config: CLOptimizedPatternEncoder) {
    this.encoder = nn.Sequential(
      nn.Linear(config.contextDim, config.contextDim * 2),
      nn.LayerNorm(config.contextDim * 2),  // LayerNorm, not BatchNorm
      nn.ReLU(),
      nn.Dropout(config.dropout),
      nn.Linear(config.contextDim * 2, config.patternDim)
      // Note: Only 2 layers—paper shows depth doesn't help
    );
  }
}</w:t>
      </w:r>
    </w:p>
    <w:p>
      <w:pPr>
        <w:pStyle w:val="Heading2"/>
      </w:pPr>
      <w:r>
        <w:t xml:space="preserve">Memory Encoder Without GAP</w:t>
      </w:r>
    </w:p>
    <w:p>
      <w:pPr>
        <w:shd w:fill="F7FAFC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// embedding_service.ts - Visual memory encoder
class CLFriendlyVisualEncoder {
  private backbone: ResNet18;
  private pool: AdaptiveAvgPool2d;
  private projector: nn.Linear;
  constructor() {
    this.backbone = ResNet18({ pretrained: true });
    // CRITICAL: Replace GAP with smaller pooling
    // Paper: This alone gives +22% accuracy, -70% forgetting
    this.pool = new AdaptiveAvgPool2d([4, 4]);  // Not [1, 1]
    // Wider projection (512 * 16 = 8192 input features)
    this.projector = new nn.Linear(512 * 16, 1024);
  }
  encode(image: Tensor): Tensor {
    let x = this.backbone.features(image);
    x = this.pool(x);           // [B, 512, 4, 4] not [B, 512, 1, 1]
    x = x.flatten(1);           // [B, 8192] - preserved width!
    return this.projector(x);   // [B, 1024]
  }
}</w:t>
      </w:r>
    </w:p>
    <w:p>
      <w:r>
        <w:br w:type="page"/>
      </w:r>
    </w:p>
    <w:p>
      <w:pPr>
        <w:pStyle w:val="Heading2"/>
      </w:pPr>
      <w:r>
        <w:t xml:space="preserve">Adaptive Normalization Selection</w:t>
      </w:r>
    </w:p>
    <w:p>
      <w:pPr>
        <w:shd w:fill="F7FAFC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// salience_service/utils.ts
type DistributionType = 'stable' | 'shifting' | 'unknown';
function selectNormalization(
  dim: number,
  distribution: DistributionType
): NormalizationLayer {
  switch (distribution) {
    case 'stable':
      // BatchNorm OK when input statistics don't change
      // E.g., semantic memory, relationship patterns
      return new nn.BatchNorm1d(dim);
    case 'shifting':
      // Paper shows 3× forgetting with BatchNorm on shifting data
      // E.g., episodic memory, context frames, pattern learning
      return new nn.LayerNorm(dim);
    case 'unknown':
      // When uncertain, LayerNorm is safer
      // GroupNorm is a good middle ground
      return new nn.GroupNorm(8, dim);
  }
}
// Usage in salience_calculator.ts:
const emotionalNorm = selectNormalization(256, 'shifting');
const socialNorm = selectNormalization(256, 'stable');</w:t>
      </w:r>
    </w:p>
    <w:p>
      <w:pPr>
        <w:pStyle w:val="Heading1"/>
      </w:pPr>
      <w:r>
        <w:t xml:space="preserve">7. Measuring Continual Learning Performance</w:t>
      </w:r>
    </w:p>
    <w:p>
      <w:pPr>
        <w:spacing w:after="200"/>
      </w:pPr>
      <w:r>
        <w:rPr>
          <w:sz w:val="22"/>
          <w:szCs w:val="22"/>
        </w:rPr>
        <w:t xml:space="preserve">Add these metrics to memoRable's existing Prometheus metrics (metrics.ts) to track CL performance: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pattern_retention_rate: % of old patterns still correctly recognized after learning new 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memory_interference_score: Cosine similarity degradation of old memory embeddings after new memory ingestion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learning_accuracy_per_day: New pattern recognition accuracy (plasticity metric)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forgetting_rate_7d: Accuracy drop on patterns from 7+ days ago (stability metric)</w:t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rPr>
          <w:sz w:val="22"/>
          <w:szCs w:val="22"/>
        </w:rPr>
        <w:t xml:space="preserve">The Mirzadeh et al. findings provide actionable, low-effort improvements for memoRable's neural components. The key insight: architectural decisions are first-order concerns. A ResNet with GAP removed and simple fine-tuning outperforms the same architecture with Experience Replay storing 1,000 examples.</w:t>
      </w:r>
    </w:p>
    <w:p>
      <w:pPr>
        <w:spacing w:after="200"/>
      </w:pPr>
      <w:r>
        <w:rPr>
          <w:sz w:val="22"/>
          <w:szCs w:val="22"/>
        </w:rPr>
        <w:t xml:space="preserve">For memoRable specifically: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21-day pattern learning system will benefit most from width optimization and proper normalization selection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Any visual memory encoding should avoid GAP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context frame system's shifting distributions make LayerNorm essential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ViT-style attention may be worth exploring for robust multi-modal encoding</w:t>
      </w:r>
    </w:p>
    <w:p>
      <w:pPr>
        <w:spacing w:after="200"/>
      </w:pPr>
      <w:r>
        <w:rPr>
          <w:sz w:val="22"/>
          <w:szCs w:val="22"/>
        </w:rPr>
        <w:t xml:space="preserve">These changes are orthogonal to and compatible with memoRable's existing RL feedback mechanism—architectural improvements and algorithmic improvements compound.</w:t>
      </w:r>
    </w:p>
    <w:p>
      <w:pPr>
        <w:pStyle w:val="Heading1"/>
      </w:pPr>
      <w:r>
        <w:t xml:space="preserve">References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Mirzadeh, S. I., Chaudhry, A., Yin, D., Nguyen, T., Pascanu, R., Gorur, D., &amp; Farajtabar, M. (2022). Architecture Matters in Continual Learning. arXiv:2202.00275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memoRable Repository: https://github.com/alanchelmickjr/memoRable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2026-01-17T19:32:10.471Z</dcterms:created>
  <dcterms:modified xsi:type="dcterms:W3CDTF">2026-01-17T19:32:10.472Z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