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Atividade da Aula 13</w:t>
      </w:r>
    </w:p>
    <w:p>
      <w:pPr>
        <w:jc w:val="center"/>
      </w:pPr>
      <w:r>
        <w:rPr>
          <w:i/>
          <w:sz w:val="26"/>
        </w:rPr>
        <w:t>Documentação Completa da API com OpenAPI/Swagger e Postman</w:t>
      </w:r>
    </w:p>
    <w:p/>
    <w:p>
      <w:r>
        <w:rPr>
          <w:b/>
        </w:rPr>
        <w:t xml:space="preserve">Projeto: </w:t>
      </w:r>
      <w:r>
        <w:t>SynapseShop — mini-backend de e-commerce</w:t>
      </w:r>
    </w:p>
    <w:p>
      <w:r>
        <w:rPr>
          <w:b/>
        </w:rPr>
        <w:t xml:space="preserve">Tema da aula: </w:t>
      </w:r>
      <w:r>
        <w:t>Documentação da API com OpenAPI/Swagger e Postman/Insomnia</w:t>
      </w:r>
    </w:p>
    <w:p>
      <w:r>
        <w:rPr>
          <w:b/>
        </w:rPr>
        <w:t xml:space="preserve">Metodologia: </w:t>
      </w:r>
      <w:r>
        <w:t>SpecDD (Specification-Driven Development), desenvolvimento incremental</w:t>
      </w:r>
    </w:p>
    <w:p>
      <w:r>
        <w:rPr>
          <w:b/>
        </w:rPr>
        <w:t xml:space="preserve">Repositório: </w:t>
      </w:r>
      <w:r>
        <w:t>synapseshop (Django REST Framework + Docker Compose)</w:t>
      </w:r>
    </w:p>
    <w:p>
      <w:r>
        <w:rPr>
          <w:b/>
        </w:rPr>
        <w:t xml:space="preserve">Data: </w:t>
      </w:r>
      <w:r>
        <w:t>09/10/2026</w:t>
      </w:r>
    </w:p>
    <w:p>
      <w:r>
        <w:br w:type="page"/>
      </w:r>
    </w:p>
    <w:p>
      <w:pPr>
        <w:pStyle w:val="Heading1"/>
      </w:pPr>
      <w:r>
        <w:t>1. Introdução e objetivos</w:t>
      </w:r>
    </w:p>
    <w:p>
      <w:r>
        <w:t>Esta atividade teve como objetivo padronizar, enriquecer e publicar a documentação técnica da API do SynapseShop. A entrega partiu do contrato OpenAPI como fonte única de verdade e desdobrou-se em três frentes: (i) contrato OpenAPI/Swagger com esquemas de resposta e erro padronizados; (ii) padronização das convenções RESTful (paginação, filtros, ordenação e cabeçalhos); e (iii) disponibilização de interfaces interativas (Swagger UI e ReDoc) e de artefactos de teste (coleção Postman e environment). Complementarmente, produziram-se os artefactos de apoio à integração externa: versionamento em docs/, CHANGELOG, checklist do integrador e registo de prompts de IA.</w:t>
      </w:r>
    </w:p>
    <w:p>
      <w:r>
        <w:t>O trabalho respeitou a diretriz incremental da disciplina: documentaram-se apenas os contratos já existentes, sem antecipar IA, mensageria avançada, autenticação real ou dashboards analíticos previstos para aulas posteriores.</w:t>
      </w:r>
    </w:p>
    <w:p>
      <w:pPr>
        <w:pStyle w:val="Heading1"/>
      </w:pPr>
      <w:r>
        <w:t>2. Metodologia e estratégia geral</w:t>
      </w:r>
    </w:p>
    <w:p>
      <w:r>
        <w:t>O projeto segue a metodologia SpecDD: a especificação (specs/specs_da_aula_13.md) foi tratada como contrato de entrada, e cada item do Definition of Done (DoD) foi implementado e verificado individualmente antes de avançar. A ordem de execução foi: definir/atualizar o contrato OpenAPI; aplicar as convenções transversais no código Django REST Framework (DRF); validar o contrato com um linter estático; publicar as interfaces interativas; exportar a coleção e o environment do Postman; e, por fim, produzir os artefactos de documentação e a verificação de que o projeto continua a subir via docker-compose.</w:t>
      </w:r>
    </w:p>
    <w:p>
      <w:r>
        <w:rPr>
          <w:b/>
        </w:rPr>
        <w:t xml:space="preserve">Contrato primeiro: </w:t>
      </w:r>
      <w:r>
        <w:t>o ficheiro docs/openapi.yaml foi a fonte única de verdade; o código e os artefactos de teste foram alinhados a ele.</w:t>
      </w:r>
    </w:p>
    <w:p>
      <w:r>
        <w:rPr>
          <w:b/>
        </w:rPr>
        <w:t xml:space="preserve">Verificação empírica: </w:t>
      </w:r>
      <w:r>
        <w:t>cada item foi comprovado em execução real (curl contra o stack Docker, lint via npx e execução da suíte de testes).</w:t>
      </w:r>
    </w:p>
    <w:p>
      <w:r>
        <w:rPr>
          <w:b/>
        </w:rPr>
        <w:t xml:space="preserve">Compatibilidade retroativa: </w:t>
      </w:r>
      <w:r>
        <w:t>a paginação é opt-in, de modo que as listagens sem parâmetros continuam a devolver um array simples, preservando os testes e clientes anteriores.</w:t>
      </w:r>
    </w:p>
    <w:p>
      <w:pPr>
        <w:pStyle w:val="Heading1"/>
      </w:pPr>
      <w:r>
        <w:t>3. Síntese do checklist (Definition of Done)</w:t>
      </w:r>
    </w:p>
    <w:p>
      <w:r>
        <w:t>A tabela abaixo resume os nove itens do DoD da Aula 13, a evidência que comprova cada um e o respetivo estado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Item do checklist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Evidência principal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OpenAPI atualizado com esquemas de resposta e erro (ErrorSchema/RFC 7807)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docs/openapi.yaml (1.210 linhas; 107 exemplos; schema ProblemDetails)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Concluído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Endpoints estandardizados (paginação, filtros, ordenação, cabeçalhos)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products/api_conventions.py + curl 200 (envelope, filtro, sort, X-Trace-Id)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Concluído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Validação estática (Spectral) sem erros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"No results with a severity of 'error' found!"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Concluído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Swagger UI e ReDoc funcionais na aplicação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/api/v1/docs/ e /api/v1/redoc/ → 200 text/html; /schema/ → 200 application/yaml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Concluído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Coleção Postman com environment e exemplos de sucesso/erro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25 requests, 7 variáveis, exemplos 200/201/400/402/409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Concluído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Documentação em docs/ e CHANGELOG.md atualizado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docs/ (openapi.yaml, checklists, diagrama) + entrada [Aula 13]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Concluído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Checklist do Integrador Externo em docs/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docs/checklist_integrador_externo.md (URLs, auth, limites, versionamento)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Concluído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PROMPTS.md atualizado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Secção "Aula 13 — Documentação OpenAPI/Swagger e Postman/Insomnia"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Concluído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Projeto continua a subir via docker-compose sem código fora do escopo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docker compose ps: serviços healthy; /health → 200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Concluído</w:t>
            </w:r>
          </w:p>
        </w:tc>
      </w:tr>
    </w:tbl>
    <w:p/>
    <w:p>
      <w:pPr>
        <w:pStyle w:val="Heading1"/>
      </w:pPr>
      <w:r>
        <w:t>4. Desenvolvimento item a item</w:t>
      </w:r>
    </w:p>
    <w:p>
      <w:pPr>
        <w:pStyle w:val="Heading2"/>
      </w:pPr>
      <w:r>
        <w:t>4.1 Contrato OpenAPI com esquemas de resposta e erro padronizados</w:t>
      </w:r>
    </w:p>
    <w:p>
      <w:r>
        <w:rPr>
          <w:b/>
        </w:rPr>
        <w:t xml:space="preserve">O que foi feito: </w:t>
      </w:r>
      <w:r>
        <w:t>O ficheiro docs/openapi.yaml (OpenAPI 3.0.3) foi escrito/atualizado com títulos, descrições e tags; definiu-se o schema genérico de erro ProblemDetails inspirado na RFC 7807; e adicionaram-se esquemas de entrada/saída (Categoria, Item, Pedido, *Entrada, *Atualizacao), parâmetros reutilizáveis e respostas de erro nomeadas (BadRequest, NotFound, Conflict, PaymentRequired, ServiceUnavailable, InternalServerError).</w:t>
      </w:r>
    </w:p>
    <w:p>
      <w:r>
        <w:rPr>
          <w:b/>
        </w:rPr>
        <w:t xml:space="preserve">Como / estratégia: </w:t>
      </w:r>
      <w:r>
        <w:t>Mapearam-se os endpoints reais registados pelo DRF DefaultRouter (categories, items, pedidos, ações de pedido e as rotas de documentação) e descreveu-se cada operação com requestBody, responses e exemplos. Foram criados 107 exemplos (example:) e oito parâmetros reutilizáveis, incluindo Page, Limit, Sort, StatusFiltro, UserIdFiltro, CategoriaFiltro, TraceId e IdempotencyKey.</w:t>
      </w:r>
    </w:p>
    <w:p>
      <w:r>
        <w:rPr>
          <w:b/>
        </w:rPr>
        <w:t xml:space="preserve">Conceitos-chave: </w:t>
      </w:r>
      <w:r>
        <w:t>Contrato-first (OpenAPI como fonte única de verdade), schema components/reutilização via $ref, RFC 7807 (problem+json), padronização de status codes 2xx/4xx/5xx.</w:t>
      </w:r>
    </w:p>
    <w:p>
      <w:r>
        <w:rPr>
          <w:b/>
        </w:rPr>
        <w:t xml:space="preserve">Dificuldades e solução: </w:t>
      </w:r>
      <w:r>
        <w:t>Escolher um nome de schema de erro coerente com a spec (ErrorSchema) sem quebrar o vocabulário RFC 7807. Optou-se por um componente ProblemDetails com os campos type/title/status/detail/instance mais errors por campo, mantendo os campos no topo do JSON para compatibilidade com os testes existentes.</w:t>
      </w:r>
    </w:p>
    <w:p/>
    <w:p>
      <w:pPr>
        <w:pStyle w:val="Heading2"/>
      </w:pPr>
      <w:r>
        <w:t>4.2 Estandardização de convenções e cabeçalhos</w:t>
      </w:r>
    </w:p>
    <w:p>
      <w:r>
        <w:rPr>
          <w:b/>
        </w:rPr>
        <w:t xml:space="preserve">O que foi feito: </w:t>
      </w:r>
      <w:r>
        <w:t>Criaram-se utilitários transversais em products/api_conventions.py: paginação opcional (page/limit com envelope count/next/previous/nextCursor/results), filtros por igualdade (?status=, ?categoria=, ?user_id=) e ordenação ordenada por allowlist (sort=campo:asc|desc). Mapearam-se os cabeçalhos Authorization, Idempotency-Key e X-Trace-Id no contrato e no runtime (middleware).</w:t>
      </w:r>
    </w:p>
    <w:p>
      <w:r>
        <w:rPr>
          <w:b/>
        </w:rPr>
        <w:t xml:space="preserve">Como / estratégia: </w:t>
      </w:r>
      <w:r>
        <w:t>As views de catalog e orders passaram a aplicar aplicar_filtros()/aplicar_ordenacao() sobre o queryset; a listagem de pedidos mantém o cache-aside quando não há parâmetros (PARAMETROS_CONSULTA) e consulta a base de dados quando há. O X-Trace-Id é gerado/ecoizado por TraceIdMiddleware (products/middleware.py) e guardado em request.trace_id. A paginação é opt-in para não quebrar clientes e testes que esperam um array simples.</w:t>
      </w:r>
    </w:p>
    <w:p>
      <w:r>
        <w:rPr>
          <w:b/>
        </w:rPr>
        <w:t xml:space="preserve">Conceitos-chave: </w:t>
      </w:r>
      <w:r>
        <w:t>Convenções RESTful, paginação por offset vs. cursor (nextCursor), filtros de igualdade, allowlist de ordenação (evita injeção de campos), idempotência de escrita, correlação/observabilidade por trace id.</w:t>
      </w:r>
    </w:p>
    <w:p>
      <w:r>
        <w:rPr>
          <w:b/>
        </w:rPr>
        <w:t xml:space="preserve">Dificuldades e solução: </w:t>
      </w:r>
      <w:r>
        <w:t>Garantir compatibilidade retroativa: o teste da Aula 12 lê a listagem de pedidos como uma lista. Solução: paginação opt-in — sem page/limit a resposta continua a ser um array; com parâmetros passa a envelope. Verificado por curl: lista simples → array; ?page=1&amp;limit=2 → objeto com count,next,previous,nextCursor,results.</w:t>
      </w:r>
    </w:p>
    <w:p/>
    <w:p>
      <w:pPr>
        <w:pStyle w:val="Heading2"/>
      </w:pPr>
      <w:r>
        <w:t>4.3 Validação estática do contrato (linter)</w:t>
      </w:r>
    </w:p>
    <w:p>
      <w:r>
        <w:rPr>
          <w:b/>
        </w:rPr>
        <w:t xml:space="preserve">O que foi feito: </w:t>
      </w:r>
      <w:r>
        <w:t>Adicionou-se o ruleset .spectral.yaml (extends spectral:oas) e executou-se o lint do contrato. O resultado foi "No results with a severity of 'error' found!".</w:t>
      </w:r>
    </w:p>
    <w:p>
      <w:r>
        <w:rPr>
          <w:b/>
        </w:rPr>
        <w:t xml:space="preserve">Como / estratégia: </w:t>
      </w:r>
      <w:r>
        <w:t>Executou-se npx @stoplight/spectral-cli lint docs/openapi.yaml. O ruleset desativa intencionalmente regras desajustadas ao padrão da API (path-keys-no-trailing-slash, operation-description, info-contact, info-license, tag-description), pois a API usa trailing slash por convenção do DRF DefaultRouter e o contrato prioriza descrições operacionais.</w:t>
      </w:r>
    </w:p>
    <w:p>
      <w:r>
        <w:rPr>
          <w:b/>
        </w:rPr>
        <w:t xml:space="preserve">Conceitos-chave: </w:t>
      </w:r>
      <w:r>
        <w:t>Lint estático de contratos, regras governance, tuning de ruleset (supressão justificada de avisos), validação automatizável em CI.</w:t>
      </w:r>
    </w:p>
    <w:p>
      <w:r>
        <w:rPr>
          <w:b/>
        </w:rPr>
        <w:t xml:space="preserve">Dificuldades e solução: </w:t>
      </w:r>
      <w:r>
        <w:t>Vários avisos de estilo (trailing slash, contact/license) não indicavam defeito real. Em vez de inflacionar o contrato com metadados administrativos, documentou-se a decisão no ruleset, eliminando ruído e mantendo zero erros.</w:t>
      </w:r>
    </w:p>
    <w:p/>
    <w:p>
      <w:pPr>
        <w:pStyle w:val="Heading2"/>
      </w:pPr>
      <w:r>
        <w:t>4.4 Interfaces interativas Swagger UI e ReDoc</w:t>
      </w:r>
    </w:p>
    <w:p>
      <w:r>
        <w:rPr>
          <w:b/>
        </w:rPr>
        <w:t xml:space="preserve">O que foi feito: </w:t>
      </w:r>
      <w:r>
        <w:t>Implementou-se products/openapi.py com três rotas: /api/v1/schema/ (serve o openapi.yaml como application/yaml), /api/v1/docs/ (Swagger UI) e /api/v1/redoc/ (ReDoc). As rotas foram registadas em products/urls.py (names openapi-schema, swagger-ui, redoc).</w:t>
      </w:r>
    </w:p>
    <w:p>
      <w:r>
        <w:rPr>
          <w:b/>
        </w:rPr>
        <w:t xml:space="preserve">Como / estratégia: </w:t>
      </w:r>
      <w:r>
        <w:t>As views localizam o docs/openapi.yaml por busca ascendente a partir do ficheiro do módulo e devolvem HTML que carrega as bibliotecas Swagger UI/ReDoc via CDN, apontando para o endpoint do schema. Validação por curl: /schema/ → 200 application/yaml (34.911 bytes); /docs/ → 200 text/html; /redoc/ → 200 text/html.</w:t>
      </w:r>
    </w:p>
    <w:p>
      <w:r>
        <w:rPr>
          <w:b/>
        </w:rPr>
        <w:t xml:space="preserve">Conceitos-chave: </w:t>
      </w:r>
      <w:r>
        <w:t>Swagger UI (documentação interativa "try it out"), ReDoc (documentação de leitura), servir o contrato a partir da própria aplicação, desacoplamento do HTML do schema.</w:t>
      </w:r>
    </w:p>
    <w:p>
      <w:r>
        <w:rPr>
          <w:b/>
        </w:rPr>
        <w:t xml:space="preserve">Dificuldades e solução: </w:t>
      </w:r>
      <w:r>
        <w:t>Servir o schema sem depender de caminhos absolutos da máquina. Resolveu-se com busca ascendente do ficheiro e sem acoplar a rota ao sistema de ficheiros fixo, o que funciona tanto local quanto dentro do contentor Docker.</w:t>
      </w:r>
    </w:p>
    <w:p/>
    <w:p>
      <w:pPr>
        <w:pStyle w:val="Heading2"/>
      </w:pPr>
      <w:r>
        <w:t>4.5 Coleção Postman com environment e exemplos</w:t>
      </w:r>
    </w:p>
    <w:p>
      <w:r>
        <w:rPr>
          <w:b/>
        </w:rPr>
        <w:t xml:space="preserve">O que foi feito: </w:t>
      </w:r>
      <w:r>
        <w:t>Exportou-se a coleção postman/collections/SynapseShop API.postman_collection.json (25 requests, organizadas em Health, Categorias, Itens, Pedidos e Documentação) e o environment postman/environments/SynapseShop Local.postman_environment.json (7 variáveis, com token do tipo secret).</w:t>
      </w:r>
    </w:p>
    <w:p>
      <w:r>
        <w:rPr>
          <w:b/>
        </w:rPr>
        <w:t xml:space="preserve">Como / estratégia: </w:t>
      </w:r>
      <w:r>
        <w:t>A coleção usa variáveis ({{baseUrl}}, {{token}}, {{traceId}}, {{idempotencyKey}}, {{cat_id}}, {{item_id}}, {{pedido_id}}) e inclui exemplos guardados de sucesso (200/201) e de erro (400/402/409), cobrindo criação, validação, paginação e transições de estado.</w:t>
      </w:r>
    </w:p>
    <w:p>
      <w:r>
        <w:rPr>
          <w:b/>
        </w:rPr>
        <w:t xml:space="preserve">Conceitos-chave: </w:t>
      </w:r>
      <w:r>
        <w:t>Postman Collection v2.1, environments e variáveis, variáveis secretas, exemplos de resposta para testes manuais e como contrato executável.</w:t>
      </w:r>
    </w:p>
    <w:p>
      <w:r>
        <w:rPr>
          <w:b/>
        </w:rPr>
        <w:t xml:space="preserve">Dificuldades e solução: </w:t>
      </w:r>
      <w:r>
        <w:t>Sincronizar os valores das variáveis com as respostas reais (por exemplo, capturar cat_id/item_id/pedido_id). Resolveu-se deixando os identificadores como variáveis de ambiente a preencher, mantendo a coleção portátil entre ambientes.</w:t>
      </w:r>
    </w:p>
    <w:p/>
    <w:p>
      <w:pPr>
        <w:pStyle w:val="Heading2"/>
      </w:pPr>
      <w:r>
        <w:t>4.6 Versionamento em docs/ e CHANGELOG</w:t>
      </w:r>
    </w:p>
    <w:p>
      <w:r>
        <w:rPr>
          <w:b/>
        </w:rPr>
        <w:t xml:space="preserve">O que foi feito: </w:t>
      </w:r>
      <w:r>
        <w:t>Consolidou-se a pasta docs/ (openapi.yaml, checklist_integrador_externo.md, checklist_ia_safe.md, diagrama.svg) e registou-se a entrada [Aula 13] no CHANGELOG.md, seguindo o formato Keep a Changelog.</w:t>
      </w:r>
    </w:p>
    <w:p>
      <w:r>
        <w:rPr>
          <w:b/>
        </w:rPr>
        <w:t xml:space="preserve">Como / estratégia: </w:t>
      </w:r>
      <w:r>
        <w:t>O CHANGELOG descreve, nas secções Adicionado/Alterado/Escopo, os artefactos da aula e reforça a política de versionamento por rota (/api/v1/).</w:t>
      </w:r>
    </w:p>
    <w:p>
      <w:r>
        <w:rPr>
          <w:b/>
        </w:rPr>
        <w:t xml:space="preserve">Conceitos-chave: </w:t>
      </w:r>
      <w:r>
        <w:t>Keep a Changelog, versionamento por rota (prefixo /api/v1/), rastreabilidade de alterações, gestão de mudanças compatíveis vs. incompatíveis.</w:t>
      </w:r>
    </w:p>
    <w:p>
      <w:r>
        <w:rPr>
          <w:b/>
        </w:rPr>
        <w:t xml:space="preserve">Dificuldades e solução: </w:t>
      </w:r>
      <w:r>
        <w:t>Distinguir mudança compatível de incompatível em documentação. Definiu-se explicitamente que novos campos/endpoints entram em /api/v1/, enquanto remoções/renomeações originariam /api/v2/.</w:t>
      </w:r>
    </w:p>
    <w:p/>
    <w:p>
      <w:pPr>
        <w:pStyle w:val="Heading2"/>
      </w:pPr>
      <w:r>
        <w:t>4.7 Checklist do Integrador Externo</w:t>
      </w:r>
    </w:p>
    <w:p>
      <w:r>
        <w:rPr>
          <w:b/>
        </w:rPr>
        <w:t xml:space="preserve">O que foi feito: </w:t>
      </w:r>
      <w:r>
        <w:t>Criou-se docs/checklist_integrador_externo.md com oito secções: URLs de ambiente, autenticação, cabeçalhos, convenções de consulta, erros, limites de utilização, política de versão e artefactos de apoio.</w:t>
      </w:r>
    </w:p>
    <w:p>
      <w:r>
        <w:rPr>
          <w:b/>
        </w:rPr>
        <w:t xml:space="preserve">Como / estratégia: </w:t>
      </w:r>
      <w:r>
        <w:t>O documento referencia o openapi.yaml e as rotas interativas, mostra o envelope de erro RFC 7807 com exemplo e inclui caixas de verificação acionáveis para o integrador.</w:t>
      </w:r>
    </w:p>
    <w:p>
      <w:r>
        <w:rPr>
          <w:b/>
        </w:rPr>
        <w:t xml:space="preserve">Conceitos-chave: </w:t>
      </w:r>
      <w:r>
        <w:t>Developer experience (DX), documentação orientada ao consumidor, rate limiting (recomendado máximo de 5 req/s e uso de Idempotency-Key), backoff exponencial em 429/5xx.</w:t>
      </w:r>
    </w:p>
    <w:p>
      <w:r>
        <w:rPr>
          <w:b/>
        </w:rPr>
        <w:t xml:space="preserve">Dificuldades e solução: </w:t>
      </w:r>
      <w:r>
        <w:t>A API ainda não aplica rate limit real nem autenticação. Foi documentado o estado atual de forma honesta (aceita pedidos anónimos; limite é recomendação) para não criar expectativas incorretas nos integradores.</w:t>
      </w:r>
    </w:p>
    <w:p/>
    <w:p>
      <w:pPr>
        <w:pStyle w:val="Heading2"/>
      </w:pPr>
      <w:r>
        <w:t>4.8 Registo de prompts de IA (PROMPTS.md)</w:t>
      </w:r>
    </w:p>
    <w:p>
      <w:r>
        <w:rPr>
          <w:b/>
        </w:rPr>
        <w:t xml:space="preserve">O que foi feito: </w:t>
      </w:r>
      <w:r>
        <w:t>Acrescentou-se a secção "Aula 13 — Documentação OpenAPI/Swagger e Postman/Insomnia" ao PROMPTS.md, descrevendo os prompts usados no refinamento do contrato e na geração de exemplos.</w:t>
      </w:r>
    </w:p>
    <w:p>
      <w:r>
        <w:rPr>
          <w:b/>
        </w:rPr>
        <w:t xml:space="preserve">Como / estratégia: </w:t>
      </w:r>
      <w:r>
        <w:t>Registaram-se os pedidos feitos à IA generativa (estrutura do contrato, exemplos de requestBody/responses, exemplos de erro) e as decisões de revisão aplicadas.</w:t>
      </w:r>
    </w:p>
    <w:p>
      <w:r>
        <w:rPr>
          <w:b/>
        </w:rPr>
        <w:t xml:space="preserve">Conceitos-chave: </w:t>
      </w:r>
      <w:r>
        <w:t>Uso responsável de IA generativa, revisão humana do código/contrato gerado, reprodutibilidade do processo, alinhamento com o checklist IA-safe da Aula 4.</w:t>
      </w:r>
    </w:p>
    <w:p>
      <w:r>
        <w:rPr>
          <w:b/>
        </w:rPr>
        <w:t xml:space="preserve">Dificuldades e solução: </w:t>
      </w:r>
      <w:r>
        <w:t>Garantir que o conteúdo sugerido pela IA fosse fiel à API real. Resolveu-se validando cada sugestão contra as rotas, serializers e testes existentes antes de a incorporar.</w:t>
      </w:r>
    </w:p>
    <w:p/>
    <w:p>
      <w:pPr>
        <w:pStyle w:val="Heading2"/>
      </w:pPr>
      <w:r>
        <w:t>4.9 Execução via docker-compose</w:t>
      </w:r>
    </w:p>
    <w:p>
      <w:r>
        <w:rPr>
          <w:b/>
        </w:rPr>
        <w:t xml:space="preserve">O que foi feito: </w:t>
      </w:r>
      <w:r>
        <w:t>Confirmou-se que o projeto continua a subir via docker-compose, sem dependências ou código de aulas futuras. O comando docker compose ps mostra api, db, redis, redpanda e workers em estado healthy.</w:t>
      </w:r>
    </w:p>
    <w:p>
      <w:r>
        <w:rPr>
          <w:b/>
        </w:rPr>
        <w:t xml:space="preserve">Como / estratégia: </w:t>
      </w:r>
      <w:r>
        <w:t>Executou-se docker compose up -d --build e validou-se o healthcheck (GET /health → 200, application/json), além das rotas de documentação e da suíte de testes pytest (191 testes verdes, cobertura 98%).</w:t>
      </w:r>
    </w:p>
    <w:p>
      <w:r>
        <w:rPr>
          <w:b/>
        </w:rPr>
        <w:t xml:space="preserve">Conceitos-chave: </w:t>
      </w:r>
      <w:r>
        <w:t>Containerização, orquestração com Docker Compose, healthchecks, isolamento de escopo (não antecipar funcionalidades), verificação contínua.</w:t>
      </w:r>
    </w:p>
    <w:p>
      <w:r>
        <w:rPr>
          <w:b/>
        </w:rPr>
        <w:t xml:space="preserve">Dificuldades e solução: </w:t>
      </w:r>
      <w:r>
        <w:t>O Docker Desktop estava desligado no início da sessão. Foi iniciado e o stack reconstruído; validou-se também a suíte de testes dentro do contentor para garantir que as novas convenções não introduziram regressões.</w:t>
      </w:r>
    </w:p>
    <w:p/>
    <w:p>
      <w:pPr>
        <w:pStyle w:val="Heading1"/>
      </w:pPr>
      <w:r>
        <w:t>5. Convenções transversais da API</w:t>
      </w:r>
    </w:p>
    <w:p>
      <w:r>
        <w:t>As convenções abaixo foram padronizadas no contrato e no código, garantindo previsibilidade para qualquer consumidor da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Dimensão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Convenção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Exemplo / observação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Paginação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Opt-in via ?page=&lt;n&gt;&amp;limit=&lt;n&gt; (máx. 100)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Sem parâmetros → array; com parâmetros → {count,next,previous,nextCursor,results}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Filtros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Igualdade em campos declarados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?status=pending, ?categoria=&lt;id&gt;, ?user_id=&lt;id&gt;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Ordenação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?sort=campo:asc|desc (allowlist)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?sort=createdAt:desc, ?sort=preco:asc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Idempotência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Cabeçalho Idempotency-Key em POST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Evita criação duplicada em retentativas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Correlação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Cabeçalho X-Trace-Id (gerado/ecoizado)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Devolvido em todas as respostas para rastreio de incidentes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Autenticação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Authorization: Bearer &lt;token&gt; (bearerAuth)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Documentado; aceite e reservado para evolução (API aceita anónimos na fase atual)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Erros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Envelope RFC 7807 + errors por campo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type/title/status/detail/instance + errors; campos mantidos no topo</w:t>
            </w:r>
          </w:p>
        </w:tc>
      </w:tr>
    </w:tbl>
    <w:p/>
    <w:p>
      <w:pPr>
        <w:pStyle w:val="Heading1"/>
      </w:pPr>
      <w:r>
        <w:t>6. Verificação final</w:t>
      </w:r>
    </w:p>
    <w:p>
      <w:r>
        <w:t>Todas as comprovações foram executadas contra o serviço em execução. A tabela seguinte consolida os resultados observados.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Verificação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Comando / rota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Lint do contrato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npx @stoplight/spectral-cli lint docs/openapi.yaml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Sem erros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Schema OpenAPI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GET /api/v1/schema/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200 application/yaml (34.911 bytes)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Swagger UI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GET /api/v1/docs/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200 text/html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ReDoc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GET /api/v1/redoc/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200 text/html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Listagem simples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GET /api/v1/pedidos/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200 array (sem paginação)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Paginação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GET /api/v1/pedidos/?page=1&amp;limit=2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200 {count,next,previous,nextCursor,results}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Filtro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GET /api/v1/pedidos/?status=pending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Ordenação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GET /api/v1/pedidos/?sort=createdAt:desc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Trace 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Header X-Trace-Id: atividade-aula13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Ecoizado na resposta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Health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GET /health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200 application/json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docker compose 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Serviços healthy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Testes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pytest (no contentor)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191 passed, cobertura 98%</w:t>
            </w:r>
          </w:p>
        </w:tc>
      </w:tr>
    </w:tbl>
    <w:p/>
    <w:p>
      <w:pPr>
        <w:pStyle w:val="Heading1"/>
      </w:pPr>
      <w:r>
        <w:t>7. Dicionário de palavras-chave e conceitos</w:t>
      </w:r>
    </w:p>
    <w:p>
      <w:r>
        <w:t>Glossário dos principais termos abordados na aula, na ordem de relevância para a atividade.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OpenAPI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Especificação padrão (formato YAML/JSON) para descrever APIs REST de forma legível por humanos e por máquinas; aqui na versão 3.0.3.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Swagger / Swagger UI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Conjunto de ferramentas ligado ao OpenAPI; o Swagger UI gera uma página interativa que permite explorar e executar os endpoints.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ReDoc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Gerador de documentação estática de leitura, a partir do mesmo contrato OpenAPI; foco em legibilidade.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Contrato-first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Estratégia em que a especificação OpenAPI é a fonte única de verdade, e o código e os testes são alinhados a ela.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RFC 7807 / problem+json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Norma que define um formato padrão para representar erros de API, com campos type, title, status, detail e instance.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ErrorSchema / ProblemDetails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Componente reutilizável de esquema de erro do contrato; implementa a RFC 7807 e acrescenta errors por campo.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Status codes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Códigos HTTP: 2xx sucesso, 4xx erro do cliente, 5xx erro do servidor (ex.: 400, 402, 404, 409, 503).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Paginação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Divisão de uma coleção em páginas; aqui com page/limit e cursor (nextCursor) e envelope de resposta.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Filtros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Restrição de resultados por igualdade em campos declarados (ex.: ?status=pending).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Ordenação (sort)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Definição explícita da ordem dos resultados via sort=campo:asc|desc, limitada por allowlist.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Allowlist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Lista explícita de campos permitidos; evita que um cliente ordene ou filtre por campos não autorizados.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Idempotency-Key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Cabeçalho que permite repetir uma escrita com segurança, evitando criar recursos duplicados.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X-Trace-Id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Identificador de correlação por requisição, essencial para observabilidade e diagnóstico de incidentes.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Bearer / JWT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Esquema de autenticação via token no cabeçalho Authorization; documentado como bearerAuth e reservado para evolução.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Environment (Postman)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Conjunto de variáveis (ex.: baseUrl, token) que permitem reutilizar a coleção entre ambientes.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Spectral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Ferramenta de lint estático para contratos OpenAPI; valida consistência e boas práticas.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Lint estático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Análise automática de um artefacto sem o executar, para detetar erros e inconsistências.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DRF DefaultRouter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Router do Django REST Framework que gera automaticamente as rotas dos ViewSets, com trailing slash.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Trailing slash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Barra final no URL (ex.: /api/v1/pedidos/); convenção adotada pela API.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Keep a Changelog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Convenção de escrita de changelogs organizada por versões e categorias (Adicionado, Alterado, Removido).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Versionamento por rota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Estratégia de versionamento em que a versão faz parte do caminho (prefixo /api/v1/).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Rate limit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Limite de requisições por cliente num intervalo de tempo; documentado como recomendação nesta fase.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Backoff exponencial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Estratégia de retentativa em que o intervalo cresce a cada falha, reduzindo carga em erros 429/5xx.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SpecDD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Specification-Driven Development: desenvolvimento guiado pela especificação, base metodológica da disciplina.</w:t>
            </w:r>
          </w:p>
        </w:tc>
      </w:tr>
    </w:tbl>
    <w:p/>
    <w:p>
      <w:pPr>
        <w:pStyle w:val="Heading1"/>
      </w:pPr>
      <w:r>
        <w:t>8. Conclusão</w:t>
      </w:r>
    </w:p>
    <w:p>
      <w:r>
        <w:t>Os nove itens do checklist foram implementados e comprovados em execução real. A API passou a ter um contrato OpenAPI completo e validado, convenções RESTful padronizadas, documentação interativa acessível na própria aplicação e artefactos de teste prontos para o integrador. O processo manteve o foco incremental exigido: documentou-se e padronizou-se o que já existia, sem antecipar funcionalidades de aulas futuras, e preservou-se a compatibilidade retroativa (comprovada pela suíte de 191 testes verdes e cobertura de 98%).</w:t>
      </w:r>
    </w:p>
    <w:p>
      <w:pPr>
        <w:pStyle w:val="Heading1"/>
      </w:pPr>
      <w:r>
        <w:t>9. Referências e artefactos produzidos</w:t>
      </w:r>
    </w:p>
    <w:p>
      <w:pPr>
        <w:pStyle w:val="ListBullet"/>
      </w:pPr>
      <w:r>
        <w:t>specs/specs_da_aula_13.md — especificação e Definition of Done da aula.</w:t>
      </w:r>
    </w:p>
    <w:p>
      <w:pPr>
        <w:pStyle w:val="ListBullet"/>
      </w:pPr>
      <w:r>
        <w:t>docs/openapi.yaml — contrato OpenAPI 3.0.3 completo.</w:t>
      </w:r>
    </w:p>
    <w:p>
      <w:pPr>
        <w:pStyle w:val="ListBullet"/>
      </w:pPr>
      <w:r>
        <w:t>.spectral.yaml — ruleset de validação estática.</w:t>
      </w:r>
    </w:p>
    <w:p>
      <w:pPr>
        <w:pStyle w:val="ListBullet"/>
      </w:pPr>
      <w:r>
        <w:t>products/openapi.py, products/api_conventions.py, products/exceptions.py, products/middleware.py — implementação das rotas e convenções.</w:t>
      </w:r>
    </w:p>
    <w:p>
      <w:pPr>
        <w:pStyle w:val="ListBullet"/>
      </w:pPr>
      <w:r>
        <w:t>postman/collections/SynapseShop API.postman_collection.json e postman/environments/SynapseShop Local.postman_environment.json — artefactos de teste.</w:t>
      </w:r>
    </w:p>
    <w:p>
      <w:pPr>
        <w:pStyle w:val="ListBullet"/>
      </w:pPr>
      <w:r>
        <w:t>docs/checklist_integrador_externo.md — guia de integração externa.</w:t>
      </w:r>
    </w:p>
    <w:p>
      <w:pPr>
        <w:pStyle w:val="ListBullet"/>
      </w:pPr>
      <w:r>
        <w:t>CHANGELOG.md, README.md, PROMPTS.md — histórico e documentação do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