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DDD259E">
      <w:pPr>
        <w:pStyle w:val="17"/>
        <w:bidi w:val="0"/>
        <w:spacing w:before="240" w:after="360"/>
        <w:jc w:val="left"/>
      </w:pPr>
      <w:r>
        <w:t>Documentación técnica del demodulador SDR</w:t>
      </w:r>
    </w:p>
    <w:p w14:paraId="5FB7A060">
      <w:pPr>
        <w:pStyle w:val="4"/>
        <w:bidi w:val="0"/>
        <w:jc w:val="left"/>
      </w:pPr>
      <w:r>
        <w:t>Este documento reúne el funcionamiento, el alcance y la evidencia de validación de la aplicación.</w:t>
      </w:r>
    </w:p>
    <w:p w14:paraId="374CEE81">
      <w:pPr>
        <w:pStyle w:val="5"/>
        <w:keepNext/>
        <w:keepLines/>
        <w:bidi w:val="0"/>
        <w:ind w:left="0" w:right="0" w:firstLine="0"/>
        <w:jc w:val="left"/>
      </w:pPr>
      <w:bookmarkStart w:id="0" w:name="arquitectura-del-demodulador"/>
      <w:bookmarkEnd w:id="0"/>
      <w:r>
        <w:t>Arquitectura del demodulador</w:t>
      </w:r>
    </w:p>
    <w:p w14:paraId="61B496DD">
      <w:pPr>
        <w:pStyle w:val="6"/>
        <w:keepNext/>
        <w:keepLines/>
        <w:bidi w:val="0"/>
        <w:jc w:val="left"/>
      </w:pPr>
      <w:r>
        <w:t>Recorrido de las muestras</w:t>
      </w:r>
    </w:p>
    <w:p w14:paraId="75A7189F">
      <w:pPr>
        <w:pStyle w:val="4"/>
        <w:bidi w:val="0"/>
        <w:jc w:val="left"/>
      </w:pPr>
      <w:r>
        <w:rPr>
          <w:rStyle w:val="11"/>
        </w:rPr>
        <w:t>Recepción en vivo:</w:t>
      </w:r>
      <w:r>
        <w:t xml:space="preserve"> SDR real → callback IQ → entrada de MainWindow.</w:t>
      </w:r>
    </w:p>
    <w:p w14:paraId="0945F92D">
      <w:pPr>
        <w:pStyle w:val="4"/>
        <w:bidi w:val="0"/>
        <w:jc w:val="left"/>
      </w:pPr>
      <w:r>
        <w:rPr>
          <w:rStyle w:val="11"/>
        </w:rPr>
        <w:t>Reproducción:</w:t>
      </w:r>
      <w:r>
        <w:t xml:space="preserve"> captura IQ → PlaybackManager → entrada de MainWindow.</w:t>
      </w:r>
    </w:p>
    <w:p w14:paraId="5AA94FAD">
      <w:pPr>
        <w:pStyle w:val="4"/>
        <w:bidi w:val="0"/>
        <w:jc w:val="left"/>
      </w:pPr>
      <w:r>
        <w:t>La entrada dirige las muestras a IQRecorder durante la grabación o al demodulador activo durante el análisis. Los resultados llegan a los gráficos y métricas mediante SignalEmitter; el audio se entrega a AudioManager a 48 kHz.</w:t>
      </w:r>
    </w:p>
    <w:p w14:paraId="2F816349">
      <w:pPr>
        <w:pStyle w:val="4"/>
        <w:bidi w:val="0"/>
        <w:ind w:left="0" w:right="0" w:firstLine="0"/>
        <w:jc w:val="left"/>
      </w:pPr>
      <w:r>
        <w:t xml:space="preserve">La grabación toma prioridad en </w:t>
      </w:r>
      <w:r>
        <w:rPr>
          <w:rFonts w:ascii="Liberation Mono;Consolas;monosp" w:hAnsi="Liberation Mono;Consolas;monosp"/>
          <w:sz w:val="18"/>
        </w:rPr>
        <w:t>procesar_muestras_iq</w:t>
      </w:r>
      <w:r>
        <w:t>: mientras está activa, cada bloque recibido va al escritor y no pasa por el DSP ni por los gráficos. Así se evita que una visualización pesada retrase la entrega de bloques al archivo. La ruta de reproducción entrega las muestras al mismo método de entrada que usa el SDR, sin encender el receptor.</w:t>
      </w:r>
    </w:p>
    <w:p w14:paraId="3812CEA9">
      <w:pPr>
        <w:pStyle w:val="6"/>
        <w:keepNext/>
        <w:keepLines/>
        <w:bidi w:val="0"/>
        <w:jc w:val="left"/>
      </w:pPr>
      <w:r>
        <w:t>Piezas principales</w:t>
      </w:r>
    </w:p>
    <w:tbl>
      <w:tblPr>
        <w:tblStyle w:val="8"/>
        <w:tblW w:w="7650" w:type="dxa"/>
        <w:tblInd w:w="-7" w:type="dxa"/>
        <w:tblLayout w:type="fixed"/>
        <w:tblCellMar>
          <w:top w:w="75" w:type="dxa"/>
          <w:left w:w="75" w:type="dxa"/>
          <w:bottom w:w="75" w:type="dxa"/>
          <w:right w:w="75" w:type="dxa"/>
        </w:tblCellMar>
      </w:tblPr>
      <w:tblGrid>
        <w:gridCol w:w="1912"/>
        <w:gridCol w:w="5737"/>
      </w:tblGrid>
      <w:tr w14:paraId="5C3EC2B9">
        <w:trPr>
          <w:cantSplit/>
          <w:tblHeader/>
        </w:trPr>
        <w:tc>
          <w:tcPr>
            <w:tcW w:w="1912" w:type="dxa"/>
            <w:tcBorders>
              <w:top w:val="single" w:color="D9D9D9" w:sz="6" w:space="0"/>
              <w:left w:val="single" w:color="D9D9D9" w:sz="6" w:space="0"/>
              <w:bottom w:val="single" w:color="D9D9D9" w:sz="2" w:space="0"/>
              <w:right w:val="single" w:color="D9D9D9" w:sz="6" w:space="0"/>
            </w:tcBorders>
            <w:vAlign w:val="center"/>
          </w:tcPr>
          <w:p w14:paraId="31FA7A31">
            <w:pPr>
              <w:pStyle w:val="27"/>
              <w:bidi w:val="0"/>
              <w:spacing w:before="0" w:after="0" w:line="240" w:lineRule="auto"/>
              <w:ind w:left="0" w:right="0" w:firstLine="0"/>
            </w:pPr>
            <w:r>
              <w:rPr>
                <w:sz w:val="18"/>
                <w:szCs w:val="18"/>
              </w:rPr>
              <w:t>Componente</w:t>
            </w:r>
          </w:p>
        </w:tc>
        <w:tc>
          <w:tcPr>
            <w:tcW w:w="5737" w:type="dxa"/>
            <w:tcBorders>
              <w:top w:val="single" w:color="D9D9D9" w:sz="6" w:space="0"/>
              <w:left w:val="single" w:color="D9D9D9" w:sz="2" w:space="0"/>
              <w:bottom w:val="single" w:color="D9D9D9" w:sz="2" w:space="0"/>
              <w:right w:val="single" w:color="D9D9D9" w:sz="6" w:space="0"/>
            </w:tcBorders>
            <w:vAlign w:val="center"/>
          </w:tcPr>
          <w:p w14:paraId="306FA0F5">
            <w:pPr>
              <w:pStyle w:val="27"/>
              <w:bidi w:val="0"/>
              <w:spacing w:before="0" w:after="0" w:line="240" w:lineRule="auto"/>
              <w:ind w:left="0" w:right="0" w:firstLine="0"/>
            </w:pPr>
            <w:r>
              <w:rPr>
                <w:sz w:val="18"/>
                <w:szCs w:val="18"/>
              </w:rPr>
              <w:t>Responsabilidad</w:t>
            </w:r>
          </w:p>
        </w:tc>
      </w:tr>
      <w:tr w14:paraId="53FEDB7A">
        <w:trPr>
          <w:cantSplit/>
        </w:trPr>
        <w:tc>
          <w:tcPr>
            <w:tcW w:w="1912" w:type="dxa"/>
            <w:tcBorders>
              <w:left w:val="single" w:color="D9D9D9" w:sz="6" w:space="0"/>
              <w:bottom w:val="single" w:color="D9D9D9" w:sz="2" w:space="0"/>
              <w:right w:val="single" w:color="D9D9D9" w:sz="6" w:space="0"/>
            </w:tcBorders>
            <w:vAlign w:val="center"/>
          </w:tcPr>
          <w:p w14:paraId="583092CD">
            <w:pPr>
              <w:pStyle w:val="23"/>
              <w:bidi w:val="0"/>
              <w:spacing w:before="0" w:after="0" w:line="240" w:lineRule="auto"/>
              <w:ind w:left="0" w:right="0" w:firstLine="0"/>
              <w:jc w:val="left"/>
            </w:pPr>
            <w:r>
              <w:fldChar w:fldCharType="begin"/>
            </w:r>
            <w:r>
              <w:instrText xml:space="preserve"> HYPERLINK "demodulador/startup_window.py" \h </w:instrText>
            </w:r>
            <w:r>
              <w:fldChar w:fldCharType="separate"/>
            </w:r>
            <w:r>
              <w:rPr>
                <w:rStyle w:val="9"/>
                <w:sz w:val="18"/>
                <w:szCs w:val="18"/>
              </w:rPr>
              <w:t>startup_window.py</w:t>
            </w:r>
            <w:r>
              <w:rPr>
                <w:rStyle w:val="9"/>
                <w:sz w:val="18"/>
                <w:szCs w:val="18"/>
              </w:rPr>
              <w:fldChar w:fldCharType="end"/>
            </w:r>
          </w:p>
        </w:tc>
        <w:tc>
          <w:tcPr>
            <w:tcW w:w="5737" w:type="dxa"/>
            <w:tcBorders>
              <w:left w:val="single" w:color="D9D9D9" w:sz="2" w:space="0"/>
              <w:bottom w:val="single" w:color="D9D9D9" w:sz="2" w:space="0"/>
              <w:right w:val="single" w:color="D9D9D9" w:sz="6" w:space="0"/>
            </w:tcBorders>
            <w:vAlign w:val="center"/>
          </w:tcPr>
          <w:p w14:paraId="1299E3AA">
            <w:pPr>
              <w:pStyle w:val="23"/>
              <w:bidi w:val="0"/>
              <w:spacing w:before="0" w:after="0" w:line="240" w:lineRule="auto"/>
              <w:ind w:left="0" w:right="0" w:firstLine="0"/>
              <w:jc w:val="left"/>
            </w:pPr>
            <w:r>
              <w:rPr>
                <w:sz w:val="18"/>
                <w:szCs w:val="18"/>
              </w:rPr>
              <w:t>Busca equipos, permite abrir el modo sin SDR y crea la ventana principal.</w:t>
            </w:r>
          </w:p>
        </w:tc>
      </w:tr>
      <w:tr w14:paraId="6CF883F9">
        <w:tblPrEx>
          <w:tblCellMar>
            <w:top w:w="75" w:type="dxa"/>
            <w:left w:w="75" w:type="dxa"/>
            <w:bottom w:w="75" w:type="dxa"/>
            <w:right w:w="75" w:type="dxa"/>
          </w:tblCellMar>
        </w:tblPrEx>
        <w:trPr>
          <w:cantSplit/>
        </w:trPr>
        <w:tc>
          <w:tcPr>
            <w:tcW w:w="1912" w:type="dxa"/>
            <w:tcBorders>
              <w:left w:val="single" w:color="D9D9D9" w:sz="6" w:space="0"/>
              <w:bottom w:val="single" w:color="D9D9D9" w:sz="2" w:space="0"/>
              <w:right w:val="single" w:color="D9D9D9" w:sz="6" w:space="0"/>
            </w:tcBorders>
            <w:vAlign w:val="center"/>
          </w:tcPr>
          <w:p w14:paraId="3506F53B">
            <w:pPr>
              <w:pStyle w:val="23"/>
              <w:bidi w:val="0"/>
              <w:spacing w:before="0" w:after="0" w:line="240" w:lineRule="auto"/>
              <w:ind w:left="0" w:right="0" w:firstLine="0"/>
              <w:jc w:val="left"/>
            </w:pPr>
            <w:r>
              <w:fldChar w:fldCharType="begin"/>
            </w:r>
            <w:r>
              <w:instrText xml:space="preserve"> HYPERLINK "demodulador/hardware" \h </w:instrText>
            </w:r>
            <w:r>
              <w:fldChar w:fldCharType="separate"/>
            </w:r>
            <w:r>
              <w:rPr>
                <w:rStyle w:val="9"/>
                <w:sz w:val="18"/>
                <w:szCs w:val="18"/>
              </w:rPr>
              <w:t>hardware/</w:t>
            </w:r>
            <w:r>
              <w:rPr>
                <w:rStyle w:val="9"/>
                <w:sz w:val="18"/>
                <w:szCs w:val="18"/>
              </w:rPr>
              <w:fldChar w:fldCharType="end"/>
            </w:r>
          </w:p>
        </w:tc>
        <w:tc>
          <w:tcPr>
            <w:tcW w:w="5737" w:type="dxa"/>
            <w:tcBorders>
              <w:left w:val="single" w:color="D9D9D9" w:sz="2" w:space="0"/>
              <w:bottom w:val="single" w:color="D9D9D9" w:sz="2" w:space="0"/>
              <w:right w:val="single" w:color="D9D9D9" w:sz="6" w:space="0"/>
            </w:tcBorders>
            <w:vAlign w:val="center"/>
          </w:tcPr>
          <w:p w14:paraId="34A4FEB7">
            <w:pPr>
              <w:pStyle w:val="23"/>
              <w:bidi w:val="0"/>
              <w:spacing w:before="0" w:after="0" w:line="240" w:lineRule="auto"/>
              <w:ind w:left="0" w:right="0" w:firstLine="0"/>
              <w:jc w:val="left"/>
            </w:pPr>
            <w:r>
              <w:rPr>
                <w:sz w:val="18"/>
                <w:szCs w:val="18"/>
              </w:rPr>
              <w:t xml:space="preserve">Adapta cada SDR al contrato de recepción, configuración y cierre definido en </w:t>
            </w:r>
            <w:r>
              <w:rPr>
                <w:rFonts w:ascii="Liberation Mono;Consolas;monosp" w:hAnsi="Liberation Mono;Consolas;monosp"/>
                <w:sz w:val="18"/>
                <w:szCs w:val="18"/>
              </w:rPr>
              <w:t>sdr_base.py</w:t>
            </w:r>
            <w:r>
              <w:rPr>
                <w:sz w:val="18"/>
                <w:szCs w:val="18"/>
              </w:rPr>
              <w:t xml:space="preserve">. </w:t>
            </w:r>
            <w:r>
              <w:rPr>
                <w:rFonts w:ascii="Liberation Mono;Consolas;monosp" w:hAnsi="Liberation Mono;Consolas;monosp"/>
                <w:sz w:val="18"/>
                <w:szCs w:val="18"/>
              </w:rPr>
              <w:t>MockSDRHandler</w:t>
            </w:r>
            <w:r>
              <w:rPr>
                <w:sz w:val="18"/>
                <w:szCs w:val="18"/>
              </w:rPr>
              <w:t xml:space="preserve"> permite reproducir sin equipo.</w:t>
            </w:r>
          </w:p>
        </w:tc>
      </w:tr>
      <w:tr w14:paraId="295E6018">
        <w:tblPrEx>
          <w:tblCellMar>
            <w:top w:w="75" w:type="dxa"/>
            <w:left w:w="75" w:type="dxa"/>
            <w:bottom w:w="75" w:type="dxa"/>
            <w:right w:w="75" w:type="dxa"/>
          </w:tblCellMar>
        </w:tblPrEx>
        <w:trPr>
          <w:cantSplit/>
        </w:trPr>
        <w:tc>
          <w:tcPr>
            <w:tcW w:w="1912" w:type="dxa"/>
            <w:tcBorders>
              <w:left w:val="single" w:color="D9D9D9" w:sz="6" w:space="0"/>
              <w:bottom w:val="single" w:color="D9D9D9" w:sz="2" w:space="0"/>
              <w:right w:val="single" w:color="D9D9D9" w:sz="6" w:space="0"/>
            </w:tcBorders>
            <w:vAlign w:val="center"/>
          </w:tcPr>
          <w:p w14:paraId="58C6FAA0">
            <w:pPr>
              <w:pStyle w:val="23"/>
              <w:bidi w:val="0"/>
              <w:spacing w:before="0" w:after="0" w:line="240" w:lineRule="auto"/>
              <w:ind w:left="0" w:right="0" w:firstLine="0"/>
              <w:jc w:val="left"/>
            </w:pPr>
            <w:r>
              <w:fldChar w:fldCharType="begin"/>
            </w:r>
            <w:r>
              <w:instrText xml:space="preserve"> HYPERLINK "demodulador/main.py" \h </w:instrText>
            </w:r>
            <w:r>
              <w:fldChar w:fldCharType="separate"/>
            </w:r>
            <w:r>
              <w:rPr>
                <w:rStyle w:val="9"/>
                <w:sz w:val="18"/>
                <w:szCs w:val="18"/>
              </w:rPr>
              <w:t>main.py</w:t>
            </w:r>
            <w:r>
              <w:rPr>
                <w:rStyle w:val="9"/>
                <w:sz w:val="18"/>
                <w:szCs w:val="18"/>
              </w:rPr>
              <w:fldChar w:fldCharType="end"/>
            </w:r>
          </w:p>
        </w:tc>
        <w:tc>
          <w:tcPr>
            <w:tcW w:w="5737" w:type="dxa"/>
            <w:tcBorders>
              <w:left w:val="single" w:color="D9D9D9" w:sz="2" w:space="0"/>
              <w:bottom w:val="single" w:color="D9D9D9" w:sz="2" w:space="0"/>
              <w:right w:val="single" w:color="D9D9D9" w:sz="6" w:space="0"/>
            </w:tcBorders>
            <w:vAlign w:val="center"/>
          </w:tcPr>
          <w:p w14:paraId="395DF731">
            <w:pPr>
              <w:pStyle w:val="23"/>
              <w:bidi w:val="0"/>
              <w:spacing w:before="0" w:after="0" w:line="240" w:lineRule="auto"/>
              <w:ind w:left="0" w:right="0" w:firstLine="0"/>
              <w:jc w:val="left"/>
            </w:pPr>
            <w:r>
              <w:rPr>
                <w:sz w:val="18"/>
                <w:szCs w:val="18"/>
              </w:rPr>
              <w:t>Conserva el estado de la interfaz, selecciona el demodulador y conecta recepción, resultados, audio y controles.</w:t>
            </w:r>
          </w:p>
        </w:tc>
      </w:tr>
      <w:tr w14:paraId="60593892">
        <w:tblPrEx>
          <w:tblCellMar>
            <w:top w:w="75" w:type="dxa"/>
            <w:left w:w="75" w:type="dxa"/>
            <w:bottom w:w="75" w:type="dxa"/>
            <w:right w:w="75" w:type="dxa"/>
          </w:tblCellMar>
        </w:tblPrEx>
        <w:trPr>
          <w:cantSplit/>
        </w:trPr>
        <w:tc>
          <w:tcPr>
            <w:tcW w:w="1912" w:type="dxa"/>
            <w:tcBorders>
              <w:left w:val="single" w:color="D9D9D9" w:sz="6" w:space="0"/>
              <w:bottom w:val="single" w:color="D9D9D9" w:sz="2" w:space="0"/>
              <w:right w:val="single" w:color="D9D9D9" w:sz="6" w:space="0"/>
            </w:tcBorders>
            <w:vAlign w:val="center"/>
          </w:tcPr>
          <w:p w14:paraId="12F4F740">
            <w:pPr>
              <w:pStyle w:val="23"/>
              <w:bidi w:val="0"/>
              <w:spacing w:before="0" w:after="0" w:line="240" w:lineRule="auto"/>
              <w:ind w:left="0" w:right="0" w:firstLine="0"/>
              <w:jc w:val="left"/>
            </w:pPr>
            <w:r>
              <w:fldChar w:fldCharType="begin"/>
            </w:r>
            <w:r>
              <w:instrText xml:space="preserve"> HYPERLINK "demodulador/dsp/demoduladores" \h </w:instrText>
            </w:r>
            <w:r>
              <w:fldChar w:fldCharType="separate"/>
            </w:r>
            <w:r>
              <w:rPr>
                <w:rStyle w:val="9"/>
                <w:sz w:val="18"/>
                <w:szCs w:val="18"/>
              </w:rPr>
              <w:t>dsp/demoduladores/</w:t>
            </w:r>
            <w:r>
              <w:rPr>
                <w:rStyle w:val="9"/>
                <w:sz w:val="18"/>
                <w:szCs w:val="18"/>
              </w:rPr>
              <w:fldChar w:fldCharType="end"/>
            </w:r>
          </w:p>
        </w:tc>
        <w:tc>
          <w:tcPr>
            <w:tcW w:w="5737" w:type="dxa"/>
            <w:tcBorders>
              <w:left w:val="single" w:color="D9D9D9" w:sz="2" w:space="0"/>
              <w:bottom w:val="single" w:color="D9D9D9" w:sz="2" w:space="0"/>
              <w:right w:val="single" w:color="D9D9D9" w:sz="6" w:space="0"/>
            </w:tcBorders>
            <w:vAlign w:val="center"/>
          </w:tcPr>
          <w:p w14:paraId="2BBF6652">
            <w:pPr>
              <w:pStyle w:val="23"/>
              <w:bidi w:val="0"/>
              <w:spacing w:before="0" w:after="0" w:line="240" w:lineRule="auto"/>
              <w:ind w:left="0" w:right="0" w:firstLine="0"/>
              <w:jc w:val="left"/>
            </w:pPr>
            <w:r>
              <w:rPr>
                <w:sz w:val="18"/>
                <w:szCs w:val="18"/>
              </w:rPr>
              <w:t>Implementa el analizador y los modos FM, WiFi, BLE, LoRa y LTE.</w:t>
            </w:r>
          </w:p>
        </w:tc>
      </w:tr>
      <w:tr w14:paraId="3B66338C">
        <w:tblPrEx>
          <w:tblCellMar>
            <w:top w:w="75" w:type="dxa"/>
            <w:left w:w="75" w:type="dxa"/>
            <w:bottom w:w="75" w:type="dxa"/>
            <w:right w:w="75" w:type="dxa"/>
          </w:tblCellMar>
        </w:tblPrEx>
        <w:trPr>
          <w:cantSplit/>
        </w:trPr>
        <w:tc>
          <w:tcPr>
            <w:tcW w:w="1912" w:type="dxa"/>
            <w:tcBorders>
              <w:left w:val="single" w:color="D9D9D9" w:sz="6" w:space="0"/>
              <w:bottom w:val="single" w:color="D9D9D9" w:sz="2" w:space="0"/>
              <w:right w:val="single" w:color="D9D9D9" w:sz="6" w:space="0"/>
            </w:tcBorders>
            <w:vAlign w:val="center"/>
          </w:tcPr>
          <w:p w14:paraId="143C79DB">
            <w:pPr>
              <w:pStyle w:val="23"/>
              <w:bidi w:val="0"/>
              <w:spacing w:before="0" w:after="0" w:line="240" w:lineRule="auto"/>
              <w:ind w:left="0" w:right="0" w:firstLine="0"/>
              <w:jc w:val="left"/>
            </w:pPr>
            <w:r>
              <w:fldChar w:fldCharType="begin"/>
            </w:r>
            <w:r>
              <w:instrText xml:space="preserve"> HYPERLINK "demodulador/dsp/stream_reset.py" \h </w:instrText>
            </w:r>
            <w:r>
              <w:fldChar w:fldCharType="separate"/>
            </w:r>
            <w:r>
              <w:rPr>
                <w:rStyle w:val="9"/>
                <w:sz w:val="18"/>
                <w:szCs w:val="18"/>
              </w:rPr>
              <w:t>dsp/stream_reset.py</w:t>
            </w:r>
            <w:r>
              <w:rPr>
                <w:rStyle w:val="9"/>
                <w:sz w:val="18"/>
                <w:szCs w:val="18"/>
              </w:rPr>
              <w:fldChar w:fldCharType="end"/>
            </w:r>
          </w:p>
        </w:tc>
        <w:tc>
          <w:tcPr>
            <w:tcW w:w="5737" w:type="dxa"/>
            <w:tcBorders>
              <w:left w:val="single" w:color="D9D9D9" w:sz="2" w:space="0"/>
              <w:bottom w:val="single" w:color="D9D9D9" w:sz="2" w:space="0"/>
              <w:right w:val="single" w:color="D9D9D9" w:sz="6" w:space="0"/>
            </w:tcBorders>
            <w:vAlign w:val="center"/>
          </w:tcPr>
          <w:p w14:paraId="53EC451E">
            <w:pPr>
              <w:pStyle w:val="23"/>
              <w:bidi w:val="0"/>
              <w:spacing w:before="0" w:after="0" w:line="240" w:lineRule="auto"/>
              <w:ind w:left="0" w:right="0" w:firstLine="0"/>
              <w:jc w:val="left"/>
            </w:pPr>
            <w:r>
              <w:rPr>
                <w:sz w:val="18"/>
                <w:szCs w:val="18"/>
              </w:rPr>
              <w:t>Descarta estado DSP anterior después de un corte o cambio de flujo.</w:t>
            </w:r>
          </w:p>
        </w:tc>
      </w:tr>
      <w:tr w14:paraId="0E4BA167">
        <w:tblPrEx>
          <w:tblCellMar>
            <w:top w:w="75" w:type="dxa"/>
            <w:left w:w="75" w:type="dxa"/>
            <w:bottom w:w="75" w:type="dxa"/>
            <w:right w:w="75" w:type="dxa"/>
          </w:tblCellMar>
        </w:tblPrEx>
        <w:trPr>
          <w:cantSplit/>
        </w:trPr>
        <w:tc>
          <w:tcPr>
            <w:tcW w:w="1912" w:type="dxa"/>
            <w:tcBorders>
              <w:left w:val="single" w:color="D9D9D9" w:sz="6" w:space="0"/>
              <w:bottom w:val="single" w:color="D9D9D9" w:sz="2" w:space="0"/>
              <w:right w:val="single" w:color="D9D9D9" w:sz="6" w:space="0"/>
            </w:tcBorders>
            <w:vAlign w:val="center"/>
          </w:tcPr>
          <w:p w14:paraId="22EE0E1F">
            <w:pPr>
              <w:pStyle w:val="23"/>
              <w:bidi w:val="0"/>
              <w:spacing w:before="0" w:after="0" w:line="240" w:lineRule="auto"/>
              <w:ind w:left="0" w:right="0" w:firstLine="0"/>
              <w:jc w:val="left"/>
            </w:pPr>
            <w:r>
              <w:fldChar w:fldCharType="begin"/>
            </w:r>
            <w:r>
              <w:instrText xml:space="preserve"> HYPERLINK "demodulador/playback_manager.py" \h </w:instrText>
            </w:r>
            <w:r>
              <w:fldChar w:fldCharType="separate"/>
            </w:r>
            <w:r>
              <w:rPr>
                <w:rStyle w:val="9"/>
                <w:sz w:val="18"/>
                <w:szCs w:val="18"/>
              </w:rPr>
              <w:t>playback_manager.py</w:t>
            </w:r>
            <w:r>
              <w:rPr>
                <w:rStyle w:val="9"/>
                <w:sz w:val="18"/>
                <w:szCs w:val="18"/>
              </w:rPr>
              <w:fldChar w:fldCharType="end"/>
            </w:r>
          </w:p>
        </w:tc>
        <w:tc>
          <w:tcPr>
            <w:tcW w:w="5737" w:type="dxa"/>
            <w:tcBorders>
              <w:left w:val="single" w:color="D9D9D9" w:sz="2" w:space="0"/>
              <w:bottom w:val="single" w:color="D9D9D9" w:sz="2" w:space="0"/>
              <w:right w:val="single" w:color="D9D9D9" w:sz="6" w:space="0"/>
            </w:tcBorders>
            <w:vAlign w:val="center"/>
          </w:tcPr>
          <w:p w14:paraId="601F5EE4">
            <w:pPr>
              <w:pStyle w:val="23"/>
              <w:bidi w:val="0"/>
              <w:spacing w:before="0" w:after="0" w:line="240" w:lineRule="auto"/>
              <w:ind w:left="0" w:right="0" w:firstLine="0"/>
              <w:jc w:val="left"/>
            </w:pPr>
            <w:r>
              <w:rPr>
                <w:sz w:val="18"/>
                <w:szCs w:val="18"/>
              </w:rPr>
              <w:t>Coordina grabación, reproducción y restauración de la recepción en vivo.</w:t>
            </w:r>
          </w:p>
        </w:tc>
      </w:tr>
      <w:tr w14:paraId="0126C9F8">
        <w:tblPrEx>
          <w:tblCellMar>
            <w:top w:w="75" w:type="dxa"/>
            <w:left w:w="75" w:type="dxa"/>
            <w:bottom w:w="75" w:type="dxa"/>
            <w:right w:w="75" w:type="dxa"/>
          </w:tblCellMar>
        </w:tblPrEx>
        <w:trPr>
          <w:cantSplit/>
        </w:trPr>
        <w:tc>
          <w:tcPr>
            <w:tcW w:w="1912" w:type="dxa"/>
            <w:tcBorders>
              <w:left w:val="single" w:color="D9D9D9" w:sz="6" w:space="0"/>
              <w:bottom w:val="single" w:color="D9D9D9" w:sz="2" w:space="0"/>
              <w:right w:val="single" w:color="D9D9D9" w:sz="6" w:space="0"/>
            </w:tcBorders>
            <w:vAlign w:val="center"/>
          </w:tcPr>
          <w:p w14:paraId="009E5E0D">
            <w:pPr>
              <w:pStyle w:val="23"/>
              <w:bidi w:val="0"/>
              <w:spacing w:before="0" w:after="0" w:line="240" w:lineRule="auto"/>
              <w:ind w:left="0" w:right="0" w:firstLine="0"/>
              <w:jc w:val="left"/>
            </w:pPr>
            <w:r>
              <w:fldChar w:fldCharType="begin"/>
            </w:r>
            <w:r>
              <w:instrText xml:space="preserve"> HYPERLINK "demodulador/iq_capture.py" \h </w:instrText>
            </w:r>
            <w:r>
              <w:fldChar w:fldCharType="separate"/>
            </w:r>
            <w:r>
              <w:rPr>
                <w:rStyle w:val="9"/>
                <w:sz w:val="18"/>
                <w:szCs w:val="18"/>
              </w:rPr>
              <w:t>iq_capture.py</w:t>
            </w:r>
            <w:r>
              <w:rPr>
                <w:rStyle w:val="9"/>
                <w:sz w:val="18"/>
                <w:szCs w:val="18"/>
              </w:rPr>
              <w:fldChar w:fldCharType="end"/>
            </w:r>
          </w:p>
        </w:tc>
        <w:tc>
          <w:tcPr>
            <w:tcW w:w="5737" w:type="dxa"/>
            <w:tcBorders>
              <w:left w:val="single" w:color="D9D9D9" w:sz="2" w:space="0"/>
              <w:bottom w:val="single" w:color="D9D9D9" w:sz="2" w:space="0"/>
              <w:right w:val="single" w:color="D9D9D9" w:sz="6" w:space="0"/>
            </w:tcBorders>
            <w:vAlign w:val="center"/>
          </w:tcPr>
          <w:p w14:paraId="75433D18">
            <w:pPr>
              <w:pStyle w:val="23"/>
              <w:bidi w:val="0"/>
              <w:spacing w:before="0" w:after="0" w:line="240" w:lineRule="auto"/>
              <w:ind w:left="0" w:right="0" w:firstLine="0"/>
              <w:jc w:val="left"/>
            </w:pPr>
            <w:r>
              <w:rPr>
                <w:sz w:val="18"/>
                <w:szCs w:val="18"/>
              </w:rPr>
              <w:t>Escribe y verifica los archivos IQ y sus metadatos.</w:t>
            </w:r>
          </w:p>
        </w:tc>
      </w:tr>
      <w:tr w14:paraId="1704D6CA">
        <w:tblPrEx>
          <w:tblCellMar>
            <w:top w:w="75" w:type="dxa"/>
            <w:left w:w="75" w:type="dxa"/>
            <w:bottom w:w="75" w:type="dxa"/>
            <w:right w:w="75" w:type="dxa"/>
          </w:tblCellMar>
        </w:tblPrEx>
        <w:trPr>
          <w:cantSplit/>
        </w:trPr>
        <w:tc>
          <w:tcPr>
            <w:tcW w:w="1912" w:type="dxa"/>
            <w:tcBorders>
              <w:left w:val="single" w:color="D9D9D9" w:sz="6" w:space="0"/>
              <w:bottom w:val="single" w:color="D9D9D9" w:sz="2" w:space="0"/>
              <w:right w:val="single" w:color="D9D9D9" w:sz="6" w:space="0"/>
            </w:tcBorders>
            <w:vAlign w:val="center"/>
          </w:tcPr>
          <w:p w14:paraId="05DEEC67">
            <w:pPr>
              <w:pStyle w:val="23"/>
              <w:bidi w:val="0"/>
              <w:spacing w:before="0" w:after="0" w:line="240" w:lineRule="auto"/>
              <w:ind w:left="0" w:right="0" w:firstLine="0"/>
              <w:jc w:val="left"/>
            </w:pPr>
            <w:r>
              <w:fldChar w:fldCharType="begin"/>
            </w:r>
            <w:r>
              <w:instrText xml:space="preserve"> HYPERLINK "demodulador/audio_manager.py" \h </w:instrText>
            </w:r>
            <w:r>
              <w:fldChar w:fldCharType="separate"/>
            </w:r>
            <w:r>
              <w:rPr>
                <w:rStyle w:val="9"/>
                <w:sz w:val="18"/>
                <w:szCs w:val="18"/>
              </w:rPr>
              <w:t>audio_manager.py</w:t>
            </w:r>
            <w:r>
              <w:rPr>
                <w:rStyle w:val="9"/>
                <w:sz w:val="18"/>
                <w:szCs w:val="18"/>
              </w:rPr>
              <w:fldChar w:fldCharType="end"/>
            </w:r>
          </w:p>
        </w:tc>
        <w:tc>
          <w:tcPr>
            <w:tcW w:w="5737" w:type="dxa"/>
            <w:tcBorders>
              <w:left w:val="single" w:color="D9D9D9" w:sz="2" w:space="0"/>
              <w:bottom w:val="single" w:color="D9D9D9" w:sz="2" w:space="0"/>
              <w:right w:val="single" w:color="D9D9D9" w:sz="6" w:space="0"/>
            </w:tcBorders>
            <w:vAlign w:val="center"/>
          </w:tcPr>
          <w:p w14:paraId="356DECE6">
            <w:pPr>
              <w:pStyle w:val="23"/>
              <w:bidi w:val="0"/>
              <w:spacing w:before="0" w:after="0" w:line="240" w:lineRule="auto"/>
              <w:ind w:left="0" w:right="0" w:firstLine="0"/>
              <w:jc w:val="left"/>
            </w:pPr>
            <w:r>
              <w:rPr>
                <w:sz w:val="18"/>
                <w:szCs w:val="18"/>
              </w:rPr>
              <w:t>Entrega audio estéreo a la salida de sonido y controla pausa, cola y underruns.</w:t>
            </w:r>
          </w:p>
        </w:tc>
      </w:tr>
      <w:tr w14:paraId="35624963">
        <w:tblPrEx>
          <w:tblCellMar>
            <w:top w:w="75" w:type="dxa"/>
            <w:left w:w="75" w:type="dxa"/>
            <w:bottom w:w="75" w:type="dxa"/>
            <w:right w:w="75" w:type="dxa"/>
          </w:tblCellMar>
        </w:tblPrEx>
        <w:trPr>
          <w:cantSplit/>
        </w:trPr>
        <w:tc>
          <w:tcPr>
            <w:tcW w:w="1912" w:type="dxa"/>
            <w:tcBorders>
              <w:left w:val="single" w:color="D9D9D9" w:sz="6" w:space="0"/>
              <w:bottom w:val="single" w:color="D9D9D9" w:sz="6" w:space="0"/>
              <w:right w:val="single" w:color="D9D9D9" w:sz="6" w:space="0"/>
            </w:tcBorders>
            <w:vAlign w:val="center"/>
          </w:tcPr>
          <w:p w14:paraId="6D54CA1F">
            <w:pPr>
              <w:pStyle w:val="23"/>
              <w:bidi w:val="0"/>
              <w:spacing w:before="0" w:after="0" w:line="240" w:lineRule="auto"/>
              <w:ind w:left="0" w:right="0" w:firstLine="0"/>
              <w:jc w:val="left"/>
            </w:pPr>
            <w:r>
              <w:fldChar w:fldCharType="begin"/>
            </w:r>
            <w:r>
              <w:instrText xml:space="preserve"> HYPERLINK "demodulador/ui_builder.py" \h </w:instrText>
            </w:r>
            <w:r>
              <w:fldChar w:fldCharType="separate"/>
            </w:r>
            <w:r>
              <w:rPr>
                <w:rStyle w:val="9"/>
                <w:sz w:val="18"/>
                <w:szCs w:val="18"/>
              </w:rPr>
              <w:t>ui_builder.py</w:t>
            </w:r>
            <w:r>
              <w:rPr>
                <w:rStyle w:val="9"/>
                <w:sz w:val="18"/>
                <w:szCs w:val="18"/>
              </w:rPr>
              <w:fldChar w:fldCharType="end"/>
            </w:r>
            <w:r>
              <w:rPr>
                <w:sz w:val="18"/>
                <w:szCs w:val="18"/>
              </w:rPr>
              <w:t xml:space="preserve"> y </w:t>
            </w:r>
            <w:r>
              <w:fldChar w:fldCharType="begin"/>
            </w:r>
            <w:r>
              <w:instrText xml:space="preserve"> HYPERLINK "demodulador/plot_renderer.py" \h </w:instrText>
            </w:r>
            <w:r>
              <w:fldChar w:fldCharType="separate"/>
            </w:r>
            <w:r>
              <w:rPr>
                <w:rStyle w:val="9"/>
                <w:sz w:val="18"/>
                <w:szCs w:val="18"/>
              </w:rPr>
              <w:t>plot_renderer.py</w:t>
            </w:r>
            <w:r>
              <w:rPr>
                <w:rStyle w:val="9"/>
                <w:sz w:val="18"/>
                <w:szCs w:val="18"/>
              </w:rPr>
              <w:fldChar w:fldCharType="end"/>
            </w:r>
          </w:p>
        </w:tc>
        <w:tc>
          <w:tcPr>
            <w:tcW w:w="5737" w:type="dxa"/>
            <w:tcBorders>
              <w:left w:val="single" w:color="D9D9D9" w:sz="2" w:space="0"/>
              <w:bottom w:val="single" w:color="D9D9D9" w:sz="6" w:space="0"/>
              <w:right w:val="single" w:color="D9D9D9" w:sz="6" w:space="0"/>
            </w:tcBorders>
            <w:vAlign w:val="center"/>
          </w:tcPr>
          <w:p w14:paraId="6A4F3122">
            <w:pPr>
              <w:pStyle w:val="23"/>
              <w:bidi w:val="0"/>
              <w:spacing w:before="0" w:after="0" w:line="240" w:lineRule="auto"/>
              <w:jc w:val="left"/>
            </w:pPr>
            <w:r>
              <w:rPr>
                <w:sz w:val="18"/>
                <w:szCs w:val="18"/>
              </w:rPr>
              <w:t>Construyen los paneles y actualizan gráficos y métricas.</w:t>
            </w:r>
          </w:p>
        </w:tc>
      </w:tr>
      <w:tr>
        <w:tblPrEx>
          <w:tblCellMar>
            <w:top w:w="75" w:type="dxa"/>
            <w:left w:w="75" w:type="dxa"/>
            <w:bottom w:w="75" w:type="dxa"/>
            <w:right w:w="75" w:type="dxa"/>
          </w:tblCellMar>
        </w:tblPrEx>
        <w:trPr>
          <w:cantSplit/>
        </w:trPr>
        <w:tc>
          <w:tcPr>
            <w:tcW w:w="1912" w:type="dxa"/>
            <w:tcBorders>
              <w:left w:val="single" w:color="D9D9D9" w:sz="6" w:space="0"/>
              <w:bottom w:val="single" w:color="D9D9D9" w:sz="6" w:space="0"/>
              <w:right w:val="single" w:color="D9D9D9" w:sz="6" w:space="0"/>
            </w:tcBorders>
            <w:vAlign w:val="center"/>
          </w:tcPr>
          <w:p>
            <w:pPr>
              <w:pStyle w:val="23"/>
              <w:bidi w:val="0"/>
              <w:spacing w:before="0" w:after="0" w:line="240" w:lineRule="auto"/>
              <w:ind w:left="0" w:right="0" w:firstLine="0"/>
              <w:jc w:val="left"/>
            </w:pPr>
            <w:r>
              <w:fldChar w:fldCharType="begin"/>
            </w:r>
            <w:r>
              <w:instrText xml:space="preserve"> HYPERLINK "demodulador/hardware/stream_transition.py" \h </w:instrText>
            </w:r>
            <w:r>
              <w:fldChar w:fldCharType="separate"/>
            </w:r>
            <w:r>
              <w:rPr>
                <w:rStyle w:val="9"/>
                <w:sz w:val="18"/>
                <w:szCs w:val="18"/>
              </w:rPr>
              <w:t>hardware/stream_transition.py</w:t>
            </w:r>
            <w:r>
              <w:rPr>
                <w:rStyle w:val="9"/>
                <w:sz w:val="18"/>
                <w:szCs w:val="18"/>
              </w:rPr>
              <w:fldChar w:fldCharType="end"/>
            </w:r>
          </w:p>
        </w:tc>
        <w:tc>
          <w:tcPr>
            <w:tcW w:w="5737" w:type="dxa"/>
            <w:tcBorders>
              <w:left w:val="single" w:color="D9D9D9" w:sz="2" w:space="0"/>
              <w:bottom w:val="single" w:color="D9D9D9" w:sz="6" w:space="0"/>
              <w:right w:val="single" w:color="D9D9D9" w:sz="6" w:space="0"/>
            </w:tcBorders>
            <w:vAlign w:val="center"/>
          </w:tcPr>
          <w:p>
            <w:pPr>
              <w:pStyle w:val="23"/>
              <w:bidi w:val="0"/>
              <w:spacing w:before="0" w:after="0" w:line="240" w:lineRule="auto"/>
              <w:jc w:val="left"/>
            </w:pPr>
            <w:r>
              <w:rPr>
                <w:sz w:val="18"/>
                <w:szCs w:val="18"/>
              </w:rPr>
              <w:t>Pausa y reanuda la recepción de los SDR físicos mediante @receiver_transition durante cambios de configuración anidados.</w:t>
            </w:r>
          </w:p>
        </w:tc>
      </w:tr>
      <w:tr>
        <w:tblPrEx>
          <w:tblCellMar>
            <w:top w:w="75" w:type="dxa"/>
            <w:left w:w="75" w:type="dxa"/>
            <w:bottom w:w="75" w:type="dxa"/>
            <w:right w:w="75" w:type="dxa"/>
          </w:tblCellMar>
        </w:tblPrEx>
        <w:trPr>
          <w:cantSplit/>
        </w:trPr>
        <w:tc>
          <w:tcPr>
            <w:tcW w:w="1912" w:type="dxa"/>
            <w:tcBorders>
              <w:left w:val="single" w:color="D9D9D9" w:sz="6" w:space="0"/>
              <w:bottom w:val="single" w:color="D9D9D9" w:sz="6" w:space="0"/>
              <w:right w:val="single" w:color="D9D9D9" w:sz="6" w:space="0"/>
            </w:tcBorders>
            <w:vAlign w:val="center"/>
          </w:tcPr>
          <w:p>
            <w:pPr>
              <w:pStyle w:val="23"/>
              <w:bidi w:val="0"/>
              <w:spacing w:before="0" w:after="0" w:line="240" w:lineRule="auto"/>
              <w:ind w:left="0" w:right="0" w:firstLine="0"/>
              <w:jc w:val="left"/>
            </w:pPr>
            <w:r>
              <w:fldChar w:fldCharType="begin"/>
            </w:r>
            <w:r>
              <w:instrText xml:space="preserve"> HYPERLINK "demodulador/iq_ring_buffer.py" \h </w:instrText>
            </w:r>
            <w:r>
              <w:fldChar w:fldCharType="separate"/>
            </w:r>
            <w:r>
              <w:rPr>
                <w:rStyle w:val="9"/>
                <w:sz w:val="18"/>
                <w:szCs w:val="18"/>
              </w:rPr>
              <w:t>iq_ring_buffer.py</w:t>
            </w:r>
            <w:r>
              <w:rPr>
                <w:rStyle w:val="9"/>
                <w:sz w:val="18"/>
                <w:szCs w:val="18"/>
              </w:rPr>
              <w:fldChar w:fldCharType="end"/>
            </w:r>
          </w:p>
        </w:tc>
        <w:tc>
          <w:tcPr>
            <w:tcW w:w="5737" w:type="dxa"/>
            <w:tcBorders>
              <w:left w:val="single" w:color="D9D9D9" w:sz="2" w:space="0"/>
              <w:bottom w:val="single" w:color="D9D9D9" w:sz="6" w:space="0"/>
              <w:right w:val="single" w:color="D9D9D9" w:sz="6" w:space="0"/>
            </w:tcBorders>
            <w:vAlign w:val="center"/>
          </w:tcPr>
          <w:p>
            <w:pPr>
              <w:pStyle w:val="23"/>
              <w:bidi w:val="0"/>
              <w:spacing w:before="0" w:after="0" w:line="240" w:lineRule="auto"/>
              <w:jc w:val="left"/>
            </w:pPr>
            <w:r>
              <w:rPr>
                <w:sz w:val="18"/>
                <w:szCs w:val="18"/>
              </w:rPr>
              <w:t>Buffer circular sincronizado (IQRingBuffer) que conserva el historial de muestras del espectrograma para recortes retrospectivos.</w:t>
            </w:r>
          </w:p>
        </w:tc>
      </w:tr>
      <w:tr>
        <w:tblPrEx>
          <w:tblCellMar>
            <w:top w:w="75" w:type="dxa"/>
            <w:left w:w="75" w:type="dxa"/>
            <w:bottom w:w="75" w:type="dxa"/>
            <w:right w:w="75" w:type="dxa"/>
          </w:tblCellMar>
        </w:tblPrEx>
        <w:trPr>
          <w:cantSplit/>
        </w:trPr>
        <w:tc>
          <w:tcPr>
            <w:tcW w:w="1912" w:type="dxa"/>
            <w:tcBorders>
              <w:left w:val="single" w:color="D9D9D9" w:sz="6" w:space="0"/>
              <w:bottom w:val="single" w:color="D9D9D9" w:sz="6" w:space="0"/>
              <w:right w:val="single" w:color="D9D9D9" w:sz="6" w:space="0"/>
            </w:tcBorders>
            <w:vAlign w:val="center"/>
          </w:tcPr>
          <w:p>
            <w:pPr>
              <w:pStyle w:val="23"/>
              <w:bidi w:val="0"/>
              <w:spacing w:before="0" w:after="0" w:line="240" w:lineRule="auto"/>
              <w:ind w:left="0" w:right="0" w:firstLine="0"/>
              <w:jc w:val="left"/>
            </w:pPr>
            <w:r>
              <w:fldChar w:fldCharType="begin"/>
            </w:r>
            <w:r>
              <w:instrText xml:space="preserve"> HYPERLINK "demodulador/trace_manager.py" \h </w:instrText>
            </w:r>
            <w:r>
              <w:fldChar w:fldCharType="separate"/>
            </w:r>
            <w:r>
              <w:rPr>
                <w:rStyle w:val="9"/>
                <w:sz w:val="18"/>
                <w:szCs w:val="18"/>
              </w:rPr>
              <w:t>trace_manager.py</w:t>
            </w:r>
            <w:r>
              <w:rPr>
                <w:rStyle w:val="9"/>
                <w:sz w:val="18"/>
                <w:szCs w:val="18"/>
              </w:rPr>
              <w:fldChar w:fldCharType="end"/>
            </w:r>
            <w:r>
              <w:rPr>
                <w:sz w:val="18"/>
                <w:szCs w:val="18"/>
              </w:rPr>
              <w:t xml:space="preserve"> y </w:t>
            </w:r>
            <w:r>
              <w:fldChar w:fldCharType="begin"/>
            </w:r>
            <w:r>
              <w:instrText xml:space="preserve"> HYPERLINK "demodulador/marker_manager.py" \h </w:instrText>
            </w:r>
            <w:r>
              <w:fldChar w:fldCharType="separate"/>
            </w:r>
            <w:r>
              <w:rPr>
                <w:rStyle w:val="9"/>
                <w:sz w:val="18"/>
                <w:szCs w:val="18"/>
              </w:rPr>
              <w:t>marker_manager.py</w:t>
            </w:r>
            <w:r>
              <w:rPr>
                <w:rStyle w:val="9"/>
                <w:sz w:val="18"/>
                <w:szCs w:val="18"/>
              </w:rPr>
              <w:fldChar w:fldCharType="end"/>
            </w:r>
          </w:p>
        </w:tc>
        <w:tc>
          <w:tcPr>
            <w:tcW w:w="5737" w:type="dxa"/>
            <w:tcBorders>
              <w:left w:val="single" w:color="D9D9D9" w:sz="2" w:space="0"/>
              <w:bottom w:val="single" w:color="D9D9D9" w:sz="6" w:space="0"/>
              <w:right w:val="single" w:color="D9D9D9" w:sz="6" w:space="0"/>
            </w:tcBorders>
            <w:vAlign w:val="center"/>
          </w:tcPr>
          <w:p>
            <w:pPr>
              <w:pStyle w:val="23"/>
              <w:bidi w:val="0"/>
              <w:spacing w:before="0" w:after="0" w:line="240" w:lineRule="auto"/>
              <w:jc w:val="left"/>
            </w:pPr>
            <w:r>
              <w:rPr>
                <w:sz w:val="18"/>
                <w:szCs w:val="18"/>
              </w:rPr>
              <w:t>Administran hasta 4 trazas (Clear &amp; Write, Max Hold, Min Hold, Average) y hasta 6 marcadores (Normal, Delta, Peak Search, Next Peak, Track Peak) tanto en RF como en el espectro MPX FM.</w:t>
            </w:r>
          </w:p>
        </w:tc>
      </w:tr>
      <w:tr>
        <w:tblPrEx>
          <w:tblCellMar>
            <w:top w:w="75" w:type="dxa"/>
            <w:left w:w="75" w:type="dxa"/>
            <w:bottom w:w="75" w:type="dxa"/>
            <w:right w:w="75" w:type="dxa"/>
          </w:tblCellMar>
        </w:tblPrEx>
        <w:trPr>
          <w:cantSplit/>
        </w:trPr>
        <w:tc>
          <w:tcPr>
            <w:tcW w:w="1912" w:type="dxa"/>
            <w:tcBorders>
              <w:left w:val="single" w:color="D9D9D9" w:sz="6" w:space="0"/>
              <w:bottom w:val="single" w:color="D9D9D9" w:sz="6" w:space="0"/>
              <w:right w:val="single" w:color="D9D9D9" w:sz="6" w:space="0"/>
            </w:tcBorders>
            <w:vAlign w:val="center"/>
          </w:tcPr>
          <w:p>
            <w:pPr>
              <w:pStyle w:val="23"/>
              <w:bidi w:val="0"/>
              <w:spacing w:before="0" w:after="0" w:line="240" w:lineRule="auto"/>
              <w:ind w:left="0" w:right="0" w:firstLine="0"/>
              <w:jc w:val="left"/>
            </w:pPr>
            <w:r>
              <w:fldChar w:fldCharType="begin"/>
            </w:r>
            <w:r>
              <w:instrText xml:space="preserve"> HYPERLINK "demodulador/btle_history.py" \h </w:instrText>
            </w:r>
            <w:r>
              <w:fldChar w:fldCharType="separate"/>
            </w:r>
            <w:r>
              <w:rPr>
                <w:rStyle w:val="9"/>
                <w:sz w:val="18"/>
                <w:szCs w:val="18"/>
              </w:rPr>
              <w:t>btle_history.py</w:t>
            </w:r>
            <w:r>
              <w:rPr>
                <w:rStyle w:val="9"/>
                <w:sz w:val="18"/>
                <w:szCs w:val="18"/>
              </w:rPr>
              <w:fldChar w:fldCharType="end"/>
            </w:r>
            <w:r>
              <w:rPr>
                <w:sz w:val="18"/>
                <w:szCs w:val="18"/>
              </w:rPr>
              <w:t xml:space="preserve"> y </w:t>
            </w:r>
            <w:r>
              <w:fldChar w:fldCharType="begin"/>
            </w:r>
            <w:r>
              <w:instrText xml:space="preserve"> HYPERLINK "demodulador/dsp/demoduladores/btle_frames.py" \h </w:instrText>
            </w:r>
            <w:r>
              <w:fldChar w:fldCharType="separate"/>
            </w:r>
            <w:r>
              <w:rPr>
                <w:rStyle w:val="9"/>
                <w:sz w:val="18"/>
                <w:szCs w:val="18"/>
              </w:rPr>
              <w:t>btle_frames.py</w:t>
            </w:r>
            <w:r>
              <w:rPr>
                <w:rStyle w:val="9"/>
                <w:sz w:val="18"/>
                <w:szCs w:val="18"/>
              </w:rPr>
              <w:fldChar w:fldCharType="end"/>
            </w:r>
          </w:p>
        </w:tc>
        <w:tc>
          <w:tcPr>
            <w:tcW w:w="5737" w:type="dxa"/>
            <w:tcBorders>
              <w:left w:val="single" w:color="D9D9D9" w:sz="2" w:space="0"/>
              <w:bottom w:val="single" w:color="D9D9D9" w:sz="6" w:space="0"/>
              <w:right w:val="single" w:color="D9D9D9" w:sz="6" w:space="0"/>
            </w:tcBorders>
            <w:vAlign w:val="center"/>
          </w:tcPr>
          <w:p>
            <w:pPr>
              <w:pStyle w:val="23"/>
              <w:bidi w:val="0"/>
              <w:spacing w:before="0" w:after="0" w:line="240" w:lineRule="auto"/>
              <w:jc w:val="left"/>
            </w:pPr>
            <w:r>
              <w:rPr>
                <w:sz w:val="18"/>
                <w:szCs w:val="18"/>
              </w:rPr>
              <w:t>Decodifican anuncios BLE legacy (PDUs, estructuras AD, dewhitening y CRC-24), deduplican direcciones y mantienen el historial de paquetes.</w:t>
            </w:r>
          </w:p>
        </w:tc>
      </w:tr>
      <w:tr>
        <w:tblPrEx>
          <w:tblCellMar>
            <w:top w:w="75" w:type="dxa"/>
            <w:left w:w="75" w:type="dxa"/>
            <w:bottom w:w="75" w:type="dxa"/>
            <w:right w:w="75" w:type="dxa"/>
          </w:tblCellMar>
        </w:tblPrEx>
        <w:trPr>
          <w:cantSplit/>
        </w:trPr>
        <w:tc>
          <w:tcPr>
            <w:tcW w:w="1912" w:type="dxa"/>
            <w:tcBorders>
              <w:left w:val="single" w:color="D9D9D9" w:sz="6" w:space="0"/>
              <w:bottom w:val="single" w:color="D9D9D9" w:sz="6" w:space="0"/>
              <w:right w:val="single" w:color="D9D9D9" w:sz="6" w:space="0"/>
            </w:tcBorders>
            <w:vAlign w:val="center"/>
          </w:tcPr>
          <w:p>
            <w:pPr>
              <w:pStyle w:val="23"/>
              <w:bidi w:val="0"/>
              <w:spacing w:before="0" w:after="0" w:line="240" w:lineRule="auto"/>
              <w:ind w:left="0" w:right="0" w:firstLine="0"/>
              <w:jc w:val="left"/>
            </w:pPr>
            <w:r>
              <w:fldChar w:fldCharType="begin"/>
            </w:r>
            <w:r>
              <w:instrText xml:space="preserve"> HYPERLINK "demodulador/dsp/rds.py" \h </w:instrText>
            </w:r>
            <w:r>
              <w:fldChar w:fldCharType="separate"/>
            </w:r>
            <w:r>
              <w:rPr>
                <w:rStyle w:val="9"/>
                <w:sz w:val="18"/>
                <w:szCs w:val="18"/>
              </w:rPr>
              <w:t>dsp/rds.py</w:t>
            </w:r>
            <w:r>
              <w:rPr>
                <w:rStyle w:val="9"/>
                <w:sz w:val="18"/>
                <w:szCs w:val="18"/>
              </w:rPr>
              <w:fldChar w:fldCharType="end"/>
            </w:r>
            <w:r>
              <w:rPr>
                <w:sz w:val="18"/>
                <w:szCs w:val="18"/>
              </w:rPr>
              <w:t xml:space="preserve"> y </w:t>
            </w:r>
            <w:r>
              <w:fldChar w:fldCharType="begin"/>
            </w:r>
            <w:r>
              <w:instrText xml:space="preserve"> HYPERLINK "demodulador/dsp/streaming_resampler.py" \h </w:instrText>
            </w:r>
            <w:r>
              <w:fldChar w:fldCharType="separate"/>
            </w:r>
            <w:r>
              <w:rPr>
                <w:rStyle w:val="9"/>
                <w:sz w:val="18"/>
                <w:szCs w:val="18"/>
              </w:rPr>
              <w:t>dsp/streaming_resampler.py</w:t>
            </w:r>
            <w:r>
              <w:rPr>
                <w:rStyle w:val="9"/>
                <w:sz w:val="18"/>
                <w:szCs w:val="18"/>
              </w:rPr>
              <w:fldChar w:fldCharType="end"/>
            </w:r>
          </w:p>
        </w:tc>
        <w:tc>
          <w:tcPr>
            <w:tcW w:w="5737" w:type="dxa"/>
            <w:tcBorders>
              <w:left w:val="single" w:color="D9D9D9" w:sz="2" w:space="0"/>
              <w:bottom w:val="single" w:color="D9D9D9" w:sz="6" w:space="0"/>
              <w:right w:val="single" w:color="D9D9D9" w:sz="6" w:space="0"/>
            </w:tcBorders>
            <w:vAlign w:val="center"/>
          </w:tcPr>
          <w:p>
            <w:pPr>
              <w:pStyle w:val="23"/>
              <w:bidi w:val="0"/>
              <w:spacing w:before="0" w:after="0" w:line="240" w:lineRule="auto"/>
              <w:jc w:val="left"/>
            </w:pPr>
            <w:r>
              <w:rPr>
                <w:sz w:val="18"/>
                <w:szCs w:val="18"/>
              </w:rPr>
              <w:t>Decodificador RDS de 57 kHz (PLL, síndrome CRC de 10 bits, grupos 0A/0B y 2A/2B) y remuestreador polifásico con preservación de estado entre bloques.</w:t>
            </w:r>
          </w:p>
        </w:tc>
      </w:tr>
    </w:tbl>
    <w:p w14:paraId="66777403">
      <w:pPr>
        <w:pStyle w:val="6"/>
        <w:keepNext/>
        <w:keepLines/>
        <w:pageBreakBefore/>
        <w:bidi w:val="0"/>
        <w:jc w:val="left"/>
      </w:pPr>
      <w:r>
        <w:t>Contrato DSP</w:t>
      </w:r>
    </w:p>
    <w:p w14:paraId="30FC34F9">
      <w:pPr>
        <w:pStyle w:val="4"/>
        <w:bidi w:val="0"/>
        <w:ind w:left="0" w:right="0" w:firstLine="0"/>
        <w:jc w:val="left"/>
      </w:pPr>
      <w:r>
        <w:t xml:space="preserve">Cada modo implementa </w:t>
      </w:r>
      <w:r>
        <w:rPr>
          <w:rFonts w:ascii="Liberation Mono;Consolas;monosp" w:hAnsi="Liberation Mono;Consolas;monosp"/>
          <w:sz w:val="18"/>
        </w:rPr>
        <w:t>configurar(sample_rate, fft_size, ...)</w:t>
      </w:r>
      <w:r>
        <w:t xml:space="preserve"> y </w:t>
      </w:r>
      <w:r>
        <w:rPr>
          <w:rFonts w:ascii="Liberation Mono;Consolas;monosp" w:hAnsi="Liberation Mono;Consolas;monosp"/>
          <w:sz w:val="18"/>
        </w:rPr>
        <w:t>procesar(muestras_iq)</w:t>
      </w:r>
      <w:r>
        <w:t xml:space="preserve"> mediante </w:t>
      </w:r>
      <w:r>
        <w:fldChar w:fldCharType="begin"/>
      </w:r>
      <w:r>
        <w:instrText xml:space="preserve"> HYPERLINK "demodulador/dsp/demoduladores/base.py" \h </w:instrText>
      </w:r>
      <w:r>
        <w:fldChar w:fldCharType="separate"/>
      </w:r>
      <w:r>
        <w:rPr>
          <w:rStyle w:val="9"/>
        </w:rPr>
        <w:t>DemoduladorBase</w:t>
      </w:r>
      <w:r>
        <w:rPr>
          <w:rStyle w:val="9"/>
        </w:rPr>
        <w:fldChar w:fldCharType="end"/>
      </w:r>
      <w:r>
        <w:t xml:space="preserve">. </w:t>
      </w:r>
      <w:r>
        <w:rPr>
          <w:rFonts w:ascii="Liberation Mono;Consolas;monosp" w:hAnsi="Liberation Mono;Consolas;monosp"/>
          <w:sz w:val="18"/>
        </w:rPr>
        <w:t>procesar</w:t>
      </w:r>
      <w:r>
        <w:t xml:space="preserve"> puede devolver </w:t>
      </w:r>
      <w:r>
        <w:rPr>
          <w:rFonts w:ascii="Liberation Mono;Consolas;monosp" w:hAnsi="Liberation Mono;Consolas;monosp"/>
          <w:sz w:val="18"/>
        </w:rPr>
        <w:t>None</w:t>
      </w:r>
      <w:r>
        <w:t xml:space="preserve"> mientras acumula muestras o espera a un trabajador. Cuando hay resultado, </w:t>
      </w:r>
      <w:r>
        <w:rPr>
          <w:rFonts w:ascii="Liberation Mono;Consolas;monosp" w:hAnsi="Liberation Mono;Consolas;monosp"/>
          <w:sz w:val="18"/>
        </w:rPr>
        <w:t>MainWindow</w:t>
      </w:r>
      <w:r>
        <w:t xml:space="preserve"> lo publica mediante una señal Qt; la interfaz actualiza los gráficos en su hilo. Algunos modos procesan bloques en segundo plano y FM: escucha entrega audio mediante un callback de resultados.</w:t>
      </w:r>
    </w:p>
    <w:p w14:paraId="68C4B6C8">
      <w:pPr>
        <w:pStyle w:val="4"/>
        <w:bidi w:val="0"/>
        <w:jc w:val="left"/>
      </w:pPr>
      <w:r>
        <w:t>La frecuencia central y la tasa de muestreo forman parte del estado de la sesión. Al abrir una captura, se toman de sus metadatos para crear un procesador nuevo. Al terminar, se restablecen los valores y el procesador de la recepción en vivo. Un corte de IQ reinicia el estado DSP. Al resintonizar o cambiar la tasa de muestreo, todos los modos reinician su flujo mediante reset_demodulator_stream, descartando muestras y trabajadores en vuelo pero conservando la configuración del modo (incluyendo el canal BLE y el estado de barrido LTE Uplink).</w:t>
      </w:r>
    </w:p>
    <w:p w14:paraId="23B9EA08">
      <w:pPr>
        <w:pStyle w:val="6"/>
        <w:keepNext/>
        <w:keepLines/>
        <w:bidi w:val="0"/>
        <w:jc w:val="left"/>
      </w:pPr>
      <w:r>
        <w:t>Límites de continuidad</w:t>
      </w:r>
    </w:p>
    <w:p w14:paraId="160A83D8">
      <w:pPr>
        <w:pStyle w:val="4"/>
        <w:bidi w:val="0"/>
        <w:jc w:val="left"/>
      </w:pPr>
      <w:r>
        <w:t xml:space="preserve">El archivo de grabación conserva, en orden, todos los bloques </w:t>
      </w:r>
      <w:r>
        <w:rPr>
          <w:rStyle w:val="11"/>
        </w:rPr>
        <w:t>entregados a la aplicación</w:t>
      </w:r>
      <w:r>
        <w:t xml:space="preserve"> que el escritor aceptó. Una captura válida exige escritura completa, tamaño coherente y SHA-256 correcto. Ninguno de esos controles puede reconstruir muestras que el controlador o el USB hayan perdido antes del callback. Los modos de análisis en vivo tienen sus propias políticas de carga; por ejemplo, la cola de audio puede descartar bloques antiguos si se atrasa. Estos límites se detallan en </w:t>
      </w:r>
      <w:r>
        <w:fldChar w:fldCharType="begin"/>
      </w:r>
      <w:r>
        <w:instrText xml:space="preserve"> HYPERLINK \l "grabación-y-reproducción-iq" \h </w:instrText>
      </w:r>
      <w:r>
        <w:fldChar w:fldCharType="separate"/>
      </w:r>
      <w:r>
        <w:rPr>
          <w:rStyle w:val="9"/>
        </w:rPr>
        <w:t>Capturas y reproducción</w:t>
      </w:r>
      <w:r>
        <w:rPr>
          <w:rStyle w:val="9"/>
        </w:rPr>
        <w:fldChar w:fldCharType="end"/>
      </w:r>
      <w:r>
        <w:t>.</w:t>
      </w:r>
    </w:p>
    <w:p w14:paraId="5580A68D">
      <w:pPr>
        <w:pStyle w:val="5"/>
        <w:keepNext/>
        <w:keepLines/>
        <w:bidi w:val="0"/>
        <w:ind w:left="0" w:right="0" w:firstLine="0"/>
        <w:jc w:val="left"/>
      </w:pPr>
      <w:bookmarkStart w:id="1" w:name="modos-de-análisis"/>
      <w:bookmarkEnd w:id="1"/>
      <w:r>
        <w:t>Modos de análisis</w:t>
      </w:r>
    </w:p>
    <w:p w14:paraId="5C601AC7">
      <w:pPr>
        <w:pStyle w:val="4"/>
        <w:bidi w:val="0"/>
        <w:jc w:val="left"/>
      </w:pPr>
      <w:r>
        <w:t>Esta sección delimita lo implementado en la interfaz actual. Todos los modos reciben IQ complejo de una SDR o de una captura; la disponibilidad en vivo depende de que el equipo admita la tasa solicitada.</w:t>
      </w:r>
    </w:p>
    <w:tbl>
      <w:tblPr>
        <w:tblStyle w:val="8"/>
        <w:tblW w:w="7650" w:type="dxa"/>
        <w:tblInd w:w="-7" w:type="dxa"/>
        <w:tblLayout w:type="fixed"/>
        <w:tblCellMar>
          <w:top w:w="75" w:type="dxa"/>
          <w:left w:w="75" w:type="dxa"/>
          <w:bottom w:w="75" w:type="dxa"/>
          <w:right w:w="75" w:type="dxa"/>
        </w:tblCellMar>
      </w:tblPr>
      <w:tblGrid>
        <w:gridCol w:w="1453"/>
        <w:gridCol w:w="2524"/>
        <w:gridCol w:w="3671"/>
      </w:tblGrid>
      <w:tr w14:paraId="0B2AD967">
        <w:tblPrEx>
          <w:tblCellMar>
            <w:top w:w="75" w:type="dxa"/>
            <w:left w:w="75" w:type="dxa"/>
            <w:bottom w:w="75" w:type="dxa"/>
            <w:right w:w="75" w:type="dxa"/>
          </w:tblCellMar>
        </w:tblPrEx>
        <w:trPr>
          <w:cantSplit/>
          <w:tblHeader/>
        </w:trPr>
        <w:tc>
          <w:tcPr>
            <w:tcW w:w="1453" w:type="dxa"/>
            <w:tcBorders>
              <w:top w:val="single" w:color="D9D9D9" w:sz="6" w:space="0"/>
              <w:left w:val="single" w:color="D9D9D9" w:sz="6" w:space="0"/>
              <w:bottom w:val="single" w:color="D9D9D9" w:sz="2" w:space="0"/>
              <w:right w:val="single" w:color="D9D9D9" w:sz="6" w:space="0"/>
            </w:tcBorders>
            <w:vAlign w:val="center"/>
          </w:tcPr>
          <w:p w14:paraId="4CA2F4DA">
            <w:pPr>
              <w:pStyle w:val="27"/>
              <w:bidi w:val="0"/>
              <w:spacing w:before="0" w:after="0" w:line="240" w:lineRule="auto"/>
              <w:ind w:left="0" w:right="0" w:firstLine="0"/>
            </w:pPr>
            <w:r>
              <w:rPr>
                <w:sz w:val="18"/>
                <w:szCs w:val="18"/>
              </w:rPr>
              <w:t>Modo</w:t>
            </w:r>
          </w:p>
        </w:tc>
        <w:tc>
          <w:tcPr>
            <w:tcW w:w="2524" w:type="dxa"/>
            <w:tcBorders>
              <w:top w:val="single" w:color="D9D9D9" w:sz="6" w:space="0"/>
              <w:left w:val="single" w:color="D9D9D9" w:sz="2" w:space="0"/>
              <w:bottom w:val="single" w:color="D9D9D9" w:sz="2" w:space="0"/>
              <w:right w:val="single" w:color="D9D9D9" w:sz="6" w:space="0"/>
            </w:tcBorders>
            <w:vAlign w:val="center"/>
          </w:tcPr>
          <w:p w14:paraId="3BDF57BD">
            <w:pPr>
              <w:pStyle w:val="27"/>
              <w:bidi w:val="0"/>
              <w:spacing w:before="0" w:after="0" w:line="240" w:lineRule="auto"/>
              <w:ind w:left="0" w:right="0" w:firstLine="0"/>
            </w:pPr>
            <w:r>
              <w:rPr>
                <w:sz w:val="18"/>
                <w:szCs w:val="18"/>
              </w:rPr>
              <w:t>Resultado principal</w:t>
            </w:r>
          </w:p>
        </w:tc>
        <w:tc>
          <w:tcPr>
            <w:tcW w:w="3671" w:type="dxa"/>
            <w:tcBorders>
              <w:top w:val="single" w:color="D9D9D9" w:sz="6" w:space="0"/>
              <w:left w:val="single" w:color="D9D9D9" w:sz="2" w:space="0"/>
              <w:bottom w:val="single" w:color="D9D9D9" w:sz="2" w:space="0"/>
              <w:right w:val="single" w:color="D9D9D9" w:sz="6" w:space="0"/>
            </w:tcBorders>
            <w:vAlign w:val="center"/>
          </w:tcPr>
          <w:p w14:paraId="2974EC84">
            <w:pPr>
              <w:pStyle w:val="27"/>
              <w:bidi w:val="0"/>
              <w:spacing w:before="0" w:after="0" w:line="240" w:lineRule="auto"/>
              <w:ind w:left="0" w:right="0" w:firstLine="0"/>
            </w:pPr>
            <w:r>
              <w:rPr>
                <w:sz w:val="18"/>
                <w:szCs w:val="18"/>
              </w:rPr>
              <w:t>Alcance</w:t>
            </w:r>
          </w:p>
        </w:tc>
      </w:tr>
      <w:tr w14:paraId="01032F2E">
        <w:tblPrEx>
          <w:tblCellMar>
            <w:top w:w="75" w:type="dxa"/>
            <w:left w:w="75" w:type="dxa"/>
            <w:bottom w:w="75" w:type="dxa"/>
            <w:right w:w="75" w:type="dxa"/>
          </w:tblCellMar>
        </w:tblPrEx>
        <w:trPr>
          <w:cantSplit/>
        </w:trPr>
        <w:tc>
          <w:tcPr>
            <w:tcW w:w="1453" w:type="dxa"/>
            <w:tcBorders>
              <w:left w:val="single" w:color="D9D9D9" w:sz="6" w:space="0"/>
              <w:bottom w:val="single" w:color="D9D9D9" w:sz="2" w:space="0"/>
              <w:right w:val="single" w:color="D9D9D9" w:sz="6" w:space="0"/>
            </w:tcBorders>
            <w:vAlign w:val="center"/>
          </w:tcPr>
          <w:p w14:paraId="4A71AB76">
            <w:pPr>
              <w:pStyle w:val="23"/>
              <w:bidi w:val="0"/>
              <w:spacing w:before="0" w:after="0" w:line="240" w:lineRule="auto"/>
              <w:ind w:left="0" w:right="0" w:firstLine="0"/>
              <w:jc w:val="left"/>
            </w:pPr>
            <w:r>
              <w:rPr>
                <w:sz w:val="18"/>
                <w:szCs w:val="18"/>
              </w:rPr>
              <w:t>Analizador de espectro</w:t>
            </w:r>
          </w:p>
        </w:tc>
        <w:tc>
          <w:tcPr>
            <w:tcW w:w="2524" w:type="dxa"/>
            <w:tcBorders>
              <w:left w:val="single" w:color="D9D9D9" w:sz="2" w:space="0"/>
              <w:bottom w:val="single" w:color="D9D9D9" w:sz="2" w:space="0"/>
              <w:right w:val="single" w:color="D9D9D9" w:sz="6" w:space="0"/>
            </w:tcBorders>
            <w:vAlign w:val="center"/>
          </w:tcPr>
          <w:p w14:paraId="0DE11723">
            <w:pPr>
              <w:pStyle w:val="23"/>
              <w:bidi w:val="0"/>
              <w:spacing w:before="0" w:after="0" w:line="240" w:lineRule="auto"/>
              <w:ind w:left="0" w:right="0" w:firstLine="0"/>
              <w:jc w:val="left"/>
            </w:pPr>
            <w:r>
              <w:rPr>
                <w:sz w:val="18"/>
                <w:szCs w:val="18"/>
              </w:rPr>
              <w:t>Espectro, espectrograma, trazas y marcadores</w:t>
            </w:r>
          </w:p>
        </w:tc>
        <w:tc>
          <w:tcPr>
            <w:tcW w:w="3671" w:type="dxa"/>
            <w:tcBorders>
              <w:left w:val="single" w:color="D9D9D9" w:sz="2" w:space="0"/>
              <w:bottom w:val="single" w:color="D9D9D9" w:sz="2" w:space="0"/>
              <w:right w:val="single" w:color="D9D9D9" w:sz="6" w:space="0"/>
            </w:tcBorders>
            <w:vAlign w:val="center"/>
          </w:tcPr>
          <w:p w14:paraId="4D8E88EB">
            <w:pPr>
              <w:pStyle w:val="23"/>
              <w:bidi w:val="0"/>
              <w:spacing w:before="0" w:after="0" w:line="240" w:lineRule="auto"/>
              <w:ind w:left="0" w:right="0" w:firstLine="0"/>
              <w:jc w:val="left"/>
            </w:pPr>
            <w:r>
              <w:rPr>
                <w:sz w:val="18"/>
                <w:szCs w:val="18"/>
              </w:rPr>
              <w:t>Visualización de RF sin demodular un protocolo.</w:t>
            </w:r>
          </w:p>
        </w:tc>
      </w:tr>
      <w:tr w14:paraId="77E155A1">
        <w:tblPrEx>
          <w:tblCellMar>
            <w:top w:w="75" w:type="dxa"/>
            <w:left w:w="75" w:type="dxa"/>
            <w:bottom w:w="75" w:type="dxa"/>
            <w:right w:w="75" w:type="dxa"/>
          </w:tblCellMar>
        </w:tblPrEx>
        <w:trPr>
          <w:cantSplit/>
        </w:trPr>
        <w:tc>
          <w:tcPr>
            <w:tcW w:w="1453" w:type="dxa"/>
            <w:tcBorders>
              <w:left w:val="single" w:color="D9D9D9" w:sz="6" w:space="0"/>
              <w:bottom w:val="single" w:color="D9D9D9" w:sz="2" w:space="0"/>
              <w:right w:val="single" w:color="D9D9D9" w:sz="6" w:space="0"/>
            </w:tcBorders>
            <w:vAlign w:val="center"/>
          </w:tcPr>
          <w:p w14:paraId="519828BF">
            <w:pPr>
              <w:pStyle w:val="23"/>
              <w:bidi w:val="0"/>
              <w:spacing w:before="0" w:after="0" w:line="240" w:lineRule="auto"/>
              <w:ind w:left="0" w:right="0" w:firstLine="0"/>
              <w:jc w:val="left"/>
            </w:pPr>
            <w:r>
              <w:rPr>
                <w:sz w:val="18"/>
                <w:szCs w:val="18"/>
              </w:rPr>
              <w:t>FM: medición</w:t>
            </w:r>
          </w:p>
        </w:tc>
        <w:tc>
          <w:tcPr>
            <w:tcW w:w="2524" w:type="dxa"/>
            <w:tcBorders>
              <w:left w:val="single" w:color="D9D9D9" w:sz="2" w:space="0"/>
              <w:bottom w:val="single" w:color="D9D9D9" w:sz="2" w:space="0"/>
              <w:right w:val="single" w:color="D9D9D9" w:sz="6" w:space="0"/>
            </w:tcBorders>
            <w:vAlign w:val="center"/>
          </w:tcPr>
          <w:p w14:paraId="711AE7FF">
            <w:pPr>
              <w:pStyle w:val="23"/>
              <w:bidi w:val="0"/>
              <w:spacing w:before="0" w:after="0" w:line="240" w:lineRule="auto"/>
              <w:ind w:left="0" w:right="0" w:firstLine="0"/>
              <w:jc w:val="left"/>
            </w:pPr>
            <w:r>
              <w:rPr>
                <w:sz w:val="18"/>
                <w:szCs w:val="18"/>
              </w:rPr>
              <w:t>Multiplex FM, piloto, canales L/R y RDS</w:t>
            </w:r>
          </w:p>
        </w:tc>
        <w:tc>
          <w:tcPr>
            <w:tcW w:w="3671" w:type="dxa"/>
            <w:tcBorders>
              <w:left w:val="single" w:color="D9D9D9" w:sz="2" w:space="0"/>
              <w:bottom w:val="single" w:color="D9D9D9" w:sz="2" w:space="0"/>
              <w:right w:val="single" w:color="D9D9D9" w:sz="6" w:space="0"/>
            </w:tcBorders>
            <w:vAlign w:val="center"/>
          </w:tcPr>
          <w:p w14:paraId="549182C4">
            <w:pPr>
              <w:pStyle w:val="23"/>
              <w:bidi w:val="0"/>
              <w:spacing w:before="0" w:after="0" w:line="240" w:lineRule="auto"/>
              <w:ind w:left="0" w:right="0" w:firstLine="0"/>
              <w:jc w:val="left"/>
            </w:pPr>
            <w:r>
              <w:rPr>
                <w:sz w:val="18"/>
                <w:szCs w:val="18"/>
              </w:rPr>
              <w:t>Prioriza la resolución del espectro multiplex; no reproduce audio en vivo.</w:t>
            </w:r>
          </w:p>
        </w:tc>
      </w:tr>
      <w:tr w14:paraId="3AC65AD0">
        <w:tblPrEx>
          <w:tblCellMar>
            <w:top w:w="75" w:type="dxa"/>
            <w:left w:w="75" w:type="dxa"/>
            <w:bottom w:w="75" w:type="dxa"/>
            <w:right w:w="75" w:type="dxa"/>
          </w:tblCellMar>
        </w:tblPrEx>
        <w:trPr>
          <w:cantSplit/>
        </w:trPr>
        <w:tc>
          <w:tcPr>
            <w:tcW w:w="1453" w:type="dxa"/>
            <w:tcBorders>
              <w:left w:val="single" w:color="D9D9D9" w:sz="6" w:space="0"/>
              <w:bottom w:val="single" w:color="D9D9D9" w:sz="2" w:space="0"/>
              <w:right w:val="single" w:color="D9D9D9" w:sz="6" w:space="0"/>
            </w:tcBorders>
            <w:vAlign w:val="center"/>
          </w:tcPr>
          <w:p w14:paraId="2BE551C9">
            <w:pPr>
              <w:pStyle w:val="23"/>
              <w:bidi w:val="0"/>
              <w:spacing w:before="0" w:after="0" w:line="240" w:lineRule="auto"/>
              <w:ind w:left="0" w:right="0" w:firstLine="0"/>
              <w:jc w:val="left"/>
            </w:pPr>
            <w:r>
              <w:rPr>
                <w:sz w:val="18"/>
                <w:szCs w:val="18"/>
              </w:rPr>
              <w:t>FM: escucha</w:t>
            </w:r>
          </w:p>
        </w:tc>
        <w:tc>
          <w:tcPr>
            <w:tcW w:w="2524" w:type="dxa"/>
            <w:tcBorders>
              <w:left w:val="single" w:color="D9D9D9" w:sz="2" w:space="0"/>
              <w:bottom w:val="single" w:color="D9D9D9" w:sz="2" w:space="0"/>
              <w:right w:val="single" w:color="D9D9D9" w:sz="6" w:space="0"/>
            </w:tcBorders>
            <w:vAlign w:val="center"/>
          </w:tcPr>
          <w:p w14:paraId="2F06E2F9">
            <w:pPr>
              <w:pStyle w:val="23"/>
              <w:bidi w:val="0"/>
              <w:spacing w:before="0" w:after="0" w:line="240" w:lineRule="auto"/>
              <w:ind w:left="0" w:right="0" w:firstLine="0"/>
              <w:jc w:val="left"/>
            </w:pPr>
            <w:r>
              <w:rPr>
                <w:sz w:val="18"/>
                <w:szCs w:val="18"/>
              </w:rPr>
              <w:t>Las mismas vistas FM y audio estéreo en vivo</w:t>
            </w:r>
          </w:p>
        </w:tc>
        <w:tc>
          <w:tcPr>
            <w:tcW w:w="3671" w:type="dxa"/>
            <w:tcBorders>
              <w:left w:val="single" w:color="D9D9D9" w:sz="2" w:space="0"/>
              <w:bottom w:val="single" w:color="D9D9D9" w:sz="2" w:space="0"/>
              <w:right w:val="single" w:color="D9D9D9" w:sz="6" w:space="0"/>
            </w:tcBorders>
            <w:vAlign w:val="center"/>
          </w:tcPr>
          <w:p w14:paraId="004865DE">
            <w:pPr>
              <w:pStyle w:val="23"/>
              <w:bidi w:val="0"/>
              <w:spacing w:before="0" w:after="0" w:line="240" w:lineRule="auto"/>
              <w:ind w:left="0" w:right="0" w:firstLine="0"/>
              <w:jc w:val="left"/>
            </w:pPr>
            <w:r>
              <w:rPr>
                <w:sz w:val="18"/>
                <w:szCs w:val="18"/>
              </w:rPr>
              <w:t>Procesa bloques para mantener la reproducción de los canales elegidos.</w:t>
            </w:r>
          </w:p>
        </w:tc>
      </w:tr>
      <w:tr w14:paraId="375138E7">
        <w:tblPrEx>
          <w:tblCellMar>
            <w:top w:w="75" w:type="dxa"/>
            <w:left w:w="75" w:type="dxa"/>
            <w:bottom w:w="75" w:type="dxa"/>
            <w:right w:w="75" w:type="dxa"/>
          </w:tblCellMar>
        </w:tblPrEx>
        <w:trPr>
          <w:cantSplit/>
        </w:trPr>
        <w:tc>
          <w:tcPr>
            <w:tcW w:w="1453" w:type="dxa"/>
            <w:tcBorders>
              <w:left w:val="single" w:color="D9D9D9" w:sz="6" w:space="0"/>
              <w:bottom w:val="single" w:color="D9D9D9" w:sz="2" w:space="0"/>
              <w:right w:val="single" w:color="D9D9D9" w:sz="6" w:space="0"/>
            </w:tcBorders>
            <w:vAlign w:val="center"/>
          </w:tcPr>
          <w:p w14:paraId="77C1238D">
            <w:pPr>
              <w:pStyle w:val="23"/>
              <w:bidi w:val="0"/>
              <w:spacing w:before="0" w:after="0" w:line="240" w:lineRule="auto"/>
              <w:ind w:left="0" w:right="0" w:firstLine="0"/>
              <w:jc w:val="left"/>
            </w:pPr>
            <w:r>
              <w:rPr>
                <w:sz w:val="18"/>
                <w:szCs w:val="18"/>
              </w:rPr>
              <w:t>WiFi 802.11a/g</w:t>
            </w:r>
          </w:p>
        </w:tc>
        <w:tc>
          <w:tcPr>
            <w:tcW w:w="2524" w:type="dxa"/>
            <w:tcBorders>
              <w:left w:val="single" w:color="D9D9D9" w:sz="2" w:space="0"/>
              <w:bottom w:val="single" w:color="D9D9D9" w:sz="2" w:space="0"/>
              <w:right w:val="single" w:color="D9D9D9" w:sz="6" w:space="0"/>
            </w:tcBorders>
            <w:vAlign w:val="center"/>
          </w:tcPr>
          <w:p w14:paraId="0641FBDB">
            <w:pPr>
              <w:pStyle w:val="23"/>
              <w:bidi w:val="0"/>
              <w:spacing w:before="0" w:after="0" w:line="240" w:lineRule="auto"/>
              <w:ind w:left="0" w:right="0" w:firstLine="0"/>
              <w:jc w:val="left"/>
            </w:pPr>
            <w:r>
              <w:rPr>
                <w:sz w:val="18"/>
                <w:szCs w:val="18"/>
              </w:rPr>
              <w:t>Sincronización OFDM, SIGNAL, constelación y EVM</w:t>
            </w:r>
          </w:p>
        </w:tc>
        <w:tc>
          <w:tcPr>
            <w:tcW w:w="3671" w:type="dxa"/>
            <w:tcBorders>
              <w:left w:val="single" w:color="D9D9D9" w:sz="2" w:space="0"/>
              <w:bottom w:val="single" w:color="D9D9D9" w:sz="2" w:space="0"/>
              <w:right w:val="single" w:color="D9D9D9" w:sz="6" w:space="0"/>
            </w:tcBorders>
            <w:vAlign w:val="center"/>
          </w:tcPr>
          <w:p w14:paraId="0474B7F1">
            <w:pPr>
              <w:pStyle w:val="23"/>
              <w:bidi w:val="0"/>
              <w:spacing w:before="0" w:after="0" w:line="240" w:lineRule="auto"/>
              <w:ind w:left="0" w:right="0" w:firstLine="0"/>
              <w:jc w:val="left"/>
            </w:pPr>
            <w:r>
              <w:rPr>
                <w:sz w:val="18"/>
                <w:szCs w:val="18"/>
              </w:rPr>
              <w:t>Análisis físico de tramas legacy; no ofrece una pila WiFi ni tráfico IP.</w:t>
            </w:r>
          </w:p>
        </w:tc>
      </w:tr>
      <w:tr w14:paraId="1DC3BFEC">
        <w:tblPrEx>
          <w:tblCellMar>
            <w:top w:w="75" w:type="dxa"/>
            <w:left w:w="75" w:type="dxa"/>
            <w:bottom w:w="75" w:type="dxa"/>
            <w:right w:w="75" w:type="dxa"/>
          </w:tblCellMar>
        </w:tblPrEx>
        <w:trPr>
          <w:cantSplit/>
        </w:trPr>
        <w:tc>
          <w:tcPr>
            <w:tcW w:w="1453" w:type="dxa"/>
            <w:tcBorders>
              <w:left w:val="single" w:color="D9D9D9" w:sz="6" w:space="0"/>
              <w:bottom w:val="single" w:color="D9D9D9" w:sz="2" w:space="0"/>
              <w:right w:val="single" w:color="D9D9D9" w:sz="6" w:space="0"/>
            </w:tcBorders>
            <w:vAlign w:val="center"/>
          </w:tcPr>
          <w:p w14:paraId="61DC2DFE">
            <w:pPr>
              <w:pStyle w:val="23"/>
              <w:bidi w:val="0"/>
              <w:spacing w:before="0" w:after="0" w:line="240" w:lineRule="auto"/>
              <w:ind w:left="0" w:right="0" w:firstLine="0"/>
              <w:jc w:val="left"/>
            </w:pPr>
            <w:r>
              <w:rPr>
                <w:sz w:val="18"/>
                <w:szCs w:val="18"/>
              </w:rPr>
              <w:t>BLE</w:t>
            </w:r>
          </w:p>
        </w:tc>
        <w:tc>
          <w:tcPr>
            <w:tcW w:w="2524" w:type="dxa"/>
            <w:tcBorders>
              <w:left w:val="single" w:color="D9D9D9" w:sz="2" w:space="0"/>
              <w:bottom w:val="single" w:color="D9D9D9" w:sz="2" w:space="0"/>
              <w:right w:val="single" w:color="D9D9D9" w:sz="6" w:space="0"/>
            </w:tcBorders>
            <w:vAlign w:val="center"/>
          </w:tcPr>
          <w:p w14:paraId="7BB29887">
            <w:pPr>
              <w:pStyle w:val="23"/>
              <w:bidi w:val="0"/>
              <w:spacing w:before="0" w:after="0" w:line="240" w:lineRule="auto"/>
              <w:ind w:left="0" w:right="0" w:firstLine="0"/>
              <w:jc w:val="left"/>
            </w:pPr>
            <w:r>
              <w:rPr>
                <w:sz w:val="18"/>
                <w:szCs w:val="18"/>
              </w:rPr>
              <w:t>Preámbulo y métricas LE 1M/2M; anuncios legacy LE 1M</w:t>
            </w:r>
          </w:p>
        </w:tc>
        <w:tc>
          <w:tcPr>
            <w:tcW w:w="3671" w:type="dxa"/>
            <w:tcBorders>
              <w:left w:val="single" w:color="D9D9D9" w:sz="2" w:space="0"/>
              <w:bottom w:val="single" w:color="D9D9D9" w:sz="2" w:space="0"/>
              <w:right w:val="single" w:color="D9D9D9" w:sz="6" w:space="0"/>
            </w:tcBorders>
            <w:vAlign w:val="center"/>
          </w:tcPr>
          <w:p w14:paraId="1B5075C4">
            <w:pPr>
              <w:pStyle w:val="23"/>
              <w:bidi w:val="0"/>
              <w:spacing w:before="0" w:after="0" w:line="240" w:lineRule="auto"/>
              <w:ind w:left="0" w:right="0" w:firstLine="0"/>
              <w:jc w:val="left"/>
            </w:pPr>
            <w:r>
              <w:rPr>
                <w:sz w:val="18"/>
                <w:szCs w:val="18"/>
              </w:rPr>
              <w:t>Los anuncios mostrados se validan con CRC; LE 2M se usa para métricas físicas.</w:t>
            </w:r>
          </w:p>
        </w:tc>
      </w:tr>
      <w:tr w14:paraId="57855972">
        <w:tblPrEx>
          <w:tblCellMar>
            <w:top w:w="75" w:type="dxa"/>
            <w:left w:w="75" w:type="dxa"/>
            <w:bottom w:w="75" w:type="dxa"/>
            <w:right w:w="75" w:type="dxa"/>
          </w:tblCellMar>
        </w:tblPrEx>
        <w:trPr>
          <w:cantSplit/>
        </w:trPr>
        <w:tc>
          <w:tcPr>
            <w:tcW w:w="1453" w:type="dxa"/>
            <w:tcBorders>
              <w:left w:val="single" w:color="D9D9D9" w:sz="6" w:space="0"/>
              <w:bottom w:val="single" w:color="D9D9D9" w:sz="2" w:space="0"/>
              <w:right w:val="single" w:color="D9D9D9" w:sz="6" w:space="0"/>
            </w:tcBorders>
            <w:vAlign w:val="center"/>
          </w:tcPr>
          <w:p w14:paraId="2DFFB277">
            <w:pPr>
              <w:pStyle w:val="23"/>
              <w:bidi w:val="0"/>
              <w:spacing w:before="0" w:after="0" w:line="240" w:lineRule="auto"/>
              <w:ind w:left="0" w:right="0" w:firstLine="0"/>
              <w:jc w:val="left"/>
            </w:pPr>
            <w:r>
              <w:rPr>
                <w:sz w:val="18"/>
                <w:szCs w:val="18"/>
              </w:rPr>
              <w:t>LoRa</w:t>
            </w:r>
          </w:p>
        </w:tc>
        <w:tc>
          <w:tcPr>
            <w:tcW w:w="2524" w:type="dxa"/>
            <w:tcBorders>
              <w:left w:val="single" w:color="D9D9D9" w:sz="2" w:space="0"/>
              <w:bottom w:val="single" w:color="D9D9D9" w:sz="2" w:space="0"/>
              <w:right w:val="single" w:color="D9D9D9" w:sz="6" w:space="0"/>
            </w:tcBorders>
            <w:vAlign w:val="center"/>
          </w:tcPr>
          <w:p w14:paraId="3F3BD7F8">
            <w:pPr>
              <w:pStyle w:val="23"/>
              <w:bidi w:val="0"/>
              <w:spacing w:before="0" w:after="0" w:line="240" w:lineRule="auto"/>
              <w:ind w:left="0" w:right="0" w:firstLine="0"/>
              <w:jc w:val="left"/>
            </w:pPr>
            <w:r>
              <w:rPr>
                <w:sz w:val="18"/>
                <w:szCs w:val="18"/>
              </w:rPr>
              <w:t>Encabezado, payload físico, CRC cuando existe y símbolos</w:t>
            </w:r>
          </w:p>
        </w:tc>
        <w:tc>
          <w:tcPr>
            <w:tcW w:w="3671" w:type="dxa"/>
            <w:tcBorders>
              <w:left w:val="single" w:color="D9D9D9" w:sz="2" w:space="0"/>
              <w:bottom w:val="single" w:color="D9D9D9" w:sz="2" w:space="0"/>
              <w:right w:val="single" w:color="D9D9D9" w:sz="6" w:space="0"/>
            </w:tcBorders>
            <w:vAlign w:val="center"/>
          </w:tcPr>
          <w:p w14:paraId="3C0A1105">
            <w:pPr>
              <w:pStyle w:val="23"/>
              <w:bidi w:val="0"/>
              <w:spacing w:before="0" w:after="0" w:line="240" w:lineRule="auto"/>
              <w:ind w:left="0" w:right="0" w:firstLine="0"/>
              <w:jc w:val="left"/>
            </w:pPr>
            <w:r>
              <w:rPr>
                <w:sz w:val="18"/>
                <w:szCs w:val="18"/>
              </w:rPr>
              <w:t>Análisis de tramas LoRa de la capa física.</w:t>
            </w:r>
          </w:p>
        </w:tc>
      </w:tr>
      <w:tr w14:paraId="2F332738">
        <w:tblPrEx>
          <w:tblCellMar>
            <w:top w:w="75" w:type="dxa"/>
            <w:left w:w="75" w:type="dxa"/>
            <w:bottom w:w="75" w:type="dxa"/>
            <w:right w:w="75" w:type="dxa"/>
          </w:tblCellMar>
        </w:tblPrEx>
        <w:trPr>
          <w:cantSplit/>
        </w:trPr>
        <w:tc>
          <w:tcPr>
            <w:tcW w:w="1453" w:type="dxa"/>
            <w:tcBorders>
              <w:left w:val="single" w:color="D9D9D9" w:sz="6" w:space="0"/>
              <w:bottom w:val="single" w:color="D9D9D9" w:sz="6" w:space="0"/>
              <w:right w:val="single" w:color="D9D9D9" w:sz="6" w:space="0"/>
            </w:tcBorders>
            <w:vAlign w:val="center"/>
          </w:tcPr>
          <w:p w14:paraId="0EE23D62">
            <w:pPr>
              <w:pStyle w:val="23"/>
              <w:bidi w:val="0"/>
              <w:spacing w:before="0" w:after="0" w:line="240" w:lineRule="auto"/>
              <w:ind w:left="0" w:right="0" w:firstLine="0"/>
              <w:jc w:val="left"/>
            </w:pPr>
            <w:r>
              <w:rPr>
                <w:sz w:val="18"/>
                <w:szCs w:val="18"/>
              </w:rPr>
              <w:t>LTE downlink/uplink</w:t>
            </w:r>
          </w:p>
        </w:tc>
        <w:tc>
          <w:tcPr>
            <w:tcW w:w="2524" w:type="dxa"/>
            <w:tcBorders>
              <w:left w:val="single" w:color="D9D9D9" w:sz="2" w:space="0"/>
              <w:bottom w:val="single" w:color="D9D9D9" w:sz="6" w:space="0"/>
              <w:right w:val="single" w:color="D9D9D9" w:sz="6" w:space="0"/>
            </w:tcBorders>
            <w:vAlign w:val="center"/>
          </w:tcPr>
          <w:p w14:paraId="3961B8F6">
            <w:pPr>
              <w:pStyle w:val="23"/>
              <w:bidi w:val="0"/>
              <w:spacing w:before="0" w:after="0" w:line="240" w:lineRule="auto"/>
              <w:ind w:left="0" w:right="0" w:firstLine="0"/>
              <w:jc w:val="left"/>
            </w:pPr>
            <w:r>
              <w:rPr>
                <w:sz w:val="18"/>
                <w:szCs w:val="18"/>
              </w:rPr>
              <w:t>Sincronización, métricas, constelaciones y recursos</w:t>
            </w:r>
          </w:p>
        </w:tc>
        <w:tc>
          <w:tcPr>
            <w:tcW w:w="3671" w:type="dxa"/>
            <w:tcBorders>
              <w:left w:val="single" w:color="D9D9D9" w:sz="2" w:space="0"/>
              <w:bottom w:val="single" w:color="D9D9D9" w:sz="6" w:space="0"/>
              <w:right w:val="single" w:color="D9D9D9" w:sz="6" w:space="0"/>
            </w:tcBorders>
            <w:vAlign w:val="center"/>
          </w:tcPr>
          <w:p w14:paraId="6BEA3D19">
            <w:pPr>
              <w:pStyle w:val="23"/>
              <w:bidi w:val="0"/>
              <w:spacing w:before="0" w:after="0" w:line="240" w:lineRule="auto"/>
              <w:jc w:val="left"/>
            </w:pPr>
            <w:r>
              <w:rPr>
                <w:sz w:val="18"/>
                <w:szCs w:val="18"/>
              </w:rPr>
              <w:t>Análisis de señales radio; no es un módem LTE completo.</w:t>
            </w:r>
          </w:p>
        </w:tc>
      </w:tr>
    </w:tbl>
    <w:p w14:paraId="1A1D9E58">
      <w:pPr>
        <w:pStyle w:val="6"/>
        <w:keepNext/>
        <w:keepLines/>
        <w:bidi w:val="0"/>
        <w:jc w:val="left"/>
      </w:pPr>
      <w:r>
        <w:t>Analizador de espectro</w:t>
      </w:r>
    </w:p>
    <w:p w14:paraId="5B8C1873">
      <w:pPr>
        <w:pStyle w:val="4"/>
        <w:bidi w:val="0"/>
        <w:jc w:val="left"/>
      </w:pPr>
      <w:r>
        <w:fldChar w:fldCharType="begin"/>
      </w:r>
      <w:r>
        <w:instrText xml:space="preserve"> HYPERLINK "demodulador/dsp/demoduladores/sa.py" \h </w:instrText>
      </w:r>
      <w:r>
        <w:fldChar w:fldCharType="separate"/>
      </w:r>
      <w:r>
        <w:rPr>
          <w:rStyle w:val="9"/>
        </w:rPr>
        <w:t>SpectrumAnalyzer</w:t>
      </w:r>
      <w:r>
        <w:rPr>
          <w:rStyle w:val="9"/>
        </w:rPr>
        <w:fldChar w:fldCharType="end"/>
      </w:r>
      <w:r>
        <w:t xml:space="preserve"> calcula la potencia espectral del IQ con tamaños de FFT de 1024 a 65536 puntos, indicación de RBW y ventanas seleccionables (Rectangular, Hanning, Hamming, Blackman, Blackman-Harris y Flat Top). La interfaz agrega espectrograma, hasta 4 trazas simultáneas (Clear &amp; Write, Max Hold, Min Hold, Average) y hasta 6 marcadores (Normal, Delta, Peak Search, Next Peak y Track Peak).</w:t>
      </w:r>
    </w:p>
    <w:p w14:paraId="1D24363C">
      <w:pPr>
        <w:pStyle w:val="6"/>
        <w:keepNext/>
        <w:keepLines/>
        <w:bidi w:val="0"/>
        <w:jc w:val="left"/>
      </w:pPr>
      <w:r>
        <w:t>FM: medición y FM: escucha</w:t>
      </w:r>
    </w:p>
    <w:p w14:paraId="3022E6AB">
      <w:pPr>
        <w:pStyle w:val="4"/>
        <w:bidi w:val="0"/>
        <w:jc w:val="left"/>
      </w:pPr>
      <w:r>
        <w:t xml:space="preserve">Los dos modos comparten la visualización del espectro RF, el espectro multiplex, la desviación temporal y los canales izquierdo y derecho. </w:t>
      </w:r>
      <w:r>
        <w:fldChar w:fldCharType="begin"/>
      </w:r>
      <w:r>
        <w:instrText xml:space="preserve"> HYPERLINK "demodulador/dsp/demoduladores/wbfm.py" \h </w:instrText>
      </w:r>
      <w:r>
        <w:fldChar w:fldCharType="separate"/>
      </w:r>
      <w:r>
        <w:rPr>
          <w:rStyle w:val="9"/>
        </w:rPr>
        <w:t>wbfm.py</w:t>
      </w:r>
      <w:r>
        <w:rPr>
          <w:rStyle w:val="9"/>
        </w:rPr>
        <w:fldChar w:fldCharType="end"/>
      </w:r>
      <w:r>
        <w:t xml:space="preserve"> procesa ventanas de medición y presenta el espectro multiplex con mayor resolución. </w:t>
      </w:r>
      <w:r>
        <w:fldChar w:fldCharType="begin"/>
      </w:r>
      <w:r>
        <w:instrText xml:space="preserve"> HYPERLINK "demodulador/dsp/demoduladores/wbfm_audio.py" \h </w:instrText>
      </w:r>
      <w:r>
        <w:fldChar w:fldCharType="separate"/>
      </w:r>
      <w:r>
        <w:rPr>
          <w:rStyle w:val="9"/>
        </w:rPr>
        <w:t>wbfm_audio.py</w:t>
      </w:r>
      <w:r>
        <w:rPr>
          <w:rStyle w:val="9"/>
        </w:rPr>
        <w:fldChar w:fldCharType="end"/>
      </w:r>
      <w:r>
        <w:t xml:space="preserve"> procesa bloques más cortos y entrega estéreo a </w:t>
      </w:r>
      <w:r>
        <w:fldChar w:fldCharType="begin"/>
      </w:r>
      <w:r>
        <w:instrText xml:space="preserve"> HYPERLINK "demodulador/audio_manager.py" \h </w:instrText>
      </w:r>
      <w:r>
        <w:fldChar w:fldCharType="separate"/>
      </w:r>
      <w:r>
        <w:rPr>
          <w:rStyle w:val="9"/>
        </w:rPr>
        <w:t>AudioManager</w:t>
      </w:r>
      <w:r>
        <w:rPr>
          <w:rStyle w:val="9"/>
        </w:rPr>
        <w:fldChar w:fldCharType="end"/>
      </w:r>
      <w:r>
        <w:t>, que genera la salida a 48 kHz con selección de desénfasis (75 µs / 50 µs). Si no detecta un piloto estéreo utilizable, la ruta de escucha entrega mono a ambos canales. El panel informa desviación pico máxima, mínima y RMS (kHz), offset DC, nivel de piloto de 19 kHz (dB), enganche del PLL de 38 kHz y porcentaje de stereo blend, además de admitir marcadores sobre el espectro multiplex MPX.</w:t>
      </w:r>
    </w:p>
    <w:p w14:paraId="3251F94E">
      <w:pPr>
        <w:pStyle w:val="4"/>
        <w:bidi w:val="0"/>
        <w:jc w:val="left"/>
      </w:pPr>
      <w:r>
        <w:t xml:space="preserve">Ambos usan </w:t>
      </w:r>
      <w:r>
        <w:fldChar w:fldCharType="begin"/>
      </w:r>
      <w:r>
        <w:instrText xml:space="preserve"> HYPERLINK "demodulador/dsp/rds.py" \h </w:instrText>
      </w:r>
      <w:r>
        <w:fldChar w:fldCharType="separate"/>
      </w:r>
      <w:r>
        <w:rPr>
          <w:rStyle w:val="9"/>
        </w:rPr>
        <w:t>RDSDecoder</w:t>
      </w:r>
      <w:r>
        <w:rPr>
          <w:rStyle w:val="9"/>
        </w:rPr>
        <w:fldChar w:fldCharType="end"/>
      </w:r>
      <w:r>
        <w:t xml:space="preserve"> sobre la subportadora multiplex de 57 kHz. El panel muestra PI, PS, el código PTY y RadioText al reunir grupos válidos 0A/0B o 2A/2B. Un piloto de 19 kHz detectable no garantiza que la emisora transmita RDS. La interpretación de caracteres extendidos RDS aún usa una aproximación Latin-1; el panel puede permanecer en espera si la estación no transmite esos grupos o la señal no alcanza para validarlos.</w:t>
      </w:r>
    </w:p>
    <w:p w14:paraId="44250CD1">
      <w:pPr>
        <w:pStyle w:val="6"/>
        <w:keepNext/>
        <w:keepLines/>
        <w:bidi w:val="0"/>
        <w:jc w:val="left"/>
      </w:pPr>
      <w:r>
        <w:t>WiFi 802.11a/g</w:t>
      </w:r>
    </w:p>
    <w:p w14:paraId="68B41B8E">
      <w:pPr>
        <w:pStyle w:val="4"/>
        <w:bidi w:val="0"/>
        <w:jc w:val="left"/>
      </w:pPr>
      <w:r>
        <w:fldChar w:fldCharType="begin"/>
      </w:r>
      <w:r>
        <w:instrText xml:space="preserve"> HYPERLINK "demodulador/dsp/demoduladores/wifi_ag.py" \h </w:instrText>
      </w:r>
      <w:r>
        <w:fldChar w:fldCharType="separate"/>
      </w:r>
      <w:r>
        <w:rPr>
          <w:rStyle w:val="9"/>
        </w:rPr>
        <w:t>DemoduladorWiFiAG</w:t>
      </w:r>
      <w:r>
        <w:rPr>
          <w:rStyle w:val="9"/>
        </w:rPr>
        <w:fldChar w:fldCharType="end"/>
      </w:r>
      <w:r>
        <w:t xml:space="preserve"> detecta el preámbulo, ajusta tiempo y desplazamiento de frecuencia con las secuencias STS/LTS, estima el canal y decodifica el campo SIGNAL. Muestra métricas de CFO (kHz), SNR (dB), EVM RMS (% y dB), constelación ecualizada y los campos decodificados del símbolo SIGNAL (esquema de modulación, tasa en Mbps y longitud de PSDU). La ruta está centrada en tramas legacy 802.11a/g; una ráfaga HT mixed se descarta y el detector continúa buscando la siguiente trama legacy.</w:t>
      </w:r>
    </w:p>
    <w:p w14:paraId="5E59CDE8">
      <w:pPr>
        <w:pStyle w:val="6"/>
        <w:keepNext/>
        <w:keepLines/>
        <w:bidi w:val="0"/>
        <w:jc w:val="left"/>
      </w:pPr>
      <w:r>
        <w:t>Bluetooth Low Energy</w:t>
      </w:r>
    </w:p>
    <w:p w14:paraId="5D1FC02F">
      <w:pPr>
        <w:pStyle w:val="4"/>
        <w:bidi w:val="0"/>
        <w:jc w:val="left"/>
      </w:pPr>
      <w:r>
        <w:fldChar w:fldCharType="begin"/>
      </w:r>
      <w:r>
        <w:instrText xml:space="preserve"> HYPERLINK "demodulador/dsp/demoduladores/btle.py" \h </w:instrText>
      </w:r>
      <w:r>
        <w:fldChar w:fldCharType="separate"/>
      </w:r>
      <w:r>
        <w:rPr>
          <w:rStyle w:val="9"/>
        </w:rPr>
        <w:t>DemoduladorBTLE</w:t>
      </w:r>
      <w:r>
        <w:rPr>
          <w:rStyle w:val="9"/>
        </w:rPr>
        <w:fldChar w:fldCharType="end"/>
      </w:r>
      <w:r>
        <w:t xml:space="preserve"> busca ráfagas GFSK y sincroniza el preámbulo para LE 1M y LE 2M. En LE 1M, </w:t>
      </w:r>
      <w:r>
        <w:fldChar w:fldCharType="begin"/>
      </w:r>
      <w:r>
        <w:instrText xml:space="preserve"> HYPERLINK "demodulador/dsp/demoduladores/btle_frames.py" \h </w:instrText>
      </w:r>
      <w:r>
        <w:fldChar w:fldCharType="separate"/>
      </w:r>
      <w:r>
        <w:rPr>
          <w:rStyle w:val="9"/>
        </w:rPr>
        <w:t>btle_frames.py</w:t>
      </w:r>
      <w:r>
        <w:rPr>
          <w:rStyle w:val="9"/>
        </w:rPr>
        <w:fldChar w:fldCharType="end"/>
      </w:r>
      <w:r>
        <w:t xml:space="preserve"> interpreta anuncios legacy de los canales primarios, aplica dewhitening y verifica CRC-24 antes de publicarlos. Calcula las métricas de desviación de frecuencia GFSK (df_avg, f1_avg, f2_avg, relación f2/f1, desviación RMS y CFO) e identifica automáticamente el canal primario de advertising (37, 38 o 39) a partir de la frecuencia central para inicializar el LFSR de dewhitening. La interfaz conserva un historial deduplicado de paquetes y una vista de estructuras AD legibles. La vista LE 2M se limita a métricas de la capa física.</w:t>
      </w:r>
    </w:p>
    <w:p w14:paraId="1F8B0116">
      <w:pPr>
        <w:pStyle w:val="6"/>
        <w:keepNext/>
        <w:keepLines/>
        <w:bidi w:val="0"/>
        <w:jc w:val="left"/>
      </w:pPr>
      <w:r>
        <w:t>LoRa</w:t>
      </w:r>
    </w:p>
    <w:p w14:paraId="6D17418A">
      <w:pPr>
        <w:pStyle w:val="4"/>
        <w:bidi w:val="0"/>
        <w:jc w:val="left"/>
      </w:pPr>
      <w:r>
        <w:fldChar w:fldCharType="begin"/>
      </w:r>
      <w:r>
        <w:instrText xml:space="preserve"> HYPERLINK "demodulador/dsp/demoduladores/lora.py" \h </w:instrText>
      </w:r>
      <w:r>
        <w:fldChar w:fldCharType="separate"/>
      </w:r>
      <w:r>
        <w:rPr>
          <w:rStyle w:val="9"/>
        </w:rPr>
        <w:t>DemoduladorLoRa</w:t>
      </w:r>
      <w:r>
        <w:rPr>
          <w:rStyle w:val="9"/>
        </w:rPr>
        <w:fldChar w:fldCharType="end"/>
      </w:r>
      <w:r>
        <w:t xml:space="preserve"> administra el flujo de muestras y entrega ventanas a </w:t>
      </w:r>
      <w:r>
        <w:fldChar w:fldCharType="begin"/>
      </w:r>
      <w:r>
        <w:instrText xml:space="preserve"> HYPERLINK "demodulador/dsp/demoduladores/lora_core.py" \h </w:instrText>
      </w:r>
      <w:r>
        <w:fldChar w:fldCharType="separate"/>
      </w:r>
      <w:r>
        <w:rPr>
          <w:rStyle w:val="9"/>
        </w:rPr>
        <w:t>lora_core.py</w:t>
      </w:r>
      <w:r>
        <w:rPr>
          <w:rStyle w:val="9"/>
        </w:rPr>
        <w:fldChar w:fldCharType="end"/>
      </w:r>
      <w:r>
        <w:t>. El núcleo busca preámbulo y sync word, corrige desplazamientos de tiempo y frecuencia, y reconstruye el encabezado explícito y la carga útil. Reporta CFO, SNR, RSSI, Spreading Factor (SF7 a SF12), Coding Rate (CR), Sync Word, longitud de payload y validación del CRC de encabezado y de carga útil. La interfaz permite BW de 125, 250 o 500 kHz y SF7 a SF12. Los bytes reconstruidos corresponden directamente a la trama de la capa física.</w:t>
      </w:r>
    </w:p>
    <w:p w14:paraId="269BEC05">
      <w:pPr>
        <w:pStyle w:val="6"/>
        <w:keepNext/>
        <w:keepLines/>
        <w:bidi w:val="0"/>
        <w:jc w:val="left"/>
      </w:pPr>
      <w:r>
        <w:t>LTE downlink y uplink</w:t>
      </w:r>
    </w:p>
    <w:p w14:paraId="0CDC7135">
      <w:pPr>
        <w:pStyle w:val="4"/>
        <w:bidi w:val="0"/>
        <w:jc w:val="left"/>
      </w:pPr>
      <w:r>
        <w:fldChar w:fldCharType="begin"/>
      </w:r>
      <w:r>
        <w:instrText xml:space="preserve"> HYPERLINK "demodulador/dsp/demoduladores/lte_downlink.py" \h </w:instrText>
      </w:r>
      <w:r>
        <w:fldChar w:fldCharType="separate"/>
      </w:r>
      <w:r>
        <w:rPr>
          <w:rStyle w:val="9"/>
        </w:rPr>
        <w:t>lte_downlink.py</w:t>
      </w:r>
      <w:r>
        <w:rPr>
          <w:rStyle w:val="9"/>
        </w:rPr>
        <w:fldChar w:fldCharType="end"/>
      </w:r>
      <w:r>
        <w:t xml:space="preserve"> analiza sincronización PSS/SSS, estimación de canal mediante CRS, PBCH y otros recursos downlink para las vistas de constelación, métricas y grilla. </w:t>
      </w:r>
      <w:r>
        <w:fldChar w:fldCharType="begin"/>
      </w:r>
      <w:r>
        <w:instrText xml:space="preserve"> HYPERLINK "demodulador/dsp/demoduladores/lte_uplink.py" \h </w:instrText>
      </w:r>
      <w:r>
        <w:fldChar w:fldCharType="separate"/>
      </w:r>
      <w:r>
        <w:rPr>
          <w:rStyle w:val="9"/>
        </w:rPr>
        <w:t>lte_uplink.py</w:t>
      </w:r>
      <w:r>
        <w:rPr>
          <w:rStyle w:val="9"/>
        </w:rPr>
        <w:fldChar w:fldCharType="end"/>
      </w:r>
      <w:r>
        <w:t xml:space="preserve"> identifica automáticamente la banda FDD 3GPP y el par de frecuencia Uplink a partir de la portadora Downlink, operando en dos etapas (SEARCHING_DL → WAITING_UL): primero adquiere el N_ID_cell mediante PSS/SSS en Downlink y luego conmuta automáticamente la sintonía del SDR a la frecuencia Uplink conservando la Cell ID para generar las secuencias DMRS y demodular PUSCH. En Downlink se detectan ciegamente 1, 2 o 4 puertos de antena TX por máscara CRC de PBCH (con combinación Alamouti SFBC), se decodifica el MIB (N_RB_DL, SFN, PHICH) y se reportan CFO, SNR, RSRP, RSRQ, RSSI y EVM por canal (PBCH, PDCCH, PDSCH / DMRS, PUSCH). Estas vistas sirven para inspección física; no reconstruyen una sesión de datos LTE de extremo a extremo.</w:t>
      </w:r>
    </w:p>
    <w:p w14:paraId="538CA000">
      <w:pPr>
        <w:pStyle w:val="6"/>
        <w:keepNext/>
        <w:keepLines/>
        <w:bidi w:val="0"/>
        <w:jc w:val="left"/>
      </w:pPr>
      <w:r>
        <w:t>Tasas en recepción en vivo</w:t>
      </w:r>
    </w:p>
    <w:p w14:paraId="23247A27">
      <w:pPr>
        <w:pStyle w:val="4"/>
        <w:bidi w:val="0"/>
        <w:jc w:val="left"/>
      </w:pPr>
      <w:r>
        <w:t>La interfaz solicita 2,4 Ms/s para FM con RTL-SDR y 3 Ms/s para FM con otros equipos; LoRa usa 2 Ms/s, y WiFi y BLE solicitan 20 Ms/s. LTE selecciona la tasa según el ancho de banda y las capacidades del equipo. Al reproducir un archivo, el procesador toma la tasa de los metadatos de esa captura. Elegir un modo no hace que una SDR admita tasas fuera de sus capacidades.</w:t>
      </w:r>
    </w:p>
    <w:p>
      <w:pPr>
        <w:pStyle w:val="6"/>
        <w:keepNext/>
        <w:keepLines/>
        <w:bidi w:val="0"/>
        <w:jc w:val="left"/>
      </w:pPr>
      <w:r>
        <w:t>Compatibilidad por SDR y controles de ganancia</w:t>
      </w:r>
    </w:p>
    <w:tbl>
      <w:tblPr>
        <w:tblStyle w:val="8"/>
        <w:tblW w:w="7650" w:type="dxa"/>
        <w:tblInd w:w="-7" w:type="dxa"/>
        <w:tblLayout w:type="fixed"/>
        <w:tblCellMar>
          <w:top w:w="75" w:type="dxa"/>
          <w:left w:w="75" w:type="dxa"/>
          <w:bottom w:w="75" w:type="dxa"/>
          <w:right w:w="75" w:type="dxa"/>
        </w:tblCellMar>
      </w:tblPr>
      <w:tblGrid>
        <w:gridCol w:w="1453"/>
        <w:gridCol w:w="2524"/>
        <w:gridCol w:w="3671"/>
      </w:tblGrid>
      <w:tr>
        <w:tblPrEx>
          <w:tblCellMar>
            <w:top w:w="75" w:type="dxa"/>
            <w:left w:w="75" w:type="dxa"/>
            <w:bottom w:w="75" w:type="dxa"/>
            <w:right w:w="75" w:type="dxa"/>
          </w:tblCellMar>
        </w:tblPrEx>
        <w:trPr>
          <w:cantSplit/>
          <w:tblHeader/>
        </w:trPr>
        <w:tc>
          <w:tcPr>
            <w:tcW w:w="1453" w:type="dxa"/>
            <w:tcBorders>
              <w:top w:val="single" w:color="D9D9D9" w:sz="6" w:space="0"/>
              <w:left w:val="single" w:color="D9D9D9" w:sz="6" w:space="0"/>
              <w:bottom w:val="single" w:color="D9D9D9" w:sz="2" w:space="0"/>
              <w:right w:val="single" w:color="D9D9D9" w:sz="6" w:space="0"/>
            </w:tcBorders>
            <w:vAlign w:val="center"/>
          </w:tcPr>
          <w:p>
            <w:pPr>
              <w:pStyle w:val="27"/>
              <w:bidi w:val="0"/>
              <w:spacing w:before="0" w:after="0" w:line="240" w:lineRule="auto"/>
              <w:jc w:val="left"/>
            </w:pPr>
            <w:r>
              <w:rPr>
                <w:rStyle w:val="11"/>
                <w:sz w:val="18"/>
                <w:szCs w:val="18"/>
              </w:rPr>
              <w:t>Equipo SDR</w:t>
            </w:r>
          </w:p>
        </w:tc>
        <w:tc>
          <w:tcPr>
            <w:tcW w:w="2524" w:type="dxa"/>
            <w:tcBorders>
              <w:top w:val="single" w:color="D9D9D9" w:sz="6" w:space="0"/>
              <w:left w:val="single" w:color="D9D9D9" w:sz="2" w:space="0"/>
              <w:bottom w:val="single" w:color="D9D9D9" w:sz="2" w:space="0"/>
              <w:right w:val="single" w:color="D9D9D9" w:sz="6" w:space="0"/>
            </w:tcBorders>
            <w:vAlign w:val="center"/>
          </w:tcPr>
          <w:p>
            <w:pPr>
              <w:pStyle w:val="27"/>
              <w:bidi w:val="0"/>
              <w:spacing w:before="0" w:after="0" w:line="240" w:lineRule="auto"/>
              <w:jc w:val="left"/>
            </w:pPr>
            <w:r>
              <w:rPr>
                <w:rStyle w:val="11"/>
                <w:sz w:val="18"/>
                <w:szCs w:val="18"/>
              </w:rPr>
              <w:t>Tasa máx. y modos en vivo</w:t>
            </w:r>
          </w:p>
        </w:tc>
        <w:tc>
          <w:tcPr>
            <w:tcW w:w="3671" w:type="dxa"/>
            <w:tcBorders>
              <w:top w:val="single" w:color="D9D9D9" w:sz="6" w:space="0"/>
              <w:left w:val="single" w:color="D9D9D9" w:sz="2" w:space="0"/>
              <w:bottom w:val="single" w:color="D9D9D9" w:sz="2" w:space="0"/>
              <w:right w:val="single" w:color="D9D9D9" w:sz="6" w:space="0"/>
            </w:tcBorders>
            <w:vAlign w:val="center"/>
          </w:tcPr>
          <w:p>
            <w:pPr>
              <w:pStyle w:val="27"/>
              <w:bidi w:val="0"/>
              <w:spacing w:before="0" w:after="0" w:line="240" w:lineRule="auto"/>
              <w:jc w:val="left"/>
            </w:pPr>
            <w:r>
              <w:rPr>
                <w:rStyle w:val="11"/>
                <w:sz w:val="18"/>
                <w:szCs w:val="18"/>
              </w:rPr>
              <w:t>Controles de ganancia en la interfaz</w:t>
            </w:r>
          </w:p>
        </w:tc>
      </w:tr>
      <w:tr>
        <w:tblPrEx>
          <w:tblCellMar>
            <w:top w:w="75" w:type="dxa"/>
            <w:left w:w="75" w:type="dxa"/>
            <w:bottom w:w="75" w:type="dxa"/>
            <w:right w:w="75" w:type="dxa"/>
          </w:tblCellMar>
        </w:tblPrEx>
        <w:trPr>
          <w:cantSplit/>
        </w:trPr>
        <w:tc>
          <w:tcPr>
            <w:tcW w:w="1453" w:type="dxa"/>
            <w:tcBorders>
              <w:left w:val="single" w:color="D9D9D9" w:sz="6" w:space="0"/>
              <w:bottom w:val="single" w:color="D9D9D9" w:sz="6" w:space="0"/>
              <w:right w:val="single" w:color="D9D9D9" w:sz="6" w:space="0"/>
            </w:tcBorders>
            <w:vAlign w:val="center"/>
          </w:tcPr>
          <w:p>
            <w:pPr>
              <w:pStyle w:val="23"/>
              <w:bidi w:val="0"/>
              <w:spacing w:before="0" w:after="0" w:line="240" w:lineRule="auto"/>
              <w:jc w:val="left"/>
            </w:pPr>
            <w:r>
              <w:rPr>
                <w:sz w:val="18"/>
                <w:szCs w:val="18"/>
              </w:rPr>
              <w:t>HackRF One</w:t>
            </w:r>
          </w:p>
        </w:tc>
        <w:tc>
          <w:tcPr>
            <w:tcW w:w="2524" w:type="dxa"/>
            <w:tcBorders>
              <w:left w:val="single" w:color="D9D9D9" w:sz="2" w:space="0"/>
              <w:bottom w:val="single" w:color="D9D9D9" w:sz="6" w:space="0"/>
              <w:right w:val="single" w:color="D9D9D9" w:sz="6" w:space="0"/>
            </w:tcBorders>
            <w:vAlign w:val="center"/>
          </w:tcPr>
          <w:p>
            <w:pPr>
              <w:pStyle w:val="23"/>
              <w:bidi w:val="0"/>
              <w:spacing w:before="0" w:after="0" w:line="240" w:lineRule="auto"/>
              <w:jc w:val="left"/>
            </w:pPr>
            <w:r>
              <w:rPr>
                <w:sz w:val="18"/>
                <w:szCs w:val="18"/>
              </w:rPr>
              <w:t>Hasta 20 Ms/s — Todos los modos (SA, FM, LoRa, WiFi, BLE, LTE).</w:t>
            </w:r>
          </w:p>
        </w:tc>
        <w:tc>
          <w:tcPr>
            <w:tcW w:w="3671" w:type="dxa"/>
            <w:tcBorders>
              <w:left w:val="single" w:color="D9D9D9" w:sz="2" w:space="0"/>
              <w:bottom w:val="single" w:color="D9D9D9" w:sz="6" w:space="0"/>
              <w:right w:val="single" w:color="D9D9D9" w:sz="6" w:space="0"/>
            </w:tcBorders>
            <w:vAlign w:val="center"/>
          </w:tcPr>
          <w:p>
            <w:pPr>
              <w:pStyle w:val="23"/>
              <w:bidi w:val="0"/>
              <w:spacing w:before="0" w:after="0" w:line="240" w:lineRule="auto"/>
              <w:jc w:val="left"/>
            </w:pPr>
            <w:r>
              <w:rPr>
                <w:sz w:val="18"/>
                <w:szCs w:val="18"/>
              </w:rPr>
              <w:t>Etapas independientes LNA (0–40 dB), VGA (0–62 dB) y amplificador RF AMP.</w:t>
            </w:r>
          </w:p>
        </w:tc>
      </w:tr>
      <w:tr>
        <w:tblPrEx>
          <w:tblCellMar>
            <w:top w:w="75" w:type="dxa"/>
            <w:left w:w="75" w:type="dxa"/>
            <w:bottom w:w="75" w:type="dxa"/>
            <w:right w:w="75" w:type="dxa"/>
          </w:tblCellMar>
        </w:tblPrEx>
        <w:trPr>
          <w:cantSplit/>
        </w:trPr>
        <w:tc>
          <w:tcPr>
            <w:tcW w:w="1453" w:type="dxa"/>
            <w:tcBorders>
              <w:left w:val="single" w:color="D9D9D9" w:sz="6" w:space="0"/>
              <w:bottom w:val="single" w:color="D9D9D9" w:sz="6" w:space="0"/>
              <w:right w:val="single" w:color="D9D9D9" w:sz="6" w:space="0"/>
            </w:tcBorders>
            <w:vAlign w:val="center"/>
          </w:tcPr>
          <w:p>
            <w:pPr>
              <w:pStyle w:val="23"/>
              <w:bidi w:val="0"/>
              <w:spacing w:before="0" w:after="0" w:line="240" w:lineRule="auto"/>
              <w:jc w:val="left"/>
            </w:pPr>
            <w:r>
              <w:rPr>
                <w:sz w:val="18"/>
                <w:szCs w:val="18"/>
              </w:rPr>
              <w:t>RTL-SDR</w:t>
            </w:r>
          </w:p>
        </w:tc>
        <w:tc>
          <w:tcPr>
            <w:tcW w:w="2524" w:type="dxa"/>
            <w:tcBorders>
              <w:left w:val="single" w:color="D9D9D9" w:sz="2" w:space="0"/>
              <w:bottom w:val="single" w:color="D9D9D9" w:sz="6" w:space="0"/>
              <w:right w:val="single" w:color="D9D9D9" w:sz="6" w:space="0"/>
            </w:tcBorders>
            <w:vAlign w:val="center"/>
          </w:tcPr>
          <w:p>
            <w:pPr>
              <w:pStyle w:val="23"/>
              <w:bidi w:val="0"/>
              <w:spacing w:before="0" w:after="0" w:line="240" w:lineRule="auto"/>
              <w:jc w:val="left"/>
            </w:pPr>
            <w:r>
              <w:rPr>
                <w:sz w:val="18"/>
                <w:szCs w:val="18"/>
              </w:rPr>
              <w:t>Hasta ~2,4–3,2 Ms/s — SA, FM (2,4 Ms/s), LoRa y LTE 1,4 MHz. No admite WiFi ni BLE en vivo.</w:t>
            </w:r>
          </w:p>
        </w:tc>
        <w:tc>
          <w:tcPr>
            <w:tcW w:w="3671" w:type="dxa"/>
            <w:tcBorders>
              <w:left w:val="single" w:color="D9D9D9" w:sz="2" w:space="0"/>
              <w:bottom w:val="single" w:color="D9D9D9" w:sz="6" w:space="0"/>
              <w:right w:val="single" w:color="D9D9D9" w:sz="6" w:space="0"/>
            </w:tcBorders>
            <w:vAlign w:val="center"/>
          </w:tcPr>
          <w:p>
            <w:pPr>
              <w:pStyle w:val="23"/>
              <w:bidi w:val="0"/>
              <w:spacing w:before="0" w:after="0" w:line="240" w:lineRule="auto"/>
              <w:jc w:val="left"/>
            </w:pPr>
            <w:r>
              <w:rPr>
                <w:sz w:val="18"/>
                <w:szCs w:val="18"/>
              </w:rPr>
              <w:t>Ganancia única de sintonizador (dB) y control automático AGC.</w:t>
            </w:r>
          </w:p>
        </w:tc>
      </w:tr>
      <w:tr>
        <w:tblPrEx>
          <w:tblCellMar>
            <w:top w:w="75" w:type="dxa"/>
            <w:left w:w="75" w:type="dxa"/>
            <w:bottom w:w="75" w:type="dxa"/>
            <w:right w:w="75" w:type="dxa"/>
          </w:tblCellMar>
        </w:tblPrEx>
        <w:trPr>
          <w:cantSplit/>
        </w:trPr>
        <w:tc>
          <w:tcPr>
            <w:tcW w:w="1453" w:type="dxa"/>
            <w:tcBorders>
              <w:left w:val="single" w:color="D9D9D9" w:sz="6" w:space="0"/>
              <w:bottom w:val="single" w:color="D9D9D9" w:sz="6" w:space="0"/>
              <w:right w:val="single" w:color="D9D9D9" w:sz="6" w:space="0"/>
            </w:tcBorders>
            <w:vAlign w:val="center"/>
          </w:tcPr>
          <w:p>
            <w:pPr>
              <w:pStyle w:val="23"/>
              <w:bidi w:val="0"/>
              <w:spacing w:before="0" w:after="0" w:line="240" w:lineRule="auto"/>
              <w:jc w:val="left"/>
            </w:pPr>
            <w:r>
              <w:rPr>
                <w:sz w:val="18"/>
                <w:szCs w:val="18"/>
              </w:rPr>
              <w:t>Nuand bladeRF x40</w:t>
            </w:r>
          </w:p>
        </w:tc>
        <w:tc>
          <w:tcPr>
            <w:tcW w:w="2524" w:type="dxa"/>
            <w:tcBorders>
              <w:left w:val="single" w:color="D9D9D9" w:sz="2" w:space="0"/>
              <w:bottom w:val="single" w:color="D9D9D9" w:sz="6" w:space="0"/>
              <w:right w:val="single" w:color="D9D9D9" w:sz="6" w:space="0"/>
            </w:tcBorders>
            <w:vAlign w:val="center"/>
          </w:tcPr>
          <w:p>
            <w:pPr>
              <w:pStyle w:val="23"/>
              <w:bidi w:val="0"/>
              <w:spacing w:before="0" w:after="0" w:line="240" w:lineRule="auto"/>
              <w:jc w:val="left"/>
            </w:pPr>
            <w:r>
              <w:rPr>
                <w:sz w:val="18"/>
                <w:szCs w:val="18"/>
              </w:rPr>
              <w:t>Hasta 20+ Ms/s — Todos los modos (SA, FM, LoRa, WiFi, BLE, LTE).</w:t>
            </w:r>
          </w:p>
        </w:tc>
        <w:tc>
          <w:tcPr>
            <w:tcW w:w="3671" w:type="dxa"/>
            <w:tcBorders>
              <w:left w:val="single" w:color="D9D9D9" w:sz="2" w:space="0"/>
              <w:bottom w:val="single" w:color="D9D9D9" w:sz="6" w:space="0"/>
              <w:right w:val="single" w:color="D9D9D9" w:sz="6" w:space="0"/>
            </w:tcBorders>
            <w:vAlign w:val="center"/>
          </w:tcPr>
          <w:p>
            <w:pPr>
              <w:pStyle w:val="23"/>
              <w:bidi w:val="0"/>
              <w:spacing w:before="0" w:after="0" w:line="240" w:lineRule="auto"/>
              <w:jc w:val="left"/>
            </w:pPr>
            <w:r>
              <w:rPr>
                <w:sz w:val="18"/>
                <w:szCs w:val="18"/>
              </w:rPr>
              <w:t>Etapas independientes LNA, RX VGA1 y RX VGA2.</w:t>
            </w:r>
          </w:p>
        </w:tc>
      </w:tr>
      <w:tr>
        <w:tblPrEx>
          <w:tblCellMar>
            <w:top w:w="75" w:type="dxa"/>
            <w:left w:w="75" w:type="dxa"/>
            <w:bottom w:w="75" w:type="dxa"/>
            <w:right w:w="75" w:type="dxa"/>
          </w:tblCellMar>
        </w:tblPrEx>
        <w:trPr>
          <w:cantSplit/>
        </w:trPr>
        <w:tc>
          <w:tcPr>
            <w:tcW w:w="1453" w:type="dxa"/>
            <w:tcBorders>
              <w:left w:val="single" w:color="D9D9D9" w:sz="6" w:space="0"/>
              <w:bottom w:val="single" w:color="D9D9D9" w:sz="6" w:space="0"/>
              <w:right w:val="single" w:color="D9D9D9" w:sz="6" w:space="0"/>
            </w:tcBorders>
            <w:vAlign w:val="center"/>
          </w:tcPr>
          <w:p>
            <w:pPr>
              <w:pStyle w:val="23"/>
              <w:bidi w:val="0"/>
              <w:spacing w:before="0" w:after="0" w:line="240" w:lineRule="auto"/>
              <w:jc w:val="left"/>
            </w:pPr>
            <w:r>
              <w:rPr>
                <w:sz w:val="18"/>
                <w:szCs w:val="18"/>
              </w:rPr>
              <w:t>Ettus USRP B200</w:t>
            </w:r>
          </w:p>
        </w:tc>
        <w:tc>
          <w:tcPr>
            <w:tcW w:w="2524" w:type="dxa"/>
            <w:tcBorders>
              <w:left w:val="single" w:color="D9D9D9" w:sz="2" w:space="0"/>
              <w:bottom w:val="single" w:color="D9D9D9" w:sz="6" w:space="0"/>
              <w:right w:val="single" w:color="D9D9D9" w:sz="6" w:space="0"/>
            </w:tcBorders>
            <w:vAlign w:val="center"/>
          </w:tcPr>
          <w:p>
            <w:pPr>
              <w:pStyle w:val="23"/>
              <w:bidi w:val="0"/>
              <w:spacing w:before="0" w:after="0" w:line="240" w:lineRule="auto"/>
              <w:jc w:val="left"/>
            </w:pPr>
            <w:r>
              <w:rPr>
                <w:sz w:val="18"/>
                <w:szCs w:val="18"/>
              </w:rPr>
              <w:t>Hasta 20+ Ms/s — Todos los modos (SA, FM, LoRa, WiFi, BLE, LTE).</w:t>
            </w:r>
          </w:p>
        </w:tc>
        <w:tc>
          <w:tcPr>
            <w:tcW w:w="3671" w:type="dxa"/>
            <w:tcBorders>
              <w:left w:val="single" w:color="D9D9D9" w:sz="2" w:space="0"/>
              <w:bottom w:val="single" w:color="D9D9D9" w:sz="6" w:space="0"/>
              <w:right w:val="single" w:color="D9D9D9" w:sz="6" w:space="0"/>
            </w:tcBorders>
            <w:vAlign w:val="center"/>
          </w:tcPr>
          <w:p>
            <w:pPr>
              <w:pStyle w:val="23"/>
              <w:bidi w:val="0"/>
              <w:spacing w:before="0" w:after="0" w:line="240" w:lineRule="auto"/>
              <w:jc w:val="left"/>
            </w:pPr>
            <w:r>
              <w:rPr>
                <w:sz w:val="18"/>
                <w:szCs w:val="18"/>
              </w:rPr>
              <w:t>Ganancia global RX gestionada mediante UHD.</w:t>
            </w:r>
          </w:p>
        </w:tc>
      </w:tr>
    </w:tbl>
    <w:p w14:paraId="215ABD80">
      <w:pPr>
        <w:pStyle w:val="5"/>
        <w:keepNext/>
        <w:keepLines/>
        <w:bidi w:val="0"/>
        <w:ind w:left="0" w:right="0" w:firstLine="0"/>
        <w:jc w:val="left"/>
      </w:pPr>
      <w:bookmarkStart w:id="2" w:name="grabación-y-reproducción-iq"/>
      <w:bookmarkEnd w:id="2"/>
      <w:r>
        <w:t>Grabación y reproducción IQ</w:t>
      </w:r>
    </w:p>
    <w:p w14:paraId="0BC7AB61">
      <w:pPr>
        <w:pStyle w:val="4"/>
        <w:bidi w:val="0"/>
        <w:jc w:val="left"/>
      </w:pPr>
      <w:r>
        <w:t xml:space="preserve">El menú </w:t>
      </w:r>
      <w:r>
        <w:rPr>
          <w:rStyle w:val="11"/>
        </w:rPr>
        <w:t>Rec/Play</w:t>
      </w:r>
      <w:r>
        <w:t xml:space="preserve"> guarda muestras complejas tal como llegan al callback de la SDR y permite volver a analizarlas, incluso en una computadora sin receptor conectado.</w:t>
      </w:r>
    </w:p>
    <w:p w14:paraId="1616C7BA">
      <w:pPr>
        <w:pStyle w:val="6"/>
        <w:keepNext/>
        <w:keepLines/>
        <w:bidi w:val="0"/>
        <w:jc w:val="left"/>
      </w:pPr>
      <w:r>
        <w:t>Grabar</w:t>
      </w:r>
    </w:p>
    <w:p w14:paraId="1ECC78D7">
      <w:pPr>
        <w:pStyle w:val="4"/>
        <w:keepLines/>
        <w:numPr>
          <w:ilvl w:val="0"/>
          <w:numId w:val="1"/>
        </w:numPr>
        <w:bidi w:val="0"/>
        <w:spacing w:before="0" w:after="0"/>
        <w:ind w:left="709" w:hanging="283"/>
        <w:jc w:val="left"/>
      </w:pPr>
      <w:r>
        <w:t xml:space="preserve">Abrí la aplicación con una SDR real y seleccioná frecuencia y tasa de muestreo. </w:t>
      </w:r>
    </w:p>
    <w:p w14:paraId="0E8736F1">
      <w:pPr>
        <w:pStyle w:val="4"/>
        <w:keepLines/>
        <w:numPr>
          <w:ilvl w:val="0"/>
          <w:numId w:val="1"/>
        </w:numPr>
        <w:bidi w:val="0"/>
        <w:spacing w:before="0" w:after="0"/>
        <w:ind w:left="709" w:hanging="283"/>
        <w:jc w:val="left"/>
      </w:pPr>
      <w:r>
        <w:t xml:space="preserve">Elegí </w:t>
      </w:r>
      <w:r>
        <w:rPr>
          <w:rStyle w:val="11"/>
        </w:rPr>
        <w:t>Rec/Play → Iniciar Grabación</w:t>
      </w:r>
      <w:r>
        <w:t xml:space="preserve">. Durante la captura se pausan los gráficos y se bloquean los controles que cambiarían la señal. </w:t>
      </w:r>
    </w:p>
    <w:p w14:paraId="655BDC09">
      <w:pPr>
        <w:pStyle w:val="4"/>
        <w:keepLines/>
        <w:numPr>
          <w:ilvl w:val="0"/>
          <w:numId w:val="1"/>
        </w:numPr>
        <w:bidi w:val="0"/>
        <w:ind w:left="709" w:hanging="283"/>
        <w:jc w:val="left"/>
      </w:pPr>
      <w:r>
        <w:t xml:space="preserve">Detené la grabación y esperá el mensaje de guardado. El archivo aparece en el directorio desde el que ejecutaste el programa. </w:t>
      </w:r>
    </w:p>
    <w:p w14:paraId="53AA9D48">
      <w:pPr>
        <w:pStyle w:val="4"/>
        <w:bidi w:val="0"/>
        <w:jc w:val="left"/>
      </w:pPr>
      <w:r>
        <w:t>Cada captura nueva tiene dos archivos con el mismo nombre base:</w:t>
      </w:r>
    </w:p>
    <w:p w14:paraId="59ABA827">
      <w:pPr>
        <w:pStyle w:val="4"/>
        <w:keepLines/>
        <w:numPr>
          <w:ilvl w:val="0"/>
          <w:numId w:val="2"/>
        </w:numPr>
        <w:bidi w:val="0"/>
        <w:spacing w:before="0" w:after="0"/>
        <w:ind w:left="709" w:right="0" w:hanging="283"/>
        <w:jc w:val="left"/>
      </w:pPr>
      <w:r>
        <w:rPr>
          <w:rFonts w:ascii="Liberation Mono;Consolas;monosp" w:hAnsi="Liberation Mono;Consolas;monosp"/>
          <w:sz w:val="18"/>
        </w:rPr>
        <w:t>muestras_iq_*.iq</w:t>
      </w:r>
      <w:r>
        <w:t xml:space="preserve">: secuencia binaria de muestras IQ, sin encabezado ni saltos entre bloques. </w:t>
      </w:r>
    </w:p>
    <w:p w14:paraId="4BD8F7CE">
      <w:pPr>
        <w:pStyle w:val="4"/>
        <w:keepLines/>
        <w:numPr>
          <w:ilvl w:val="0"/>
          <w:numId w:val="2"/>
        </w:numPr>
        <w:bidi w:val="0"/>
        <w:ind w:left="709" w:right="0" w:hanging="283"/>
        <w:jc w:val="left"/>
      </w:pPr>
      <w:r>
        <w:rPr>
          <w:rFonts w:ascii="Liberation Mono;Consolas;monosp" w:hAnsi="Liberation Mono;Consolas;monosp"/>
          <w:sz w:val="18"/>
        </w:rPr>
        <w:t>muestras_iq_*.json</w:t>
      </w:r>
      <w:r>
        <w:t xml:space="preserve">: descripción del formato y comprobación de integridad. </w:t>
      </w:r>
    </w:p>
    <w:p w14:paraId="0A01626C">
      <w:pPr>
        <w:pStyle w:val="4"/>
        <w:bidi w:val="0"/>
        <w:jc w:val="left"/>
      </w:pPr>
      <w:r>
        <w:t>Ejemplo de metadatos:</w:t>
      </w:r>
    </w:p>
    <w:p w14:paraId="413CFD1B">
      <w:pPr>
        <w:pStyle w:val="26"/>
        <w:bidi w:val="0"/>
        <w:jc w:val="left"/>
      </w:pPr>
      <w:r>
        <w:t>{</w:t>
      </w:r>
    </w:p>
    <w:p w14:paraId="0A67EB63">
      <w:pPr>
        <w:pStyle w:val="26"/>
        <w:bidi w:val="0"/>
        <w:jc w:val="left"/>
      </w:pPr>
      <w:r>
        <w:t xml:space="preserve">  "format": "demodulador-iq-v1",</w:t>
      </w:r>
    </w:p>
    <w:p w14:paraId="57192303">
      <w:pPr>
        <w:pStyle w:val="26"/>
        <w:bidi w:val="0"/>
        <w:jc w:val="left"/>
      </w:pPr>
      <w:r>
        <w:t xml:space="preserve">  "dtype": "&lt;c16",</w:t>
      </w:r>
    </w:p>
    <w:p w14:paraId="7F626C61">
      <w:pPr>
        <w:pStyle w:val="26"/>
        <w:bidi w:val="0"/>
        <w:jc w:val="left"/>
      </w:pPr>
      <w:r>
        <w:t xml:space="preserve">  "sample_count": 11567104,</w:t>
      </w:r>
    </w:p>
    <w:p w14:paraId="5B408693">
      <w:pPr>
        <w:pStyle w:val="26"/>
        <w:bidi w:val="0"/>
        <w:jc w:val="left"/>
      </w:pPr>
      <w:r>
        <w:t xml:space="preserve">  "block_count": 353,</w:t>
      </w:r>
    </w:p>
    <w:p w14:paraId="419D9786">
      <w:pPr>
        <w:pStyle w:val="26"/>
        <w:bidi w:val="0"/>
        <w:jc w:val="left"/>
      </w:pPr>
      <w:r>
        <w:t xml:space="preserve">  "sample_rate": 2400000.0,</w:t>
      </w:r>
    </w:p>
    <w:p w14:paraId="2CA51875">
      <w:pPr>
        <w:pStyle w:val="26"/>
        <w:bidi w:val="0"/>
        <w:jc w:val="left"/>
      </w:pPr>
      <w:r>
        <w:t xml:space="preserve">  "center_freq": 99900000.0,</w:t>
      </w:r>
    </w:p>
    <w:p w14:paraId="5AED8885">
      <w:pPr>
        <w:pStyle w:val="26"/>
        <w:bidi w:val="0"/>
        <w:jc w:val="left"/>
      </w:pPr>
      <w:r>
        <w:t xml:space="preserve">  "sha256": "..."</w:t>
      </w:r>
    </w:p>
    <w:p w14:paraId="29E040CD">
      <w:pPr>
        <w:pStyle w:val="26"/>
        <w:bidi w:val="0"/>
        <w:jc w:val="left"/>
      </w:pPr>
      <w:r>
        <w:t>}</w:t>
      </w:r>
    </w:p>
    <w:p w14:paraId="6FF6CD88">
      <w:pPr>
        <w:pStyle w:val="4"/>
        <w:bidi w:val="0"/>
        <w:ind w:left="0" w:right="0" w:firstLine="0"/>
        <w:jc w:val="left"/>
      </w:pPr>
      <w:r>
        <w:rPr>
          <w:rFonts w:ascii="Liberation Mono;Consolas;monosp" w:hAnsi="Liberation Mono;Consolas;monosp"/>
          <w:sz w:val="18"/>
        </w:rPr>
        <w:t>dtype</w:t>
      </w:r>
      <w:r>
        <w:t xml:space="preserve"> indica cómo interpretar los bytes; el ejemplo </w:t>
      </w:r>
      <w:r>
        <w:rPr>
          <w:rFonts w:ascii="Liberation Mono;Consolas;monosp" w:hAnsi="Liberation Mono;Consolas;monosp"/>
          <w:sz w:val="18"/>
        </w:rPr>
        <w:t>&lt;c16</w:t>
      </w:r>
      <w:r>
        <w:t xml:space="preserve"> representa muestras complejas de 16 bytes. </w:t>
      </w:r>
      <w:r>
        <w:rPr>
          <w:rFonts w:ascii="Liberation Mono;Consolas;monosp" w:hAnsi="Liberation Mono;Consolas;monosp"/>
          <w:sz w:val="18"/>
        </w:rPr>
        <w:t>sample_count</w:t>
      </w:r>
      <w:r>
        <w:t xml:space="preserve"> permite calcular la duración como </w:t>
      </w:r>
      <w:r>
        <w:rPr>
          <w:rFonts w:ascii="Liberation Mono;Consolas;monosp" w:hAnsi="Liberation Mono;Consolas;monosp"/>
          <w:sz w:val="18"/>
        </w:rPr>
        <w:t>sample_count / sample_rate</w:t>
      </w:r>
      <w:r>
        <w:t xml:space="preserve">. </w:t>
      </w:r>
      <w:r>
        <w:rPr>
          <w:rFonts w:ascii="Liberation Mono;Consolas;monosp" w:hAnsi="Liberation Mono;Consolas;monosp"/>
          <w:sz w:val="18"/>
        </w:rPr>
        <w:t>block_count</w:t>
      </w:r>
      <w:r>
        <w:t xml:space="preserve"> cuenta los bloques recibidos, aunque el archivo no conserva sus tamaños individuales. Guardá siempre el </w:t>
      </w:r>
      <w:r>
        <w:rPr>
          <w:rFonts w:ascii="Liberation Mono;Consolas;monosp" w:hAnsi="Liberation Mono;Consolas;monosp"/>
          <w:sz w:val="18"/>
        </w:rPr>
        <w:t>.iq</w:t>
      </w:r>
      <w:r>
        <w:t xml:space="preserve"> junto con su </w:t>
      </w:r>
      <w:r>
        <w:rPr>
          <w:rFonts w:ascii="Liberation Mono;Consolas;monosp" w:hAnsi="Liberation Mono;Consolas;monosp"/>
          <w:sz w:val="18"/>
        </w:rPr>
        <w:t>.json</w:t>
      </w:r>
      <w:r>
        <w:t>.</w:t>
      </w:r>
    </w:p>
    <w:p w14:paraId="35A6ABF8">
      <w:pPr>
        <w:pStyle w:val="4"/>
        <w:bidi w:val="0"/>
        <w:jc w:val="left"/>
      </w:pPr>
      <w:r>
        <w:fldChar w:fldCharType="begin"/>
      </w:r>
      <w:r>
        <w:instrText xml:space="preserve"> HYPERLINK "demodulador/iq_capture.py" \h </w:instrText>
      </w:r>
      <w:r>
        <w:fldChar w:fldCharType="separate"/>
      </w:r>
      <w:r>
        <w:rPr>
          <w:rStyle w:val="9"/>
        </w:rPr>
        <w:t>IQRecorder</w:t>
      </w:r>
      <w:r>
        <w:rPr>
          <w:rStyle w:val="9"/>
        </w:rPr>
        <w:fldChar w:fldCharType="end"/>
      </w:r>
      <w:r>
        <w:t xml:space="preserve"> copia cada bloque antes de encolarlo, lo escribe en orden desde un hilo separado y calcula SHA-256 mientras escribe. Si la cola de disco supera su límite, ocurre un error de escritura o el SDR informa una discontinuidad, la captura se invalida y no queda un archivo final que parezca completo. El valor de SHA-256 verifica el archivo guardado; no detecta pérdidas previas al callback de recepción.</w:t>
      </w:r>
    </w:p>
    <w:p>
      <w:pPr>
        <w:pStyle w:val="6"/>
        <w:keepNext/>
        <w:keepLines/>
        <w:bidi w:val="0"/>
        <w:jc w:val="left"/>
      </w:pPr>
      <w:r>
        <w:t>Recorte retrospectivo desde el espectrograma y exportación PNG</w:t>
      </w:r>
    </w:p>
    <w:p>
      <w:pPr>
        <w:pStyle w:val="4"/>
        <w:bidi w:val="0"/>
        <w:jc w:val="left"/>
      </w:pPr>
      <w:r>
        <w:t>Además de la grabación secuencial desde el menú Rec/Play, el panel del espectrograma permite capturar señales que acaban de aparecer en pantalla. Mientras la cascada está activa, IQRingBuffer conserva en memoria las muestras complejas correspondientes a la ventana temporal visible en el espectrograma.</w:t>
      </w:r>
    </w:p>
    <w:p>
      <w:pPr>
        <w:pStyle w:val="4"/>
        <w:bidi w:val="0"/>
        <w:jc w:val="left"/>
      </w:pPr>
      <w:r>
        <w:t>Al pulsar ✂️ Recortar Señal, la interfaz pausa la cascada y habilita una región horizontal sobre el eje de tiempo. Al confirmar el recorte, se extraen del buffer circular las muestras del intervalo seleccionado y se guardan en un archivo .npz (con raw_iq, center_freq y sample_rate), que puede volver a abrirse desde Rec/Play → Reproducir Archivo. El panel incluye también el botón Guardar Espectrograma para exportar la vista actual de la cascada como imagen .png.</w:t>
      </w:r>
    </w:p>
    <w:p w14:paraId="5579D81D">
      <w:pPr>
        <w:pStyle w:val="6"/>
        <w:keepNext/>
        <w:keepLines/>
        <w:bidi w:val="0"/>
        <w:jc w:val="left"/>
      </w:pPr>
      <w:r>
        <w:t>Reproducir</w:t>
      </w:r>
    </w:p>
    <w:p w14:paraId="03B5CC84">
      <w:pPr>
        <w:pStyle w:val="4"/>
        <w:keepLines/>
        <w:numPr>
          <w:ilvl w:val="0"/>
          <w:numId w:val="3"/>
        </w:numPr>
        <w:bidi w:val="0"/>
        <w:spacing w:before="0" w:after="0"/>
        <w:ind w:left="709" w:hanging="283"/>
        <w:jc w:val="left"/>
      </w:pPr>
      <w:r>
        <w:t xml:space="preserve">En la ventana inicial elegí una SDR o </w:t>
      </w:r>
      <w:r>
        <w:rPr>
          <w:rStyle w:val="11"/>
        </w:rPr>
        <w:t>Abrir demodulador sin SDR</w:t>
      </w:r>
      <w:r>
        <w:t xml:space="preserve">. </w:t>
      </w:r>
    </w:p>
    <w:p w14:paraId="31497A69">
      <w:pPr>
        <w:pStyle w:val="4"/>
        <w:keepLines/>
        <w:numPr>
          <w:ilvl w:val="0"/>
          <w:numId w:val="3"/>
        </w:numPr>
        <w:bidi w:val="0"/>
        <w:spacing w:before="0" w:after="0"/>
        <w:ind w:left="709" w:hanging="283"/>
        <w:jc w:val="left"/>
      </w:pPr>
      <w:r>
        <w:t xml:space="preserve">Seleccioná el modo de análisis antes de abrir la captura. </w:t>
      </w:r>
    </w:p>
    <w:p w14:paraId="76CD4D6E">
      <w:pPr>
        <w:pStyle w:val="4"/>
        <w:keepLines/>
        <w:numPr>
          <w:ilvl w:val="0"/>
          <w:numId w:val="3"/>
        </w:numPr>
        <w:bidi w:val="0"/>
        <w:ind w:left="709" w:right="0" w:hanging="283"/>
        <w:jc w:val="left"/>
      </w:pPr>
      <w:r>
        <w:t xml:space="preserve">Usá </w:t>
      </w:r>
      <w:r>
        <w:rPr>
          <w:rStyle w:val="11"/>
        </w:rPr>
        <w:t>Rec/Play → Reproducir Archivo</w:t>
      </w:r>
      <w:r>
        <w:t xml:space="preserve"> o la opción en bucle, y elegí un </w:t>
      </w:r>
      <w:r>
        <w:rPr>
          <w:rFonts w:ascii="Liberation Mono;Consolas;monosp" w:hAnsi="Liberation Mono;Consolas;monosp"/>
          <w:sz w:val="18"/>
        </w:rPr>
        <w:t>.iq</w:t>
      </w:r>
      <w:r>
        <w:t xml:space="preserve"> o </w:t>
      </w:r>
      <w:r>
        <w:rPr>
          <w:rFonts w:ascii="Liberation Mono;Consolas;monosp" w:hAnsi="Liberation Mono;Consolas;monosp"/>
          <w:sz w:val="18"/>
        </w:rPr>
        <w:t>.npz</w:t>
      </w:r>
      <w:r>
        <w:t xml:space="preserve">. </w:t>
      </w:r>
    </w:p>
    <w:p w14:paraId="0B6B74A2">
      <w:pPr>
        <w:pStyle w:val="4"/>
        <w:bidi w:val="0"/>
        <w:ind w:left="0" w:right="0" w:firstLine="0"/>
        <w:jc w:val="left"/>
      </w:pPr>
      <w:r>
        <w:t xml:space="preserve">Al abrir un </w:t>
      </w:r>
      <w:r>
        <w:rPr>
          <w:rFonts w:ascii="Liberation Mono;Consolas;monosp" w:hAnsi="Liberation Mono;Consolas;monosp"/>
          <w:sz w:val="18"/>
        </w:rPr>
        <w:t>.iq</w:t>
      </w:r>
      <w:r>
        <w:t xml:space="preserve">, </w:t>
      </w:r>
      <w:r>
        <w:fldChar w:fldCharType="begin"/>
      </w:r>
      <w:r>
        <w:instrText xml:space="preserve"> HYPERLINK "demodulador/iq_capture.py" \h </w:instrText>
      </w:r>
      <w:r>
        <w:fldChar w:fldCharType="separate"/>
      </w:r>
      <w:r>
        <w:rPr>
          <w:rStyle w:val="9"/>
        </w:rPr>
        <w:t>load_capture</w:t>
      </w:r>
      <w:r>
        <w:rPr>
          <w:rStyle w:val="9"/>
        </w:rPr>
        <w:fldChar w:fldCharType="end"/>
      </w:r>
      <w:r>
        <w:t xml:space="preserve"> comprueba que el tamaño corresponda al </w:t>
      </w:r>
      <w:r>
        <w:rPr>
          <w:rFonts w:ascii="Liberation Mono;Consolas;monosp" w:hAnsi="Liberation Mono;Consolas;monosp"/>
          <w:sz w:val="18"/>
        </w:rPr>
        <w:t>dtype</w:t>
      </w:r>
      <w:r>
        <w:t xml:space="preserve"> y a </w:t>
      </w:r>
      <w:r>
        <w:rPr>
          <w:rFonts w:ascii="Liberation Mono;Consolas;monosp" w:hAnsi="Liberation Mono;Consolas;monosp"/>
          <w:sz w:val="18"/>
        </w:rPr>
        <w:t>sample_count</w:t>
      </w:r>
      <w:r>
        <w:t xml:space="preserve">, y verifica SHA-256. Los </w:t>
      </w:r>
      <w:r>
        <w:rPr>
          <w:rFonts w:ascii="Liberation Mono;Consolas;monosp" w:hAnsi="Liberation Mono;Consolas;monosp"/>
          <w:sz w:val="18"/>
        </w:rPr>
        <w:t>.npz</w:t>
      </w:r>
      <w:r>
        <w:t xml:space="preserve"> antiguos también se leen si contienen </w:t>
      </w:r>
      <w:r>
        <w:rPr>
          <w:rFonts w:ascii="Liberation Mono;Consolas;monosp" w:hAnsi="Liberation Mono;Consolas;monosp"/>
          <w:sz w:val="18"/>
        </w:rPr>
        <w:t>raw_iq</w:t>
      </w:r>
      <w:r>
        <w:t xml:space="preserve">, </w:t>
      </w:r>
      <w:r>
        <w:rPr>
          <w:rFonts w:ascii="Liberation Mono;Consolas;monosp" w:hAnsi="Liberation Mono;Consolas;monosp"/>
          <w:sz w:val="18"/>
        </w:rPr>
        <w:t>center_freq</w:t>
      </w:r>
      <w:r>
        <w:t xml:space="preserve"> y </w:t>
      </w:r>
      <w:r>
        <w:rPr>
          <w:rFonts w:ascii="Liberation Mono;Consolas;monosp" w:hAnsi="Liberation Mono;Consolas;monosp"/>
          <w:sz w:val="18"/>
        </w:rPr>
        <w:t>sample_rate</w:t>
      </w:r>
      <w:r>
        <w:t>, pero no tienen esa comprobación de integridad.</w:t>
      </w:r>
    </w:p>
    <w:p w14:paraId="1DB7A0DA">
      <w:pPr>
        <w:pStyle w:val="4"/>
        <w:bidi w:val="0"/>
        <w:jc w:val="left"/>
      </w:pPr>
      <w:r>
        <w:t>Durante la reproducción se detiene la SDR en vivo, si la había. El reproductor entrega bloques en orden y usa los metadatos de la captura para configurar el procesador. Si la interfaz se retrasa, la reproducción se atrasa y recupera bloques pendientes sin saltar índices. En bucle se entrega primero el final del archivo, se marca el corte y después empieza la siguiente vuelta. Al detenerla, vuelven la frecuencia, la tasa y el procesador de la sesión en vivo.</w:t>
      </w:r>
    </w:p>
    <w:p w14:paraId="12786EA9">
      <w:pPr>
        <w:pStyle w:val="4"/>
        <w:bidi w:val="0"/>
        <w:jc w:val="left"/>
      </w:pPr>
      <w:r>
        <w:t xml:space="preserve">El modo sin SDR usa </w:t>
      </w:r>
      <w:r>
        <w:fldChar w:fldCharType="begin"/>
      </w:r>
      <w:r>
        <w:instrText xml:space="preserve"> HYPERLINK "demodulador/hardware/mock_sdr_handler.py" \h </w:instrText>
      </w:r>
      <w:r>
        <w:fldChar w:fldCharType="separate"/>
      </w:r>
      <w:r>
        <w:rPr>
          <w:rStyle w:val="9"/>
        </w:rPr>
        <w:t>MockSDRHandler</w:t>
      </w:r>
      <w:r>
        <w:rPr>
          <w:rStyle w:val="9"/>
        </w:rPr>
        <w:fldChar w:fldCharType="end"/>
      </w:r>
      <w:r>
        <w:t>: permite analizar archivos, pero no recibir ni grabar señales nuevas. La reproducción no permite resintonizar dentro del ancho de banda de una captura desde el control de frecuencia; ese control muestra la frecuencia central guardada.</w:t>
      </w:r>
    </w:p>
    <w:p w14:paraId="07E2911B">
      <w:pPr>
        <w:pStyle w:val="6"/>
        <w:keepNext/>
        <w:keepLines/>
        <w:bidi w:val="0"/>
        <w:jc w:val="left"/>
      </w:pPr>
      <w:r>
        <w:t>Qué significa una captura íntegra</w:t>
      </w:r>
    </w:p>
    <w:p w14:paraId="095C2A75">
      <w:pPr>
        <w:pStyle w:val="4"/>
        <w:bidi w:val="0"/>
        <w:ind w:left="0" w:right="0" w:firstLine="0"/>
        <w:jc w:val="left"/>
      </w:pPr>
      <w:r>
        <w:t xml:space="preserve">Una captura válida prueba que los bytes escritos coinciden con los recibidos por el programa y con los metadatos. La continuidad física anterior al callback depende del controlador y del enlace USB. Para un análisis reproducible, conservá ambos archivos, la versión del código, el modo seleccionado y cualquier ajuste relevante de ganancia o antena que no figure en el </w:t>
      </w:r>
      <w:r>
        <w:rPr>
          <w:rFonts w:ascii="Liberation Mono;Consolas;monosp" w:hAnsi="Liberation Mono;Consolas;monosp"/>
          <w:sz w:val="18"/>
        </w:rPr>
        <w:t>.json</w:t>
      </w:r>
      <w:r>
        <w:t>.</w:t>
      </w:r>
    </w:p>
    <w:p w14:paraId="2EBF7414">
      <w:pPr>
        <w:pStyle w:val="5"/>
        <w:keepNext/>
        <w:keepLines/>
        <w:bidi w:val="0"/>
        <w:ind w:left="0" w:right="0" w:firstLine="0"/>
        <w:jc w:val="left"/>
      </w:pPr>
      <w:bookmarkStart w:id="3" w:name="validación-y-evidencia"/>
      <w:bookmarkEnd w:id="3"/>
      <w:r>
        <w:t>Validación y evidencia</w:t>
      </w:r>
    </w:p>
    <w:p w14:paraId="551A0D3B">
      <w:pPr>
        <w:pStyle w:val="4"/>
        <w:bidi w:val="0"/>
        <w:jc w:val="left"/>
      </w:pPr>
      <w:r>
        <w:t>Esta sección separa las pruebas automatizadas, las capturas reales y lo que todavía depende de una comprobación con hardware. Una prueba sintética verifica una ruta concreta del código; no demuestra por sí sola recepción fiable de todas las señales reales.</w:t>
      </w:r>
    </w:p>
    <w:p w14:paraId="0528D149">
      <w:pPr>
        <w:pStyle w:val="6"/>
        <w:keepNext/>
        <w:keepLines/>
        <w:bidi w:val="0"/>
        <w:jc w:val="left"/>
      </w:pPr>
      <w:r>
        <w:t>Ejecutar las pruebas</w:t>
      </w:r>
    </w:p>
    <w:p w14:paraId="5E9631A5">
      <w:pPr>
        <w:pStyle w:val="4"/>
        <w:bidi w:val="0"/>
        <w:jc w:val="left"/>
      </w:pPr>
      <w:r>
        <w:t>Con el entorno del proyecto instalado, desde la raíz del repositorio:</w:t>
      </w:r>
    </w:p>
    <w:p w14:paraId="3801188C">
      <w:pPr>
        <w:pStyle w:val="26"/>
        <w:bidi w:val="0"/>
        <w:jc w:val="left"/>
      </w:pPr>
      <w:r>
        <w:t>QT_QPA_PLATFORM=offscreen PYTHONPATH=demodulador .venv/bin/python -m pytest demodulador/tests -q</w:t>
      </w:r>
    </w:p>
    <w:p w14:paraId="4CBC6626">
      <w:pPr>
        <w:pStyle w:val="4"/>
        <w:bidi w:val="0"/>
        <w:ind w:left="0" w:right="0" w:firstLine="0"/>
        <w:jc w:val="left"/>
      </w:pPr>
      <w:r>
        <w:rPr>
          <w:rFonts w:ascii="Liberation Mono;Consolas;monosp" w:hAnsi="Liberation Mono;Consolas;monosp"/>
          <w:sz w:val="18"/>
        </w:rPr>
        <w:t>QT_QPA_PLATFORM=offscreen</w:t>
      </w:r>
      <w:r>
        <w:t xml:space="preserve"> permite probar componentes de PyQt sin abrir ventanas (con el entorno activo también basta ejecutar pytest -q desde la raíz gracias a la configuración en pyproject.toml). Para una prueba puntual, reemplazá </w:t>
      </w:r>
      <w:r>
        <w:rPr>
          <w:rFonts w:ascii="Liberation Mono;Consolas;monosp" w:hAnsi="Liberation Mono;Consolas;monosp"/>
          <w:sz w:val="18"/>
        </w:rPr>
        <w:t>demodulador/tests</w:t>
      </w:r>
      <w:r>
        <w:t xml:space="preserve"> por el archivo correspondiente. La ejecución local del 27 de octubre de 2026 terminó con </w:t>
      </w:r>
      <w:r>
        <w:rPr>
          <w:rStyle w:val="11"/>
        </w:rPr>
        <w:t>132 pruebas aprobadas</w:t>
      </w:r>
      <w:r>
        <w:t>; ese número es una referencia fechada, no un valor fijo del proyecto.</w:t>
      </w:r>
    </w:p>
    <w:tbl>
      <w:tblPr>
        <w:tblStyle w:val="8"/>
        <w:tblW w:w="7650" w:type="dxa"/>
        <w:tblInd w:w="-7" w:type="dxa"/>
        <w:tblLayout w:type="fixed"/>
        <w:tblCellMar>
          <w:top w:w="75" w:type="dxa"/>
          <w:left w:w="75" w:type="dxa"/>
          <w:bottom w:w="75" w:type="dxa"/>
          <w:right w:w="75" w:type="dxa"/>
        </w:tblCellMar>
      </w:tblPr>
      <w:tblGrid>
        <w:gridCol w:w="1499"/>
        <w:gridCol w:w="2515"/>
        <w:gridCol w:w="3636"/>
      </w:tblGrid>
      <w:tr w14:paraId="7317D9EC">
        <w:tblPrEx>
          <w:tblCellMar>
            <w:top w:w="75" w:type="dxa"/>
            <w:left w:w="75" w:type="dxa"/>
            <w:bottom w:w="75" w:type="dxa"/>
            <w:right w:w="75" w:type="dxa"/>
          </w:tblCellMar>
        </w:tblPrEx>
        <w:trPr>
          <w:cantSplit/>
          <w:tblHeader/>
        </w:trPr>
        <w:tc>
          <w:tcPr>
            <w:tcW w:w="1499" w:type="dxa"/>
            <w:tcBorders>
              <w:top w:val="single" w:color="D9D9D9" w:sz="6" w:space="0"/>
              <w:left w:val="single" w:color="D9D9D9" w:sz="6" w:space="0"/>
              <w:bottom w:val="single" w:color="D9D9D9" w:sz="2" w:space="0"/>
              <w:right w:val="single" w:color="D9D9D9" w:sz="6" w:space="0"/>
            </w:tcBorders>
            <w:vAlign w:val="center"/>
          </w:tcPr>
          <w:p w14:paraId="097B117C">
            <w:pPr>
              <w:pStyle w:val="27"/>
              <w:bidi w:val="0"/>
              <w:spacing w:before="0" w:after="0" w:line="240" w:lineRule="auto"/>
              <w:ind w:left="0" w:right="0" w:firstLine="0"/>
            </w:pPr>
            <w:r>
              <w:rPr>
                <w:sz w:val="18"/>
                <w:szCs w:val="18"/>
              </w:rPr>
              <w:t>Área</w:t>
            </w:r>
          </w:p>
        </w:tc>
        <w:tc>
          <w:tcPr>
            <w:tcW w:w="2515" w:type="dxa"/>
            <w:tcBorders>
              <w:top w:val="single" w:color="D9D9D9" w:sz="6" w:space="0"/>
              <w:left w:val="single" w:color="D9D9D9" w:sz="2" w:space="0"/>
              <w:bottom w:val="single" w:color="D9D9D9" w:sz="2" w:space="0"/>
              <w:right w:val="single" w:color="D9D9D9" w:sz="6" w:space="0"/>
            </w:tcBorders>
            <w:vAlign w:val="center"/>
          </w:tcPr>
          <w:p w14:paraId="242B92B9">
            <w:pPr>
              <w:pStyle w:val="27"/>
              <w:bidi w:val="0"/>
              <w:spacing w:before="0" w:after="0" w:line="240" w:lineRule="auto"/>
              <w:ind w:left="0" w:right="0" w:firstLine="0"/>
            </w:pPr>
            <w:r>
              <w:rPr>
                <w:sz w:val="18"/>
                <w:szCs w:val="18"/>
              </w:rPr>
              <w:t>Pruebas de referencia</w:t>
            </w:r>
          </w:p>
        </w:tc>
        <w:tc>
          <w:tcPr>
            <w:tcW w:w="3636" w:type="dxa"/>
            <w:tcBorders>
              <w:top w:val="single" w:color="D9D9D9" w:sz="6" w:space="0"/>
              <w:left w:val="single" w:color="D9D9D9" w:sz="2" w:space="0"/>
              <w:bottom w:val="single" w:color="D9D9D9" w:sz="2" w:space="0"/>
              <w:right w:val="single" w:color="D9D9D9" w:sz="6" w:space="0"/>
            </w:tcBorders>
            <w:vAlign w:val="center"/>
          </w:tcPr>
          <w:p w14:paraId="5BBDFA8C">
            <w:pPr>
              <w:pStyle w:val="27"/>
              <w:bidi w:val="0"/>
              <w:spacing w:before="0" w:after="0" w:line="240" w:lineRule="auto"/>
              <w:ind w:left="0" w:right="0" w:firstLine="0"/>
            </w:pPr>
            <w:r>
              <w:rPr>
                <w:sz w:val="18"/>
                <w:szCs w:val="18"/>
              </w:rPr>
              <w:t>Qué comprueban</w:t>
            </w:r>
          </w:p>
        </w:tc>
      </w:tr>
      <w:tr w14:paraId="4420F1BE">
        <w:tblPrEx>
          <w:tblCellMar>
            <w:top w:w="75" w:type="dxa"/>
            <w:left w:w="75" w:type="dxa"/>
            <w:bottom w:w="75" w:type="dxa"/>
            <w:right w:w="75" w:type="dxa"/>
          </w:tblCellMar>
        </w:tblPrEx>
        <w:trPr>
          <w:cantSplit/>
        </w:trPr>
        <w:tc>
          <w:tcPr>
            <w:tcW w:w="1499" w:type="dxa"/>
            <w:tcBorders>
              <w:left w:val="single" w:color="D9D9D9" w:sz="6" w:space="0"/>
              <w:bottom w:val="single" w:color="D9D9D9" w:sz="2" w:space="0"/>
              <w:right w:val="single" w:color="D9D9D9" w:sz="6" w:space="0"/>
            </w:tcBorders>
            <w:vAlign w:val="center"/>
          </w:tcPr>
          <w:p w14:paraId="5DD6B504">
            <w:pPr>
              <w:pStyle w:val="23"/>
              <w:bidi w:val="0"/>
              <w:spacing w:before="0" w:after="0" w:line="240" w:lineRule="auto"/>
              <w:ind w:left="0" w:right="0" w:firstLine="0"/>
              <w:jc w:val="left"/>
            </w:pPr>
            <w:r>
              <w:rPr>
                <w:sz w:val="18"/>
                <w:szCs w:val="18"/>
              </w:rPr>
              <w:t>Espectro y trazas</w:t>
            </w:r>
          </w:p>
        </w:tc>
        <w:tc>
          <w:tcPr>
            <w:tcW w:w="2515" w:type="dxa"/>
            <w:tcBorders>
              <w:left w:val="single" w:color="D9D9D9" w:sz="2" w:space="0"/>
              <w:bottom w:val="single" w:color="D9D9D9" w:sz="2" w:space="0"/>
              <w:right w:val="single" w:color="D9D9D9" w:sz="6" w:space="0"/>
            </w:tcBorders>
            <w:vAlign w:val="center"/>
          </w:tcPr>
          <w:p w14:paraId="7D479196">
            <w:pPr>
              <w:pStyle w:val="23"/>
              <w:bidi w:val="0"/>
              <w:spacing w:before="0" w:after="0" w:line="240" w:lineRule="auto"/>
              <w:ind w:left="0" w:right="0" w:firstLine="0"/>
              <w:jc w:val="left"/>
            </w:pPr>
            <w:r>
              <w:fldChar w:fldCharType="begin"/>
            </w:r>
            <w:r>
              <w:instrText xml:space="preserve"> HYPERLINK "demodulador/tests/test_dsp.py" \h </w:instrText>
            </w:r>
            <w:r>
              <w:fldChar w:fldCharType="separate"/>
            </w:r>
            <w:r>
              <w:rPr>
                <w:rStyle w:val="9"/>
                <w:sz w:val="18"/>
                <w:szCs w:val="18"/>
              </w:rPr>
              <w:t>test_dsp.py</w:t>
            </w:r>
            <w:r>
              <w:rPr>
                <w:rStyle w:val="9"/>
                <w:sz w:val="18"/>
                <w:szCs w:val="18"/>
              </w:rPr>
              <w:fldChar w:fldCharType="end"/>
            </w:r>
          </w:p>
        </w:tc>
        <w:tc>
          <w:tcPr>
            <w:tcW w:w="3636" w:type="dxa"/>
            <w:tcBorders>
              <w:left w:val="single" w:color="D9D9D9" w:sz="2" w:space="0"/>
              <w:bottom w:val="single" w:color="D9D9D9" w:sz="2" w:space="0"/>
              <w:right w:val="single" w:color="D9D9D9" w:sz="6" w:space="0"/>
            </w:tcBorders>
            <w:vAlign w:val="center"/>
          </w:tcPr>
          <w:p w14:paraId="1DE8A389">
            <w:pPr>
              <w:pStyle w:val="23"/>
              <w:bidi w:val="0"/>
              <w:spacing w:before="0" w:after="0" w:line="240" w:lineRule="auto"/>
              <w:ind w:left="0" w:right="0" w:firstLine="0"/>
              <w:jc w:val="left"/>
            </w:pPr>
            <w:r>
              <w:rPr>
                <w:sz w:val="18"/>
                <w:szCs w:val="18"/>
              </w:rPr>
              <w:t>Pico espectral, promedio y retención de máximos.</w:t>
            </w:r>
          </w:p>
        </w:tc>
      </w:tr>
      <w:tr w14:paraId="50B2A5A9">
        <w:tblPrEx>
          <w:tblCellMar>
            <w:top w:w="75" w:type="dxa"/>
            <w:left w:w="75" w:type="dxa"/>
            <w:bottom w:w="75" w:type="dxa"/>
            <w:right w:w="75" w:type="dxa"/>
          </w:tblCellMar>
        </w:tblPrEx>
        <w:trPr>
          <w:cantSplit/>
        </w:trPr>
        <w:tc>
          <w:tcPr>
            <w:tcW w:w="1499" w:type="dxa"/>
            <w:tcBorders>
              <w:left w:val="single" w:color="D9D9D9" w:sz="6" w:space="0"/>
              <w:bottom w:val="single" w:color="D9D9D9" w:sz="2" w:space="0"/>
              <w:right w:val="single" w:color="D9D9D9" w:sz="6" w:space="0"/>
            </w:tcBorders>
            <w:vAlign w:val="center"/>
          </w:tcPr>
          <w:p w14:paraId="4002286D">
            <w:pPr>
              <w:pStyle w:val="23"/>
              <w:bidi w:val="0"/>
              <w:spacing w:before="0" w:after="0" w:line="240" w:lineRule="auto"/>
              <w:ind w:left="0" w:right="0" w:firstLine="0"/>
              <w:jc w:val="left"/>
            </w:pPr>
            <w:r>
              <w:rPr>
                <w:sz w:val="18"/>
                <w:szCs w:val="18"/>
              </w:rPr>
              <w:t>FM y audio</w:t>
            </w:r>
          </w:p>
        </w:tc>
        <w:tc>
          <w:tcPr>
            <w:tcW w:w="2515" w:type="dxa"/>
            <w:tcBorders>
              <w:left w:val="single" w:color="D9D9D9" w:sz="2" w:space="0"/>
              <w:bottom w:val="single" w:color="D9D9D9" w:sz="2" w:space="0"/>
              <w:right w:val="single" w:color="D9D9D9" w:sz="6" w:space="0"/>
            </w:tcBorders>
            <w:vAlign w:val="center"/>
          </w:tcPr>
          <w:p w14:paraId="5B24FD42">
            <w:pPr>
              <w:pStyle w:val="23"/>
              <w:bidi w:val="0"/>
              <w:spacing w:before="0" w:after="0" w:line="240" w:lineRule="auto"/>
              <w:ind w:left="0" w:right="0" w:firstLine="0"/>
              <w:jc w:val="left"/>
            </w:pPr>
            <w:r>
              <w:fldChar w:fldCharType="begin"/>
            </w:r>
            <w:r>
              <w:instrText xml:space="preserve"> HYPERLINK "demodulador/tests/test_wbfm_audio.py" \h </w:instrText>
            </w:r>
            <w:r>
              <w:fldChar w:fldCharType="separate"/>
            </w:r>
            <w:r>
              <w:rPr>
                <w:rStyle w:val="9"/>
                <w:sz w:val="18"/>
                <w:szCs w:val="18"/>
              </w:rPr>
              <w:t>test_wbfm_audio.py</w:t>
            </w:r>
            <w:r>
              <w:rPr>
                <w:rStyle w:val="9"/>
                <w:sz w:val="18"/>
                <w:szCs w:val="18"/>
              </w:rPr>
              <w:fldChar w:fldCharType="end"/>
            </w:r>
            <w:r>
              <w:rPr>
                <w:sz w:val="18"/>
                <w:szCs w:val="18"/>
              </w:rPr>
              <w:t xml:space="preserve">, </w:t>
            </w:r>
            <w:r>
              <w:fldChar w:fldCharType="begin"/>
            </w:r>
            <w:r>
              <w:instrText xml:space="preserve"> HYPERLINK "demodulador/tests/test_audio_manager.py" \h </w:instrText>
            </w:r>
            <w:r>
              <w:fldChar w:fldCharType="separate"/>
            </w:r>
            <w:r>
              <w:rPr>
                <w:rStyle w:val="9"/>
                <w:sz w:val="18"/>
                <w:szCs w:val="18"/>
              </w:rPr>
              <w:t>test_audio_manager.py</w:t>
            </w:r>
            <w:r>
              <w:rPr>
                <w:rStyle w:val="9"/>
                <w:sz w:val="18"/>
                <w:szCs w:val="18"/>
              </w:rPr>
              <w:fldChar w:fldCharType="end"/>
            </w:r>
          </w:p>
        </w:tc>
        <w:tc>
          <w:tcPr>
            <w:tcW w:w="3636" w:type="dxa"/>
            <w:tcBorders>
              <w:left w:val="single" w:color="D9D9D9" w:sz="2" w:space="0"/>
              <w:bottom w:val="single" w:color="D9D9D9" w:sz="2" w:space="0"/>
              <w:right w:val="single" w:color="D9D9D9" w:sz="6" w:space="0"/>
            </w:tcBorders>
            <w:vAlign w:val="center"/>
          </w:tcPr>
          <w:p w14:paraId="12B5800F">
            <w:pPr>
              <w:pStyle w:val="23"/>
              <w:bidi w:val="0"/>
              <w:spacing w:before="0" w:after="0" w:line="240" w:lineRule="auto"/>
              <w:ind w:left="0" w:right="0" w:firstLine="0"/>
              <w:jc w:val="left"/>
            </w:pPr>
            <w:r>
              <w:rPr>
                <w:sz w:val="18"/>
                <w:szCs w:val="18"/>
              </w:rPr>
              <w:t>Separación estéreo, mono sin piloto, continuidad de bloques, pausa y cola de audio.</w:t>
            </w:r>
          </w:p>
        </w:tc>
      </w:tr>
      <w:tr w14:paraId="4D9810EF">
        <w:trPr>
          <w:cantSplit/>
        </w:trPr>
        <w:tc>
          <w:tcPr>
            <w:tcW w:w="1499" w:type="dxa"/>
            <w:tcBorders>
              <w:left w:val="single" w:color="D9D9D9" w:sz="6" w:space="0"/>
              <w:bottom w:val="single" w:color="D9D9D9" w:sz="2" w:space="0"/>
              <w:right w:val="single" w:color="D9D9D9" w:sz="6" w:space="0"/>
            </w:tcBorders>
            <w:vAlign w:val="center"/>
          </w:tcPr>
          <w:p w14:paraId="107ECB06">
            <w:pPr>
              <w:pStyle w:val="23"/>
              <w:bidi w:val="0"/>
              <w:spacing w:before="0" w:after="0" w:line="240" w:lineRule="auto"/>
              <w:ind w:left="0" w:right="0" w:firstLine="0"/>
              <w:jc w:val="left"/>
            </w:pPr>
            <w:r>
              <w:rPr>
                <w:sz w:val="18"/>
                <w:szCs w:val="18"/>
              </w:rPr>
              <w:t>RDS</w:t>
            </w:r>
          </w:p>
        </w:tc>
        <w:tc>
          <w:tcPr>
            <w:tcW w:w="2515" w:type="dxa"/>
            <w:tcBorders>
              <w:left w:val="single" w:color="D9D9D9" w:sz="2" w:space="0"/>
              <w:bottom w:val="single" w:color="D9D9D9" w:sz="2" w:space="0"/>
              <w:right w:val="single" w:color="D9D9D9" w:sz="6" w:space="0"/>
            </w:tcBorders>
            <w:vAlign w:val="center"/>
          </w:tcPr>
          <w:p w14:paraId="544292BD">
            <w:pPr>
              <w:pStyle w:val="23"/>
              <w:bidi w:val="0"/>
              <w:spacing w:before="0" w:after="0" w:line="240" w:lineRule="auto"/>
              <w:ind w:left="0" w:right="0" w:firstLine="0"/>
              <w:jc w:val="left"/>
            </w:pPr>
            <w:r>
              <w:fldChar w:fldCharType="begin"/>
            </w:r>
            <w:r>
              <w:instrText xml:space="preserve"> HYPERLINK "demodulador/tests/test_rds.py" \h </w:instrText>
            </w:r>
            <w:r>
              <w:fldChar w:fldCharType="separate"/>
            </w:r>
            <w:r>
              <w:rPr>
                <w:rStyle w:val="9"/>
                <w:sz w:val="18"/>
                <w:szCs w:val="18"/>
              </w:rPr>
              <w:t>test_rds.py</w:t>
            </w:r>
            <w:r>
              <w:rPr>
                <w:rStyle w:val="9"/>
                <w:sz w:val="18"/>
                <w:szCs w:val="18"/>
              </w:rPr>
              <w:fldChar w:fldCharType="end"/>
            </w:r>
            <w:r>
              <w:rPr>
                <w:sz w:val="18"/>
                <w:szCs w:val="18"/>
              </w:rPr>
              <w:t xml:space="preserve">, </w:t>
            </w:r>
            <w:r>
              <w:fldChar w:fldCharType="begin"/>
            </w:r>
            <w:r>
              <w:instrText xml:space="preserve"> HYPERLINK "demodulador/tests/test_offline_startup.py" \h </w:instrText>
            </w:r>
            <w:r>
              <w:fldChar w:fldCharType="separate"/>
            </w:r>
            <w:r>
              <w:rPr>
                <w:rStyle w:val="9"/>
                <w:sz w:val="18"/>
                <w:szCs w:val="18"/>
              </w:rPr>
              <w:t>test_offline_startup.py</w:t>
            </w:r>
            <w:r>
              <w:rPr>
                <w:rStyle w:val="9"/>
                <w:sz w:val="18"/>
                <w:szCs w:val="18"/>
              </w:rPr>
              <w:fldChar w:fldCharType="end"/>
            </w:r>
          </w:p>
        </w:tc>
        <w:tc>
          <w:tcPr>
            <w:tcW w:w="3636" w:type="dxa"/>
            <w:tcBorders>
              <w:left w:val="single" w:color="D9D9D9" w:sz="2" w:space="0"/>
              <w:bottom w:val="single" w:color="D9D9D9" w:sz="2" w:space="0"/>
              <w:right w:val="single" w:color="D9D9D9" w:sz="6" w:space="0"/>
            </w:tcBorders>
            <w:vAlign w:val="center"/>
          </w:tcPr>
          <w:p w14:paraId="3021446B">
            <w:pPr>
              <w:pStyle w:val="23"/>
              <w:bidi w:val="0"/>
              <w:spacing w:before="0" w:after="0" w:line="240" w:lineRule="auto"/>
              <w:ind w:left="0" w:right="0" w:firstLine="0"/>
              <w:jc w:val="left"/>
            </w:pPr>
            <w:r>
              <w:rPr>
                <w:sz w:val="18"/>
                <w:szCs w:val="18"/>
              </w:rPr>
              <w:t>CRC de grupos, PS/RadioText, versiones A/B, recorrido IQ en ambos modos FM y panel de interfaz.</w:t>
            </w:r>
          </w:p>
        </w:tc>
      </w:tr>
      <w:tr w14:paraId="4376D350">
        <w:tblPrEx>
          <w:tblCellMar>
            <w:top w:w="75" w:type="dxa"/>
            <w:left w:w="75" w:type="dxa"/>
            <w:bottom w:w="75" w:type="dxa"/>
            <w:right w:w="75" w:type="dxa"/>
          </w:tblCellMar>
        </w:tblPrEx>
        <w:trPr>
          <w:cantSplit/>
        </w:trPr>
        <w:tc>
          <w:tcPr>
            <w:tcW w:w="1499" w:type="dxa"/>
            <w:tcBorders>
              <w:left w:val="single" w:color="D9D9D9" w:sz="6" w:space="0"/>
              <w:bottom w:val="single" w:color="D9D9D9" w:sz="2" w:space="0"/>
              <w:right w:val="single" w:color="D9D9D9" w:sz="6" w:space="0"/>
            </w:tcBorders>
            <w:vAlign w:val="center"/>
          </w:tcPr>
          <w:p w14:paraId="51AAEA32">
            <w:pPr>
              <w:pStyle w:val="23"/>
              <w:bidi w:val="0"/>
              <w:spacing w:before="0" w:after="0" w:line="240" w:lineRule="auto"/>
              <w:ind w:left="0" w:right="0" w:firstLine="0"/>
              <w:jc w:val="left"/>
            </w:pPr>
            <w:r>
              <w:rPr>
                <w:sz w:val="18"/>
                <w:szCs w:val="18"/>
              </w:rPr>
              <w:t>WiFi</w:t>
            </w:r>
          </w:p>
        </w:tc>
        <w:tc>
          <w:tcPr>
            <w:tcW w:w="2515" w:type="dxa"/>
            <w:tcBorders>
              <w:left w:val="single" w:color="D9D9D9" w:sz="2" w:space="0"/>
              <w:bottom w:val="single" w:color="D9D9D9" w:sz="2" w:space="0"/>
              <w:right w:val="single" w:color="D9D9D9" w:sz="6" w:space="0"/>
            </w:tcBorders>
            <w:vAlign w:val="center"/>
          </w:tcPr>
          <w:p w14:paraId="538C57F3">
            <w:pPr>
              <w:pStyle w:val="23"/>
              <w:bidi w:val="0"/>
              <w:spacing w:before="0" w:after="0" w:line="240" w:lineRule="auto"/>
              <w:ind w:left="0" w:right="0" w:firstLine="0"/>
              <w:jc w:val="left"/>
            </w:pPr>
            <w:r>
              <w:fldChar w:fldCharType="begin"/>
            </w:r>
            <w:r>
              <w:instrText xml:space="preserve"> HYPERLINK "demodulador/tests/test_wifi_ag.py" \h </w:instrText>
            </w:r>
            <w:r>
              <w:fldChar w:fldCharType="separate"/>
            </w:r>
            <w:r>
              <w:rPr>
                <w:rStyle w:val="9"/>
                <w:sz w:val="18"/>
                <w:szCs w:val="18"/>
              </w:rPr>
              <w:t>test_wifi_ag.py</w:t>
            </w:r>
            <w:r>
              <w:rPr>
                <w:rStyle w:val="9"/>
                <w:sz w:val="18"/>
                <w:szCs w:val="18"/>
              </w:rPr>
              <w:fldChar w:fldCharType="end"/>
            </w:r>
          </w:p>
        </w:tc>
        <w:tc>
          <w:tcPr>
            <w:tcW w:w="3636" w:type="dxa"/>
            <w:tcBorders>
              <w:left w:val="single" w:color="D9D9D9" w:sz="2" w:space="0"/>
              <w:bottom w:val="single" w:color="D9D9D9" w:sz="2" w:space="0"/>
              <w:right w:val="single" w:color="D9D9D9" w:sz="6" w:space="0"/>
            </w:tcBorders>
            <w:vAlign w:val="center"/>
          </w:tcPr>
          <w:p w14:paraId="3238EB42">
            <w:pPr>
              <w:pStyle w:val="23"/>
              <w:bidi w:val="0"/>
              <w:spacing w:before="0" w:after="0" w:line="240" w:lineRule="auto"/>
              <w:ind w:left="0" w:right="0" w:firstLine="0"/>
              <w:jc w:val="left"/>
            </w:pPr>
            <w:r>
              <w:rPr>
                <w:sz w:val="18"/>
                <w:szCs w:val="18"/>
              </w:rPr>
              <w:t>Sincronización, CFO, SIGNAL, EVM, tramas sintéticas y límites entre callbacks.</w:t>
            </w:r>
          </w:p>
        </w:tc>
      </w:tr>
      <w:tr w14:paraId="7E418CBF">
        <w:tblPrEx>
          <w:tblCellMar>
            <w:top w:w="75" w:type="dxa"/>
            <w:left w:w="75" w:type="dxa"/>
            <w:bottom w:w="75" w:type="dxa"/>
            <w:right w:w="75" w:type="dxa"/>
          </w:tblCellMar>
        </w:tblPrEx>
        <w:trPr>
          <w:cantSplit/>
        </w:trPr>
        <w:tc>
          <w:tcPr>
            <w:tcW w:w="1499" w:type="dxa"/>
            <w:tcBorders>
              <w:left w:val="single" w:color="D9D9D9" w:sz="6" w:space="0"/>
              <w:bottom w:val="single" w:color="D9D9D9" w:sz="2" w:space="0"/>
              <w:right w:val="single" w:color="D9D9D9" w:sz="6" w:space="0"/>
            </w:tcBorders>
            <w:vAlign w:val="center"/>
          </w:tcPr>
          <w:p w14:paraId="07043C75">
            <w:pPr>
              <w:pStyle w:val="23"/>
              <w:bidi w:val="0"/>
              <w:spacing w:before="0" w:after="0" w:line="240" w:lineRule="auto"/>
              <w:ind w:left="0" w:right="0" w:firstLine="0"/>
              <w:jc w:val="left"/>
            </w:pPr>
            <w:r>
              <w:rPr>
                <w:sz w:val="18"/>
                <w:szCs w:val="18"/>
              </w:rPr>
              <w:t>BLE</w:t>
            </w:r>
          </w:p>
        </w:tc>
        <w:tc>
          <w:tcPr>
            <w:tcW w:w="2515" w:type="dxa"/>
            <w:tcBorders>
              <w:left w:val="single" w:color="D9D9D9" w:sz="2" w:space="0"/>
              <w:bottom w:val="single" w:color="D9D9D9" w:sz="2" w:space="0"/>
              <w:right w:val="single" w:color="D9D9D9" w:sz="6" w:space="0"/>
            </w:tcBorders>
            <w:vAlign w:val="center"/>
          </w:tcPr>
          <w:p w14:paraId="64F03344">
            <w:pPr>
              <w:pStyle w:val="23"/>
              <w:bidi w:val="0"/>
              <w:spacing w:before="0" w:after="0" w:line="240" w:lineRule="auto"/>
              <w:ind w:left="0" w:right="0" w:firstLine="0"/>
              <w:jc w:val="left"/>
            </w:pPr>
            <w:r>
              <w:fldChar w:fldCharType="begin"/>
            </w:r>
            <w:r>
              <w:instrText xml:space="preserve"> HYPERLINK "demodulador/tests/test_btle.py" \h </w:instrText>
            </w:r>
            <w:r>
              <w:fldChar w:fldCharType="separate"/>
            </w:r>
            <w:r>
              <w:rPr>
                <w:rStyle w:val="9"/>
                <w:sz w:val="18"/>
                <w:szCs w:val="18"/>
              </w:rPr>
              <w:t>test_btle.py</w:t>
            </w:r>
            <w:r>
              <w:rPr>
                <w:rStyle w:val="9"/>
                <w:sz w:val="18"/>
                <w:szCs w:val="18"/>
              </w:rPr>
              <w:fldChar w:fldCharType="end"/>
            </w:r>
            <w:r>
              <w:rPr>
                <w:sz w:val="18"/>
                <w:szCs w:val="18"/>
              </w:rPr>
              <w:t xml:space="preserve">, </w:t>
            </w:r>
            <w:r>
              <w:fldChar w:fldCharType="begin"/>
            </w:r>
            <w:r>
              <w:instrText xml:space="preserve"> HYPERLINK "demodulador/tests/test_btle_frames.py" \h </w:instrText>
            </w:r>
            <w:r>
              <w:fldChar w:fldCharType="separate"/>
            </w:r>
            <w:r>
              <w:rPr>
                <w:rStyle w:val="9"/>
                <w:sz w:val="18"/>
                <w:szCs w:val="18"/>
              </w:rPr>
              <w:t>test_btle_frames.py</w:t>
            </w:r>
            <w:r>
              <w:rPr>
                <w:rStyle w:val="9"/>
                <w:sz w:val="18"/>
                <w:szCs w:val="18"/>
              </w:rPr>
              <w:fldChar w:fldCharType="end"/>
            </w:r>
          </w:p>
        </w:tc>
        <w:tc>
          <w:tcPr>
            <w:tcW w:w="3636" w:type="dxa"/>
            <w:tcBorders>
              <w:left w:val="single" w:color="D9D9D9" w:sz="2" w:space="0"/>
              <w:bottom w:val="single" w:color="D9D9D9" w:sz="2" w:space="0"/>
              <w:right w:val="single" w:color="D9D9D9" w:sz="6" w:space="0"/>
            </w:tcBorders>
            <w:vAlign w:val="center"/>
          </w:tcPr>
          <w:p w14:paraId="2BDC1975">
            <w:pPr>
              <w:pStyle w:val="23"/>
              <w:bidi w:val="0"/>
              <w:spacing w:before="0" w:after="0" w:line="240" w:lineRule="auto"/>
              <w:ind w:left="0" w:right="0" w:firstLine="0"/>
              <w:jc w:val="left"/>
            </w:pPr>
            <w:r>
              <w:rPr>
                <w:sz w:val="18"/>
                <w:szCs w:val="18"/>
              </w:rPr>
              <w:t>Preámbulo LE 1M/2M, anuncios legacy, dewhitening, CRC y rechazo de señales falsas.</w:t>
            </w:r>
          </w:p>
        </w:tc>
      </w:tr>
      <w:tr w14:paraId="49E30021">
        <w:tblPrEx>
          <w:tblCellMar>
            <w:top w:w="75" w:type="dxa"/>
            <w:left w:w="75" w:type="dxa"/>
            <w:bottom w:w="75" w:type="dxa"/>
            <w:right w:w="75" w:type="dxa"/>
          </w:tblCellMar>
        </w:tblPrEx>
        <w:trPr>
          <w:cantSplit/>
        </w:trPr>
        <w:tc>
          <w:tcPr>
            <w:tcW w:w="1499" w:type="dxa"/>
            <w:tcBorders>
              <w:left w:val="single" w:color="D9D9D9" w:sz="6" w:space="0"/>
              <w:bottom w:val="single" w:color="D9D9D9" w:sz="2" w:space="0"/>
              <w:right w:val="single" w:color="D9D9D9" w:sz="6" w:space="0"/>
            </w:tcBorders>
            <w:vAlign w:val="center"/>
          </w:tcPr>
          <w:p w14:paraId="36FE4E5E">
            <w:pPr>
              <w:pStyle w:val="23"/>
              <w:bidi w:val="0"/>
              <w:spacing w:before="0" w:after="0" w:line="240" w:lineRule="auto"/>
              <w:ind w:left="0" w:right="0" w:firstLine="0"/>
              <w:jc w:val="left"/>
            </w:pPr>
            <w:r>
              <w:rPr>
                <w:sz w:val="18"/>
                <w:szCs w:val="18"/>
              </w:rPr>
              <w:t>LoRa</w:t>
            </w:r>
          </w:p>
        </w:tc>
        <w:tc>
          <w:tcPr>
            <w:tcW w:w="2515" w:type="dxa"/>
            <w:tcBorders>
              <w:left w:val="single" w:color="D9D9D9" w:sz="2" w:space="0"/>
              <w:bottom w:val="single" w:color="D9D9D9" w:sz="2" w:space="0"/>
              <w:right w:val="single" w:color="D9D9D9" w:sz="6" w:space="0"/>
            </w:tcBorders>
            <w:vAlign w:val="center"/>
          </w:tcPr>
          <w:p w14:paraId="545A1795">
            <w:pPr>
              <w:pStyle w:val="23"/>
              <w:bidi w:val="0"/>
              <w:spacing w:before="0" w:after="0" w:line="240" w:lineRule="auto"/>
              <w:ind w:left="0" w:right="0" w:firstLine="0"/>
              <w:jc w:val="left"/>
            </w:pPr>
            <w:r>
              <w:fldChar w:fldCharType="begin"/>
            </w:r>
            <w:r>
              <w:instrText xml:space="preserve"> HYPERLINK "demodulador/tests/test_lora_core.py" \h </w:instrText>
            </w:r>
            <w:r>
              <w:fldChar w:fldCharType="separate"/>
            </w:r>
            <w:r>
              <w:rPr>
                <w:rStyle w:val="9"/>
                <w:sz w:val="18"/>
                <w:szCs w:val="18"/>
              </w:rPr>
              <w:t>test_lora_core.py</w:t>
            </w:r>
            <w:r>
              <w:rPr>
                <w:rStyle w:val="9"/>
                <w:sz w:val="18"/>
                <w:szCs w:val="18"/>
              </w:rPr>
              <w:fldChar w:fldCharType="end"/>
            </w:r>
            <w:r>
              <w:rPr>
                <w:sz w:val="18"/>
                <w:szCs w:val="18"/>
              </w:rPr>
              <w:t xml:space="preserve">, </w:t>
            </w:r>
            <w:r>
              <w:fldChar w:fldCharType="begin"/>
            </w:r>
            <w:r>
              <w:instrText xml:space="preserve"> HYPERLINK "demodulador/tests/test_lora_stream.py" \h </w:instrText>
            </w:r>
            <w:r>
              <w:fldChar w:fldCharType="separate"/>
            </w:r>
            <w:r>
              <w:rPr>
                <w:rStyle w:val="9"/>
                <w:sz w:val="18"/>
                <w:szCs w:val="18"/>
              </w:rPr>
              <w:t>test_lora_stream.py</w:t>
            </w:r>
            <w:r>
              <w:rPr>
                <w:rStyle w:val="9"/>
                <w:sz w:val="18"/>
                <w:szCs w:val="18"/>
              </w:rPr>
              <w:fldChar w:fldCharType="end"/>
            </w:r>
          </w:p>
        </w:tc>
        <w:tc>
          <w:tcPr>
            <w:tcW w:w="3636" w:type="dxa"/>
            <w:tcBorders>
              <w:left w:val="single" w:color="D9D9D9" w:sz="2" w:space="0"/>
              <w:bottom w:val="single" w:color="D9D9D9" w:sz="2" w:space="0"/>
              <w:right w:val="single" w:color="D9D9D9" w:sz="6" w:space="0"/>
            </w:tcBorders>
            <w:vAlign w:val="center"/>
          </w:tcPr>
          <w:p w14:paraId="38458407">
            <w:pPr>
              <w:pStyle w:val="23"/>
              <w:bidi w:val="0"/>
              <w:spacing w:before="0" w:after="0" w:line="240" w:lineRule="auto"/>
              <w:ind w:left="0" w:right="0" w:firstLine="0"/>
              <w:jc w:val="left"/>
            </w:pPr>
            <w:r>
              <w:rPr>
                <w:sz w:val="18"/>
                <w:szCs w:val="18"/>
              </w:rPr>
              <w:t>Decodificación física, CRC, flujo continuo y un paquete RF real recortado.</w:t>
            </w:r>
          </w:p>
        </w:tc>
      </w:tr>
      <w:tr w14:paraId="367A04BD">
        <w:trPr>
          <w:cantSplit/>
        </w:trPr>
        <w:tc>
          <w:tcPr>
            <w:tcW w:w="1499" w:type="dxa"/>
            <w:tcBorders>
              <w:left w:val="single" w:color="D9D9D9" w:sz="6" w:space="0"/>
              <w:bottom w:val="single" w:color="D9D9D9" w:sz="2" w:space="0"/>
              <w:right w:val="single" w:color="D9D9D9" w:sz="6" w:space="0"/>
            </w:tcBorders>
            <w:vAlign w:val="center"/>
          </w:tcPr>
          <w:p w14:paraId="53B3FF0F">
            <w:pPr>
              <w:pStyle w:val="23"/>
              <w:bidi w:val="0"/>
              <w:spacing w:before="0" w:after="0" w:line="240" w:lineRule="auto"/>
              <w:ind w:left="0" w:right="0" w:firstLine="0"/>
              <w:jc w:val="left"/>
            </w:pPr>
            <w:r>
              <w:rPr>
                <w:sz w:val="18"/>
                <w:szCs w:val="18"/>
              </w:rPr>
              <w:t>Capturas y reproducción</w:t>
            </w:r>
          </w:p>
        </w:tc>
        <w:tc>
          <w:tcPr>
            <w:tcW w:w="2515" w:type="dxa"/>
            <w:tcBorders>
              <w:left w:val="single" w:color="D9D9D9" w:sz="2" w:space="0"/>
              <w:bottom w:val="single" w:color="D9D9D9" w:sz="2" w:space="0"/>
              <w:right w:val="single" w:color="D9D9D9" w:sz="6" w:space="0"/>
            </w:tcBorders>
            <w:vAlign w:val="center"/>
          </w:tcPr>
          <w:p w14:paraId="1C146DF2">
            <w:pPr>
              <w:pStyle w:val="23"/>
              <w:bidi w:val="0"/>
              <w:spacing w:before="0" w:after="0" w:line="240" w:lineRule="auto"/>
              <w:ind w:left="0" w:right="0" w:firstLine="0"/>
              <w:jc w:val="left"/>
            </w:pPr>
            <w:r>
              <w:fldChar w:fldCharType="begin"/>
            </w:r>
            <w:r>
              <w:instrText xml:space="preserve"> HYPERLINK "demodulador/tests/test_iq_capture.py" \h </w:instrText>
            </w:r>
            <w:r>
              <w:fldChar w:fldCharType="separate"/>
            </w:r>
            <w:r>
              <w:rPr>
                <w:rStyle w:val="9"/>
                <w:sz w:val="18"/>
                <w:szCs w:val="18"/>
              </w:rPr>
              <w:t>test_iq_capture.py</w:t>
            </w:r>
            <w:r>
              <w:rPr>
                <w:rStyle w:val="9"/>
                <w:sz w:val="18"/>
                <w:szCs w:val="18"/>
              </w:rPr>
              <w:fldChar w:fldCharType="end"/>
            </w:r>
            <w:r>
              <w:rPr>
                <w:sz w:val="18"/>
                <w:szCs w:val="18"/>
              </w:rPr>
              <w:t xml:space="preserve">, </w:t>
            </w:r>
            <w:r>
              <w:fldChar w:fldCharType="begin"/>
            </w:r>
            <w:r>
              <w:instrText xml:space="preserve"> HYPERLINK "demodulador/tests/test_playback_manager.py" \h </w:instrText>
            </w:r>
            <w:r>
              <w:fldChar w:fldCharType="separate"/>
            </w:r>
            <w:r>
              <w:rPr>
                <w:rStyle w:val="9"/>
                <w:sz w:val="18"/>
                <w:szCs w:val="18"/>
              </w:rPr>
              <w:t>test_playback_manager.py</w:t>
            </w:r>
            <w:r>
              <w:rPr>
                <w:rStyle w:val="9"/>
                <w:sz w:val="18"/>
                <w:szCs w:val="18"/>
              </w:rPr>
              <w:fldChar w:fldCharType="end"/>
            </w:r>
          </w:p>
        </w:tc>
        <w:tc>
          <w:tcPr>
            <w:tcW w:w="3636" w:type="dxa"/>
            <w:tcBorders>
              <w:left w:val="single" w:color="D9D9D9" w:sz="2" w:space="0"/>
              <w:bottom w:val="single" w:color="D9D9D9" w:sz="2" w:space="0"/>
              <w:right w:val="single" w:color="D9D9D9" w:sz="6" w:space="0"/>
            </w:tcBorders>
            <w:vAlign w:val="center"/>
          </w:tcPr>
          <w:p w14:paraId="480C8A11">
            <w:pPr>
              <w:pStyle w:val="23"/>
              <w:bidi w:val="0"/>
              <w:spacing w:before="0" w:after="0" w:line="240" w:lineRule="auto"/>
              <w:ind w:left="0" w:right="0" w:firstLine="0"/>
              <w:jc w:val="left"/>
            </w:pPr>
            <w:r>
              <w:rPr>
                <w:sz w:val="18"/>
                <w:szCs w:val="18"/>
              </w:rPr>
              <w:t>Orden, muestras finales, SHA-256, errores, bucle y restauración de la sesión.</w:t>
            </w:r>
          </w:p>
        </w:tc>
      </w:tr>
      <w:tr w14:paraId="23CAC312">
        <w:tblPrEx>
          <w:tblCellMar>
            <w:top w:w="75" w:type="dxa"/>
            <w:left w:w="75" w:type="dxa"/>
            <w:bottom w:w="75" w:type="dxa"/>
            <w:right w:w="75" w:type="dxa"/>
          </w:tblCellMar>
        </w:tblPrEx>
        <w:trPr>
          <w:cantSplit/>
        </w:trPr>
        <w:tc>
          <w:tcPr>
            <w:tcW w:w="1499" w:type="dxa"/>
            <w:tcBorders>
              <w:left w:val="single" w:color="D9D9D9" w:sz="6" w:space="0"/>
              <w:bottom w:val="single" w:color="D9D9D9" w:sz="6" w:space="0"/>
              <w:right w:val="single" w:color="D9D9D9" w:sz="6" w:space="0"/>
            </w:tcBorders>
            <w:vAlign w:val="center"/>
          </w:tcPr>
          <w:p w14:paraId="27468AB1">
            <w:pPr>
              <w:pStyle w:val="23"/>
              <w:bidi w:val="0"/>
              <w:spacing w:before="0" w:after="0" w:line="240" w:lineRule="auto"/>
              <w:ind w:left="0" w:right="0" w:firstLine="0"/>
              <w:jc w:val="left"/>
            </w:pPr>
            <w:r>
              <w:rPr>
                <w:sz w:val="18"/>
                <w:szCs w:val="18"/>
              </w:rPr>
              <w:t>Hardware y cortes</w:t>
            </w:r>
          </w:p>
        </w:tc>
        <w:tc>
          <w:tcPr>
            <w:tcW w:w="2515" w:type="dxa"/>
            <w:tcBorders>
              <w:left w:val="single" w:color="D9D9D9" w:sz="2" w:space="0"/>
              <w:bottom w:val="single" w:color="D9D9D9" w:sz="6" w:space="0"/>
              <w:right w:val="single" w:color="D9D9D9" w:sz="6" w:space="0"/>
            </w:tcBorders>
            <w:vAlign w:val="center"/>
          </w:tcPr>
          <w:p w14:paraId="23BEA598">
            <w:pPr>
              <w:pStyle w:val="23"/>
              <w:bidi w:val="0"/>
              <w:spacing w:before="0" w:after="0" w:line="240" w:lineRule="auto"/>
              <w:ind w:left="0" w:right="0" w:firstLine="0"/>
              <w:jc w:val="left"/>
            </w:pPr>
            <w:r>
              <w:fldChar w:fldCharType="begin"/>
            </w:r>
            <w:r>
              <w:instrText xml:space="preserve"> HYPERLINK "demodulador/tests/test_hackrf_handler.py" \h </w:instrText>
            </w:r>
            <w:r>
              <w:fldChar w:fldCharType="separate"/>
            </w:r>
            <w:r>
              <w:rPr>
                <w:rStyle w:val="9"/>
                <w:sz w:val="18"/>
                <w:szCs w:val="18"/>
              </w:rPr>
              <w:t>test_hackrf_handler.py</w:t>
            </w:r>
            <w:r>
              <w:rPr>
                <w:rStyle w:val="9"/>
                <w:sz w:val="18"/>
                <w:szCs w:val="18"/>
              </w:rPr>
              <w:fldChar w:fldCharType="end"/>
            </w:r>
            <w:r>
              <w:rPr>
                <w:sz w:val="18"/>
                <w:szCs w:val="18"/>
              </w:rPr>
              <w:t xml:space="preserve">, </w:t>
            </w:r>
            <w:r>
              <w:fldChar w:fldCharType="begin"/>
            </w:r>
            <w:r>
              <w:instrText xml:space="preserve"> HYPERLINK "demodulador/tests/test_rtlsdr_handler.py" \h </w:instrText>
            </w:r>
            <w:r>
              <w:fldChar w:fldCharType="separate"/>
            </w:r>
            <w:r>
              <w:rPr>
                <w:rStyle w:val="9"/>
                <w:sz w:val="18"/>
                <w:szCs w:val="18"/>
              </w:rPr>
              <w:t>test_rtlsdr_handler.py</w:t>
            </w:r>
            <w:r>
              <w:rPr>
                <w:rStyle w:val="9"/>
                <w:sz w:val="18"/>
                <w:szCs w:val="18"/>
              </w:rPr>
              <w:fldChar w:fldCharType="end"/>
            </w:r>
            <w:r>
              <w:rPr>
                <w:sz w:val="18"/>
                <w:szCs w:val="18"/>
              </w:rPr>
              <w:t xml:space="preserve">, </w:t>
            </w:r>
            <w:r>
              <w:fldChar w:fldCharType="begin"/>
            </w:r>
            <w:r>
              <w:instrText xml:space="preserve"> HYPERLINK "demodulador/tests/test_stream_reset.py" \h </w:instrText>
            </w:r>
            <w:r>
              <w:fldChar w:fldCharType="separate"/>
            </w:r>
            <w:r>
              <w:rPr>
                <w:rStyle w:val="9"/>
                <w:sz w:val="18"/>
                <w:szCs w:val="18"/>
              </w:rPr>
              <w:t>test_stream_reset.py</w:t>
            </w:r>
            <w:r>
              <w:rPr>
                <w:rStyle w:val="9"/>
                <w:sz w:val="18"/>
                <w:szCs w:val="18"/>
              </w:rPr>
              <w:fldChar w:fldCharType="end"/>
            </w:r>
          </w:p>
        </w:tc>
        <w:tc>
          <w:tcPr>
            <w:tcW w:w="3636" w:type="dxa"/>
            <w:tcBorders>
              <w:left w:val="single" w:color="D9D9D9" w:sz="2" w:space="0"/>
              <w:bottom w:val="single" w:color="D9D9D9" w:sz="6" w:space="0"/>
              <w:right w:val="single" w:color="D9D9D9" w:sz="6" w:space="0"/>
            </w:tcBorders>
            <w:vAlign w:val="center"/>
          </w:tcPr>
          <w:p w14:paraId="51D80483">
            <w:pPr>
              <w:pStyle w:val="23"/>
              <w:bidi w:val="0"/>
              <w:spacing w:before="0" w:after="0" w:line="240" w:lineRule="auto"/>
              <w:jc w:val="left"/>
            </w:pPr>
            <w:r>
              <w:rPr>
                <w:sz w:val="18"/>
                <w:szCs w:val="18"/>
              </w:rPr>
              <w:t>Transiciones y fallas simuladas; no sustituye una prueba USB con el equipo real.</w:t>
            </w:r>
          </w:p>
        </w:tc>
      </w:tr>
    </w:tbl>
    <w:p w14:paraId="3E8F8C6D">
      <w:pPr>
        <w:pStyle w:val="4"/>
        <w:bidi w:val="0"/>
        <w:jc w:val="left"/>
      </w:pPr>
      <w:r>
        <w:t>Las rutas LTE tienen pruebas de integración del reinicio de flujo y publicación de resultados pendientes, pero todavía no tienen una batería equivalente de regresiones de protocolo downlink/uplink con capturas de referencia. Esa diferencia de cobertura importa al interpretar cambios en esos modos.</w:t>
      </w:r>
    </w:p>
    <w:p w14:paraId="7C975C40">
      <w:pPr>
        <w:pStyle w:val="6"/>
        <w:keepNext/>
        <w:keepLines/>
        <w:bidi w:val="0"/>
        <w:jc w:val="left"/>
      </w:pPr>
      <w:r>
        <w:t>Evidencia con capturas reales</w:t>
      </w:r>
    </w:p>
    <w:p w14:paraId="40F1B137">
      <w:pPr>
        <w:pStyle w:val="4"/>
        <w:bidi w:val="0"/>
        <w:ind w:left="0" w:right="0" w:firstLine="0"/>
        <w:jc w:val="left"/>
      </w:pPr>
      <w:r>
        <w:t xml:space="preserve">El fixture versionado </w:t>
      </w:r>
      <w:r>
        <w:fldChar w:fldCharType="begin"/>
      </w:r>
      <w:r>
        <w:instrText xml:space="preserve"> HYPERLINK "demodulador/tests/fixtures/lora_sf8_500k.npy" \h </w:instrText>
      </w:r>
      <w:r>
        <w:fldChar w:fldCharType="separate"/>
      </w:r>
      <w:r>
        <w:rPr>
          <w:rStyle w:val="9"/>
        </w:rPr>
        <w:t>lora_sf8_500k.npy</w:t>
      </w:r>
      <w:r>
        <w:rPr>
          <w:rStyle w:val="9"/>
        </w:rPr>
        <w:fldChar w:fldCharType="end"/>
      </w:r>
      <w:r>
        <w:t xml:space="preserve"> es un recorte IQ de un paquete RF real. La prueba verifica payload </w:t>
      </w:r>
      <w:r>
        <w:rPr>
          <w:rFonts w:ascii="Liberation Mono;Consolas;monosp" w:hAnsi="Liberation Mono;Consolas;monosp"/>
          <w:sz w:val="18"/>
        </w:rPr>
        <w:t>INTI</w:t>
      </w:r>
      <w:r>
        <w:t xml:space="preserve">, sync word </w:t>
      </w:r>
      <w:r>
        <w:rPr>
          <w:rFonts w:ascii="Liberation Mono;Consolas;monosp" w:hAnsi="Liberation Mono;Consolas;monosp"/>
          <w:sz w:val="18"/>
        </w:rPr>
        <w:t>0x34</w:t>
      </w:r>
      <w:r>
        <w:t>, encabezado y CRC físico válido. El archivo de prueba documenta el origen y el recorte de muestras.</w:t>
      </w:r>
    </w:p>
    <w:p w14:paraId="28CE190A">
      <w:pPr>
        <w:pStyle w:val="4"/>
        <w:bidi w:val="0"/>
        <w:ind w:left="0" w:right="0" w:firstLine="0"/>
        <w:jc w:val="left"/>
      </w:pPr>
      <w:r>
        <w:t xml:space="preserve">También se examinó una captura local FM del 20 de octubre de 2026: 4,82 s, 2,4 Ms/s, frecuencia central 99,9 MHz. A 99,9 MHz no se recuperaron grupos RDS válidos. La misma banda contenía una emisora a 100,7 MHz; al desplazar 800 kHz el IQ para analizar esa señal, </w:t>
      </w:r>
      <w:r>
        <w:rPr>
          <w:rStyle w:val="11"/>
        </w:rPr>
        <w:t>FM: medición</w:t>
      </w:r>
      <w:r>
        <w:t xml:space="preserve"> y </w:t>
      </w:r>
      <w:r>
        <w:rPr>
          <w:rStyle w:val="11"/>
        </w:rPr>
        <w:t>FM: escucha</w:t>
      </w:r>
      <w:r>
        <w:t xml:space="preserve"> recuperaron PI </w:t>
      </w:r>
      <w:r>
        <w:rPr>
          <w:rFonts w:ascii="Liberation Mono;Consolas;monosp" w:hAnsi="Liberation Mono;Consolas;monosp"/>
          <w:sz w:val="18"/>
        </w:rPr>
        <w:t>1007</w:t>
      </w:r>
      <w:r>
        <w:t xml:space="preserve"> y PS </w:t>
      </w:r>
      <w:r>
        <w:rPr>
          <w:rFonts w:ascii="Liberation Mono;Consolas;monosp" w:hAnsi="Liberation Mono;Consolas;monosp"/>
          <w:sz w:val="18"/>
        </w:rPr>
        <w:t>BLUE FM</w:t>
      </w:r>
      <w:r>
        <w:t xml:space="preserve"> con grupos válidos. El archivo completo no está incluido en el repositorio, por lo que esta observación es evidencia manual y no una prueba automática distribuida. La interfaz de reproducción muestra la frecuencia central guardada y no ofrece ese desplazamiento de sintonía dentro del archivo.</w:t>
      </w:r>
    </w:p>
    <w:p w14:paraId="5C303FAF">
      <w:pPr>
        <w:pStyle w:val="6"/>
        <w:keepNext/>
        <w:keepLines/>
        <w:bidi w:val="0"/>
        <w:jc w:val="left"/>
      </w:pPr>
      <w:r>
        <w:t>Alcance de las conclusiones</w:t>
      </w:r>
    </w:p>
    <w:p w14:paraId="0EEA4CAA">
      <w:pPr>
        <w:pStyle w:val="4"/>
        <w:keepLines/>
        <w:numPr>
          <w:ilvl w:val="0"/>
          <w:numId w:val="4"/>
        </w:numPr>
        <w:bidi w:val="0"/>
        <w:spacing w:before="0" w:after="0"/>
        <w:ind w:left="709" w:right="0" w:hanging="283"/>
        <w:jc w:val="left"/>
      </w:pPr>
      <w:r>
        <w:t xml:space="preserve">El formato </w:t>
      </w:r>
      <w:r>
        <w:rPr>
          <w:rFonts w:ascii="Liberation Mono;Consolas;monosp" w:hAnsi="Liberation Mono;Consolas;monosp"/>
          <w:sz w:val="18"/>
        </w:rPr>
        <w:t>.iq</w:t>
      </w:r>
      <w:r>
        <w:t xml:space="preserve"> verifica integridad de los bytes recibidos por la aplicación; no certifica que el SDR no haya perdido muestras antes del callback. </w:t>
      </w:r>
    </w:p>
    <w:p w14:paraId="3D4DBE32">
      <w:pPr>
        <w:pStyle w:val="4"/>
        <w:keepLines/>
        <w:numPr>
          <w:ilvl w:val="0"/>
          <w:numId w:val="4"/>
        </w:numPr>
        <w:bidi w:val="0"/>
        <w:spacing w:before="0" w:after="0"/>
        <w:ind w:left="709" w:hanging="283"/>
        <w:jc w:val="left"/>
      </w:pPr>
      <w:r>
        <w:t xml:space="preserve">Las pruebas de controladores usan dispositivos simulados. Errores USB, antenas, ganancia y estabilidad térmica requieren comprobación con hardware. </w:t>
      </w:r>
    </w:p>
    <w:p w14:paraId="1BCE3D2A">
      <w:pPr>
        <w:pStyle w:val="4"/>
        <w:keepLines/>
        <w:numPr>
          <w:ilvl w:val="0"/>
          <w:numId w:val="4"/>
        </w:numPr>
        <w:bidi w:val="0"/>
        <w:spacing w:before="0" w:after="0"/>
        <w:ind w:left="709" w:hanging="283"/>
        <w:jc w:val="left"/>
      </w:pPr>
      <w:r>
        <w:t xml:space="preserve">Los resultados de DSP dependen de nivel de señal, interferencia, offset de frecuencia y parámetros elegidos. La ausencia de una trama válida en una captura corta no prueba que la estación nunca la transmita. </w:t>
      </w:r>
    </w:p>
    <w:p w14:paraId="215E3BA6">
      <w:pPr>
        <w:pStyle w:val="4"/>
        <w:keepLines/>
        <w:numPr>
          <w:ilvl w:val="0"/>
          <w:numId w:val="4"/>
        </w:numPr>
        <w:bidi w:val="0"/>
        <w:ind w:left="709" w:hanging="283"/>
        <w:jc w:val="left"/>
      </w:pPr>
      <w:r>
        <w:t xml:space="preserve">Para añadir una regresión real, conservá una captura pequeña con origen, frecuencia, tasa, ajuste de canal y resultado esperado. Incluí solo los datos necesarios para repetir la prueba. </w:t>
      </w:r>
    </w:p>
    <w:p w14:paraId="4CE258B7">
      <w:pPr>
        <w:pStyle w:val="5"/>
        <w:keepNext/>
        <w:keepLines/>
        <w:bidi w:val="0"/>
        <w:ind w:left="0" w:right="0" w:firstLine="0"/>
        <w:jc w:val="left"/>
      </w:pPr>
      <w:bookmarkStart w:id="4" w:name="decisiones-y-trabajo-pendiente"/>
      <w:bookmarkEnd w:id="4"/>
      <w:r>
        <w:t>Decisiones y trabajo pendiente</w:t>
      </w:r>
      <w:bookmarkStart w:id="5" w:name="_GoBack"/>
      <w:bookmarkEnd w:id="5"/>
    </w:p>
    <w:p w14:paraId="020438E7">
      <w:pPr>
        <w:pStyle w:val="4"/>
        <w:bidi w:val="0"/>
        <w:jc w:val="left"/>
      </w:pPr>
      <w:r>
        <w:t>Este registro explica elecciones visibles en el código y se actualiza cuando cambia una decisión.</w:t>
      </w:r>
    </w:p>
    <w:p w14:paraId="08F4B1ED">
      <w:pPr>
        <w:pStyle w:val="6"/>
        <w:keepNext/>
        <w:keepLines/>
        <w:bidi w:val="0"/>
        <w:jc w:val="left"/>
      </w:pPr>
      <w:r>
        <w:t>Decisiones vigentes</w:t>
      </w:r>
    </w:p>
    <w:p w14:paraId="1B630F10">
      <w:pPr>
        <w:pStyle w:val="28"/>
        <w:bidi w:val="0"/>
        <w:jc w:val="left"/>
      </w:pPr>
      <w:r>
        <w:rPr>
          <w:rStyle w:val="11"/>
        </w:rPr>
        <w:t>Mantener la aplicación como receptor y analizador.</w:t>
      </w:r>
      <w:r>
        <w:t xml:space="preserve"> El HackRF se usa para recepción; el modo LoRa analiza la capa física.</w:t>
      </w:r>
    </w:p>
    <w:p w14:paraId="1F880C48">
      <w:pPr>
        <w:pStyle w:val="28"/>
        <w:bidi w:val="0"/>
        <w:jc w:val="left"/>
      </w:pPr>
      <w:r>
        <w:rPr>
          <w:rStyle w:val="11"/>
        </w:rPr>
        <w:t>Conservar dos modos FM.</w:t>
      </w:r>
      <w:r>
        <w:t xml:space="preserve"> </w:t>
      </w:r>
      <w:r>
        <w:rPr>
          <w:rStyle w:val="11"/>
        </w:rPr>
        <w:t>FM: medición</w:t>
      </w:r>
      <w:r>
        <w:t xml:space="preserve"> prioriza el análisis del multiplex; </w:t>
      </w:r>
      <w:r>
        <w:rPr>
          <w:rStyle w:val="11"/>
        </w:rPr>
        <w:t>FM: escucha</w:t>
      </w:r>
      <w:r>
        <w:t xml:space="preserve"> mantiene la reproducción estéreo en vivo. Ambos muestran RDS.</w:t>
      </w:r>
    </w:p>
    <w:p w14:paraId="0ECF2530">
      <w:pPr>
        <w:pStyle w:val="28"/>
        <w:bidi w:val="0"/>
        <w:ind w:left="0" w:right="0" w:firstLine="0"/>
        <w:jc w:val="left"/>
      </w:pPr>
      <w:r>
        <w:rPr>
          <w:rStyle w:val="11"/>
        </w:rPr>
        <w:t>Guardar IQ secuencial con metadatos separados.</w:t>
      </w:r>
      <w:r>
        <w:t xml:space="preserve"> El archivo binario conserva el </w:t>
      </w:r>
      <w:r>
        <w:rPr>
          <w:rFonts w:ascii="Liberation Mono;Consolas;monosp" w:hAnsi="Liberation Mono;Consolas;monosp"/>
          <w:sz w:val="18"/>
        </w:rPr>
        <w:t>dtype</w:t>
      </w:r>
      <w:r>
        <w:t xml:space="preserve"> original y el orden de muestras; el JSON permite comprobar tamaño, frecuencia, tasa y SHA-256.</w:t>
      </w:r>
    </w:p>
    <w:p w14:paraId="7DCDB4D5">
      <w:pPr>
        <w:pStyle w:val="28"/>
        <w:bidi w:val="0"/>
        <w:ind w:left="0" w:right="0" w:firstLine="0"/>
        <w:jc w:val="left"/>
      </w:pPr>
      <w:r>
        <w:rPr>
          <w:rStyle w:val="11"/>
        </w:rPr>
        <w:t>Admitir reproducción sin SDR.</w:t>
      </w:r>
      <w:r>
        <w:t xml:space="preserve"> </w:t>
      </w:r>
      <w:r>
        <w:rPr>
          <w:rFonts w:ascii="Liberation Mono;Consolas;monosp" w:hAnsi="Liberation Mono;Consolas;monosp"/>
          <w:sz w:val="18"/>
        </w:rPr>
        <w:t>MockSDRHandler</w:t>
      </w:r>
      <w:r>
        <w:t xml:space="preserve"> inicia la misma interfaz sin recepción USB. El reproductor usa la tasa y frecuencia de la captura.</w:t>
      </w:r>
    </w:p>
    <w:p w14:paraId="5E3D3FA7">
      <w:pPr>
        <w:pStyle w:val="28"/>
        <w:bidi w:val="0"/>
        <w:jc w:val="left"/>
      </w:pPr>
      <w:r>
        <w:rPr>
          <w:rStyle w:val="11"/>
        </w:rPr>
        <w:t>Publicar RDS solo tras grupos válidos.</w:t>
      </w:r>
      <w:r>
        <w:t xml:space="preserve"> El decodificador comprueba los cuatro bloques de cada grupo antes de actualizar PI, PS o RadioText.</w:t>
      </w:r>
    </w:p>
    <w:p w14:paraId="708DEAEF">
      <w:pPr>
        <w:pStyle w:val="28"/>
        <w:bidi w:val="0"/>
        <w:jc w:val="left"/>
      </w:pPr>
      <w:r>
        <w:rPr>
          <w:rStyle w:val="11"/>
        </w:rPr>
        <w:t>Reiniciar el estado DSP al cortar o reemplazar el flujo IQ.</w:t>
      </w:r>
      <w:r>
        <w:t xml:space="preserve"> Se descartan muestras y resultados antiguos para que el panel no mezcle sesiones, tanto en cortes de flujo como al resintonizar o cambiar la tasa de muestreo en cualquier modo.</w:t>
      </w:r>
    </w:p>
    <w:p w14:paraId="0CDC2613">
      <w:pPr>
        <w:pStyle w:val="6"/>
        <w:keepNext/>
        <w:keepLines/>
        <w:bidi w:val="0"/>
        <w:jc w:val="left"/>
      </w:pPr>
      <w:r>
        <w:t>Límites y siguientes comprobaciones</w:t>
      </w:r>
    </w:p>
    <w:p w14:paraId="6F3C5A1F">
      <w:pPr>
        <w:pStyle w:val="4"/>
        <w:keepLines/>
        <w:numPr>
          <w:ilvl w:val="0"/>
          <w:numId w:val="5"/>
        </w:numPr>
        <w:bidi w:val="0"/>
        <w:spacing w:before="0" w:after="0"/>
        <w:ind w:left="709" w:hanging="283"/>
        <w:jc w:val="left"/>
      </w:pPr>
      <w:r>
        <w:t xml:space="preserve">Completar el juego de caracteres RDS extendido; hoy se usa una aproximación Latin-1. </w:t>
      </w:r>
    </w:p>
    <w:p w14:paraId="51ED387B">
      <w:pPr>
        <w:pStyle w:val="4"/>
        <w:keepLines/>
        <w:numPr>
          <w:ilvl w:val="0"/>
          <w:numId w:val="5"/>
        </w:numPr>
        <w:bidi w:val="0"/>
        <w:spacing w:before="0" w:after="0"/>
        <w:ind w:left="709" w:hanging="283"/>
        <w:jc w:val="left"/>
      </w:pPr>
      <w:r>
        <w:t xml:space="preserve">Incorporar capturas pequeñas y pruebas de regresión específicas para LTE downlink y uplink. </w:t>
      </w:r>
    </w:p>
    <w:p w14:paraId="68BAF011">
      <w:pPr>
        <w:pStyle w:val="4"/>
        <w:keepLines/>
        <w:numPr>
          <w:ilvl w:val="0"/>
          <w:numId w:val="5"/>
        </w:numPr>
        <w:bidi w:val="0"/>
        <w:spacing w:before="0" w:after="0"/>
        <w:ind w:left="709" w:hanging="283"/>
        <w:jc w:val="left"/>
      </w:pPr>
      <w:r>
        <w:t xml:space="preserve">Repetir las pruebas de cambios de modo y sintonía con cada SDR física; las pruebas automáticas de controladores usan dobles de prueba. </w:t>
      </w:r>
    </w:p>
    <w:p w14:paraId="0120660E">
      <w:pPr>
        <w:pStyle w:val="4"/>
        <w:keepLines/>
        <w:numPr>
          <w:ilvl w:val="0"/>
          <w:numId w:val="5"/>
        </w:numPr>
        <w:bidi w:val="0"/>
        <w:spacing w:before="0" w:after="120"/>
        <w:ind w:left="709" w:hanging="283"/>
        <w:jc w:val="left"/>
      </w:pPr>
      <w:r>
        <w:t xml:space="preserve">Documentar ajustes de antena, ganancia y entorno junto a futuras capturas RF de referencia; esos datos no se guardan en el JSON actual. </w:t>
      </w:r>
    </w:p>
    <w:p>
      <w:pPr>
        <w:pStyle w:val="5"/>
        <w:keepNext/>
        <w:keepLines/>
        <w:bidi w:val="0"/>
        <w:ind w:left="0" w:right="0" w:firstLine="0"/>
        <w:jc w:val="left"/>
      </w:pPr>
      <w:r>
        <w:t>Resolución de problemas frecuentes</w:t>
      </w:r>
    </w:p>
    <w:p>
      <w:pPr>
        <w:pStyle w:val="28"/>
        <w:bidi w:val="0"/>
        <w:jc w:val="left"/>
      </w:pPr>
      <w:r>
        <w:rPr>
          <w:rStyle w:val="11"/>
        </w:rPr>
        <w:t>El SDR no aparece en la ventana de inicio:</w:t>
      </w:r>
      <w:r>
        <w:t xml:space="preserve"> verificá que las reglas udev estén instaladas en /etc/udev/rules.d/ y recargadas (sudo udevadm control --reload-rules &amp;&amp; sudo udevadm trigger), y desconectá/reconectá el equipo USB.</w:t>
      </w:r>
    </w:p>
    <w:p>
      <w:pPr>
        <w:pStyle w:val="28"/>
        <w:bidi w:val="0"/>
        <w:jc w:val="left"/>
      </w:pPr>
      <w:r>
        <w:rPr>
          <w:rStyle w:val="11"/>
        </w:rPr>
        <w:t>Error de FPGA o imágenes al abrir bladeRF o USRP B200:</w:t>
      </w:r>
      <w:r>
        <w:t xml:space="preserve"> bladeRF x40 requiere el bitstream /usr/share/Nuand/bladeRF/hostedx40.rbf y USRP B200 requiere las imágenes descargadas mediante uhd_images_downloader (ambos pasos están automatizados en setup.sh).</w:t>
      </w:r>
    </w:p>
    <w:p>
      <w:pPr>
        <w:pStyle w:val="28"/>
        <w:bidi w:val="0"/>
        <w:jc w:val="left"/>
      </w:pPr>
      <w:r>
        <w:rPr>
          <w:rStyle w:val="11"/>
        </w:rPr>
        <w:t>Cortes de audio (underruns) en FM: escucha:</w:t>
      </w:r>
      <w:r>
        <w:t xml:space="preserve"> reducí el tamaño de FFT o desactivá temporalmente el espectrograma si la CPU se satura; AudioManager reporta los underruns y descarta bloques antiguos si la cola supera su latencia máxima.</w:t>
      </w:r>
    </w:p>
    <w:p>
      <w:pPr>
        <w:pStyle w:val="28"/>
        <w:bidi w:val="0"/>
        <w:jc w:val="left"/>
      </w:pPr>
      <w:r>
        <w:rPr>
          <w:rStyle w:val="11"/>
        </w:rPr>
        <w:t>Grabación descartada automáticamente:</w:t>
      </w:r>
      <w:r>
        <w:t xml:space="preserve"> durante la grabación, IQRecorder invalida la captura si el controlador SDR informa pérdida de continuidad o si la cola de escritura en disco se llena. Usá un disco local rápido y evitá concentradores USB compartidos a 20 Ms/s.</w:t>
      </w:r>
    </w:p>
    <w:sectPr>
      <w:pgSz w:w="11906" w:h="16838"/>
      <w:pgMar w:top="1162" w:right="1162" w:bottom="1106" w:left="1162" w:header="0" w:footer="0" w:gutter="0"/>
      <w:pgNumType w:fmt="decimal"/>
      <w:cols w:space="720" w:num="1"/>
      <w:formProt w:val="0"/>
      <w:docGrid w:linePitch="600" w:charSpace="3891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Noto Serif CJK SC"/>
    <w:panose1 w:val="00000000000000000000"/>
    <w:charset w:val="86"/>
    <w:family w:val="auto"/>
    <w:pitch w:val="default"/>
    <w:sig w:usb0="00000000" w:usb1="00000000" w:usb2="00000000" w:usb3="00000000" w:csb0="00000000" w:csb1="00000000"/>
  </w:font>
  <w:font w:name="DejaVu Sans">
    <w:panose1 w:val="020B0603030804020204"/>
    <w:charset w:val="00"/>
    <w:family w:val="auto"/>
    <w:pitch w:val="default"/>
    <w:sig w:usb0="E7006EFF" w:usb1="D200FDFF" w:usb2="0A246029" w:usb3="0400200C" w:csb0="600001FF" w:csb1="DFFF0000"/>
  </w:font>
  <w:font w:name="Noto Serif CJK SC">
    <w:panose1 w:val="02020400000000000000"/>
    <w:charset w:val="86"/>
    <w:family w:val="auto"/>
    <w:pitch w:val="default"/>
    <w:sig w:usb0="30000083" w:usb1="2BDF3C10" w:usb2="00000016" w:usb3="00000000" w:csb0="602E0107" w:csb1="00000000"/>
  </w:font>
  <w:font w:name="Arial">
    <w:altName w:val="DejaVu Sans"/>
    <w:panose1 w:val="020B0604020202020204"/>
    <w:charset w:val="00"/>
    <w:family w:val="swiss"/>
    <w:pitch w:val="default"/>
    <w:sig w:usb0="E0002EFF" w:usb1="C0007843" w:usb2="00000009" w:usb3="00000000" w:csb0="400001FF" w:csb1="FFFF0000"/>
  </w:font>
  <w:font w:name="Courier New">
    <w:altName w:val="DejaVu Sans"/>
    <w:panose1 w:val="02070309020205020404"/>
    <w:charset w:val="00"/>
    <w:family w:val="modern"/>
    <w:pitch w:val="default"/>
    <w:sig w:usb0="E0002EFF" w:usb1="C0007843" w:usb2="00000009" w:usb3="00000000" w:csb0="400001FF" w:csb1="FFFF0000"/>
  </w:font>
  <w:font w:name="SimHei">
    <w:altName w:val="Noto Sans CJK SC"/>
    <w:panose1 w:val="02010609060101010101"/>
    <w:charset w:val="00"/>
    <w:family w:val="modern"/>
    <w:pitch w:val="default"/>
    <w:sig w:usb0="800002BF" w:usb1="38CF7CFA" w:usb2="00000016" w:usb3="00000000" w:csb0="00040001" w:csb1="00000000"/>
  </w:font>
  <w:font w:name="Noto Sans CJK SC">
    <w:panose1 w:val="020B0500000000000000"/>
    <w:charset w:val="86"/>
    <w:family w:val="auto"/>
    <w:pitch w:val="default"/>
    <w:sig w:usb0="30000083" w:usb1="2BDF3C10" w:usb2="00000016" w:usb3="00000000" w:csb0="602E0107" w:csb1="00000000"/>
  </w:font>
  <w:font w:name="Wingdings">
    <w:altName w:val="C059"/>
    <w:panose1 w:val="05000000000000000000"/>
    <w:charset w:val="00"/>
    <w:family w:val="auto"/>
    <w:pitch w:val="default"/>
    <w:sig w:usb0="00000000" w:usb1="00000000" w:usb2="00000000" w:usb3="00000000" w:csb0="80000000" w:csb1="00000000"/>
  </w:font>
  <w:font w:name="C059">
    <w:panose1 w:val="00000500000000000000"/>
    <w:charset w:val="00"/>
    <w:family w:val="auto"/>
    <w:pitch w:val="default"/>
    <w:sig w:usb0="00000287" w:usb1="00000800" w:usb2="00000000" w:usb3="00000000" w:csb0="6000009F" w:csb1="00000000"/>
  </w:font>
  <w:font w:name="Calibri">
    <w:altName w:val="DejaVu Sans"/>
    <w:panose1 w:val="020F0502020204030204"/>
    <w:charset w:val="00"/>
    <w:family w:val="swiss"/>
    <w:pitch w:val="default"/>
    <w:sig w:usb0="00000000" w:usb1="00000000" w:usb2="00000001" w:usb3="00000000" w:csb0="0000019F" w:csb1="00000000"/>
  </w:font>
  <w:font w:name="SimSun">
    <w:altName w:val="Noto Serif CJK SC"/>
    <w:panose1 w:val="02010600030101010101"/>
    <w:charset w:val="86"/>
    <w:family w:val="auto"/>
    <w:pitch w:val="default"/>
    <w:sig w:usb0="00000000" w:usb1="00000000" w:usb2="00000016" w:usb3="00000000" w:csb0="00040001" w:csb1="00000000"/>
  </w:font>
  <w:font w:name="Noto Sans Devanagari">
    <w:panose1 w:val="020B0502040504020204"/>
    <w:charset w:val="00"/>
    <w:family w:val="auto"/>
    <w:pitch w:val="default"/>
    <w:sig w:usb0="80008023" w:usb1="00002046" w:usb2="00000000" w:usb3="00000000" w:csb0="00000001" w:csb1="00000000"/>
  </w:font>
  <w:font w:name="Liberation Serif">
    <w:panose1 w:val="02020603050405020304"/>
    <w:charset w:val="01"/>
    <w:family w:val="roman"/>
    <w:pitch w:val="default"/>
    <w:sig w:usb0="E0000AFF" w:usb1="500078FF" w:usb2="00000021" w:usb3="00000000" w:csb0="600001BF" w:csb1="DFF70000"/>
  </w:font>
  <w:font w:name="Carlito;Calibri;Arial;sans-seri">
    <w:altName w:val="DejaVu Sans"/>
    <w:panose1 w:val="00000000000000000000"/>
    <w:charset w:val="00"/>
    <w:family w:val="auto"/>
    <w:pitch w:val="default"/>
    <w:sig w:usb0="00000000" w:usb1="00000000" w:usb2="00000000" w:usb3="00000000" w:csb0="00000000" w:csb1="00000000"/>
  </w:font>
  <w:font w:name="Noto Sans">
    <w:panose1 w:val="020B0502040504020204"/>
    <w:charset w:val="01"/>
    <w:family w:val="auto"/>
    <w:pitch w:val="default"/>
    <w:sig w:usb0="E00002FF" w:usb1="4000201F" w:usb2="08000029" w:usb3="00100000" w:csb0="0000019F" w:csb1="00000000"/>
  </w:font>
  <w:font w:name="OpenSymbol">
    <w:panose1 w:val="05010000000000000000"/>
    <w:charset w:val="02"/>
    <w:family w:val="auto"/>
    <w:pitch w:val="default"/>
    <w:sig w:usb0="800000AF" w:usb1="1001ECEA" w:usb2="00000000" w:usb3="00000000" w:csb0="80000001" w:csb1="00000000"/>
  </w:font>
  <w:font w:name="Liberation Sans">
    <w:panose1 w:val="020B0604020202020204"/>
    <w:charset w:val="01"/>
    <w:family w:val="swiss"/>
    <w:pitch w:val="default"/>
    <w:sig w:usb0="E0000AFF" w:usb1="500078FF" w:usb2="00000021" w:usb3="00000000" w:csb0="600001BF" w:csb1="DFF70000"/>
  </w:font>
  <w:font w:name="Liberation Mono;Consolas;monosp">
    <w:altName w:val="C059"/>
    <w:panose1 w:val="00000000000000000000"/>
    <w:charset w:val="00"/>
    <w:family w:val="auto"/>
    <w:pitch w:val="default"/>
    <w:sig w:usb0="00000000" w:usb1="00000000" w:usb2="00000000" w:usb3="00000000" w:csb0="00000000" w:csb1="00000000"/>
  </w:font>
  <w:font w:name="Symbol">
    <w:altName w:val="C059"/>
    <w:panose1 w:val="00000000000000000000"/>
    <w:charset w:val="02"/>
    <w:family w:val="roman"/>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95" w:lineRule="auto"/>
      </w:pPr>
      <w:r>
        <w:separator/>
      </w:r>
    </w:p>
  </w:footnote>
  <w:footnote w:type="continuationSeparator" w:id="1">
    <w:p>
      <w:pPr>
        <w:spacing w:line="295"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DDDE59F"/>
    <w:multiLevelType w:val="multilevel"/>
    <w:tmpl w:val="BDDDE59F"/>
    <w:lvl w:ilvl="0" w:tentative="0">
      <w:start w:val="1"/>
      <w:numFmt w:val="bullet"/>
      <w:lvlText w:val=""/>
      <w:lvlJc w:val="left"/>
      <w:pPr>
        <w:tabs>
          <w:tab w:val="left" w:pos="709"/>
        </w:tabs>
        <w:ind w:left="709" w:hanging="283"/>
      </w:pPr>
      <w:rPr>
        <w:rFonts w:hint="default" w:ascii="Symbol" w:hAnsi="Symbol" w:cs="Symbol"/>
      </w:rPr>
    </w:lvl>
    <w:lvl w:ilvl="1" w:tentative="0">
      <w:start w:val="1"/>
      <w:numFmt w:val="bullet"/>
      <w:lvlText w:val=""/>
      <w:lvlJc w:val="left"/>
      <w:pPr>
        <w:tabs>
          <w:tab w:val="left" w:pos="1418"/>
        </w:tabs>
        <w:ind w:left="1418" w:hanging="283"/>
      </w:pPr>
      <w:rPr>
        <w:rFonts w:hint="default" w:ascii="Symbol" w:hAnsi="Symbol" w:cs="Symbol"/>
      </w:rPr>
    </w:lvl>
    <w:lvl w:ilvl="2" w:tentative="0">
      <w:start w:val="1"/>
      <w:numFmt w:val="bullet"/>
      <w:lvlText w:val=""/>
      <w:lvlJc w:val="left"/>
      <w:pPr>
        <w:tabs>
          <w:tab w:val="left" w:pos="2127"/>
        </w:tabs>
        <w:ind w:left="2127" w:hanging="283"/>
      </w:pPr>
      <w:rPr>
        <w:rFonts w:hint="default" w:ascii="Symbol" w:hAnsi="Symbol" w:cs="Symbol"/>
      </w:rPr>
    </w:lvl>
    <w:lvl w:ilvl="3" w:tentative="0">
      <w:start w:val="1"/>
      <w:numFmt w:val="bullet"/>
      <w:lvlText w:val=""/>
      <w:lvlJc w:val="left"/>
      <w:pPr>
        <w:tabs>
          <w:tab w:val="left" w:pos="2836"/>
        </w:tabs>
        <w:ind w:left="2836" w:hanging="283"/>
      </w:pPr>
      <w:rPr>
        <w:rFonts w:hint="default" w:ascii="Symbol" w:hAnsi="Symbol" w:cs="Symbol"/>
      </w:rPr>
    </w:lvl>
    <w:lvl w:ilvl="4" w:tentative="0">
      <w:start w:val="1"/>
      <w:numFmt w:val="bullet"/>
      <w:lvlText w:val=""/>
      <w:lvlJc w:val="left"/>
      <w:pPr>
        <w:tabs>
          <w:tab w:val="left" w:pos="3545"/>
        </w:tabs>
        <w:ind w:left="3545" w:hanging="283"/>
      </w:pPr>
      <w:rPr>
        <w:rFonts w:hint="default" w:ascii="Symbol" w:hAnsi="Symbol" w:cs="Symbol"/>
      </w:rPr>
    </w:lvl>
    <w:lvl w:ilvl="5" w:tentative="0">
      <w:start w:val="1"/>
      <w:numFmt w:val="bullet"/>
      <w:lvlText w:val=""/>
      <w:lvlJc w:val="left"/>
      <w:pPr>
        <w:tabs>
          <w:tab w:val="left" w:pos="4254"/>
        </w:tabs>
        <w:ind w:left="4254" w:hanging="283"/>
      </w:pPr>
      <w:rPr>
        <w:rFonts w:hint="default" w:ascii="Symbol" w:hAnsi="Symbol" w:cs="Symbol"/>
      </w:rPr>
    </w:lvl>
    <w:lvl w:ilvl="6" w:tentative="0">
      <w:start w:val="1"/>
      <w:numFmt w:val="bullet"/>
      <w:lvlText w:val=""/>
      <w:lvlJc w:val="left"/>
      <w:pPr>
        <w:tabs>
          <w:tab w:val="left" w:pos="4963"/>
        </w:tabs>
        <w:ind w:left="4963" w:hanging="283"/>
      </w:pPr>
      <w:rPr>
        <w:rFonts w:hint="default" w:ascii="Symbol" w:hAnsi="Symbol" w:cs="Symbol"/>
      </w:rPr>
    </w:lvl>
    <w:lvl w:ilvl="7" w:tentative="0">
      <w:start w:val="1"/>
      <w:numFmt w:val="bullet"/>
      <w:lvlText w:val=""/>
      <w:lvlJc w:val="left"/>
      <w:pPr>
        <w:tabs>
          <w:tab w:val="left" w:pos="5672"/>
        </w:tabs>
        <w:ind w:left="5672" w:hanging="283"/>
      </w:pPr>
      <w:rPr>
        <w:rFonts w:hint="default" w:ascii="Symbol" w:hAnsi="Symbol" w:cs="Symbol"/>
      </w:rPr>
    </w:lvl>
    <w:lvl w:ilvl="8" w:tentative="0">
      <w:start w:val="1"/>
      <w:numFmt w:val="bullet"/>
      <w:lvlText w:val=""/>
      <w:lvlJc w:val="left"/>
      <w:pPr>
        <w:tabs>
          <w:tab w:val="left" w:pos="6381"/>
        </w:tabs>
        <w:ind w:left="6381" w:hanging="283"/>
      </w:pPr>
      <w:rPr>
        <w:rFonts w:hint="default" w:ascii="Symbol" w:hAnsi="Symbol" w:cs="Symbol"/>
      </w:rPr>
    </w:lvl>
  </w:abstractNum>
  <w:abstractNum w:abstractNumId="1">
    <w:nsid w:val="BDFAEE5F"/>
    <w:multiLevelType w:val="multilevel"/>
    <w:tmpl w:val="BDFAEE5F"/>
    <w:lvl w:ilvl="0" w:tentative="0">
      <w:start w:val="1"/>
      <w:numFmt w:val="decimal"/>
      <w:lvlText w:val="%1."/>
      <w:lvlJc w:val="left"/>
      <w:pPr>
        <w:tabs>
          <w:tab w:val="left" w:pos="709"/>
        </w:tabs>
        <w:ind w:left="709" w:hanging="283"/>
      </w:pPr>
    </w:lvl>
    <w:lvl w:ilvl="1" w:tentative="0">
      <w:start w:val="1"/>
      <w:numFmt w:val="decimal"/>
      <w:lvlText w:val="%2."/>
      <w:lvlJc w:val="left"/>
      <w:pPr>
        <w:tabs>
          <w:tab w:val="left" w:pos="1418"/>
        </w:tabs>
        <w:ind w:left="1418" w:hanging="283"/>
      </w:pPr>
    </w:lvl>
    <w:lvl w:ilvl="2" w:tentative="0">
      <w:start w:val="1"/>
      <w:numFmt w:val="decimal"/>
      <w:lvlText w:val="%3."/>
      <w:lvlJc w:val="left"/>
      <w:pPr>
        <w:tabs>
          <w:tab w:val="left" w:pos="2127"/>
        </w:tabs>
        <w:ind w:left="2127" w:hanging="283"/>
      </w:pPr>
    </w:lvl>
    <w:lvl w:ilvl="3" w:tentative="0">
      <w:start w:val="1"/>
      <w:numFmt w:val="decimal"/>
      <w:lvlText w:val="%4."/>
      <w:lvlJc w:val="left"/>
      <w:pPr>
        <w:tabs>
          <w:tab w:val="left" w:pos="2836"/>
        </w:tabs>
        <w:ind w:left="2836" w:hanging="283"/>
      </w:pPr>
    </w:lvl>
    <w:lvl w:ilvl="4" w:tentative="0">
      <w:start w:val="1"/>
      <w:numFmt w:val="decimal"/>
      <w:lvlText w:val="%5."/>
      <w:lvlJc w:val="left"/>
      <w:pPr>
        <w:tabs>
          <w:tab w:val="left" w:pos="3545"/>
        </w:tabs>
        <w:ind w:left="3545" w:hanging="283"/>
      </w:pPr>
    </w:lvl>
    <w:lvl w:ilvl="5" w:tentative="0">
      <w:start w:val="1"/>
      <w:numFmt w:val="decimal"/>
      <w:lvlText w:val="%6."/>
      <w:lvlJc w:val="left"/>
      <w:pPr>
        <w:tabs>
          <w:tab w:val="left" w:pos="4254"/>
        </w:tabs>
        <w:ind w:left="4254" w:hanging="283"/>
      </w:pPr>
    </w:lvl>
    <w:lvl w:ilvl="6" w:tentative="0">
      <w:start w:val="1"/>
      <w:numFmt w:val="decimal"/>
      <w:lvlText w:val="%7."/>
      <w:lvlJc w:val="left"/>
      <w:pPr>
        <w:tabs>
          <w:tab w:val="left" w:pos="4963"/>
        </w:tabs>
        <w:ind w:left="4963" w:hanging="283"/>
      </w:pPr>
    </w:lvl>
    <w:lvl w:ilvl="7" w:tentative="0">
      <w:start w:val="1"/>
      <w:numFmt w:val="decimal"/>
      <w:lvlText w:val="%8."/>
      <w:lvlJc w:val="left"/>
      <w:pPr>
        <w:tabs>
          <w:tab w:val="left" w:pos="5672"/>
        </w:tabs>
        <w:ind w:left="5672" w:hanging="283"/>
      </w:pPr>
    </w:lvl>
    <w:lvl w:ilvl="8" w:tentative="0">
      <w:start w:val="1"/>
      <w:numFmt w:val="decimal"/>
      <w:lvlText w:val="%9."/>
      <w:lvlJc w:val="left"/>
      <w:pPr>
        <w:tabs>
          <w:tab w:val="left" w:pos="6381"/>
        </w:tabs>
        <w:ind w:left="6381" w:hanging="283"/>
      </w:pPr>
    </w:lvl>
  </w:abstractNum>
  <w:abstractNum w:abstractNumId="2">
    <w:nsid w:val="F7FFB135"/>
    <w:multiLevelType w:val="multilevel"/>
    <w:tmpl w:val="F7FFB135"/>
    <w:lvl w:ilvl="0" w:tentative="0">
      <w:start w:val="1"/>
      <w:numFmt w:val="bullet"/>
      <w:lvlText w:val=""/>
      <w:lvlJc w:val="left"/>
      <w:pPr>
        <w:tabs>
          <w:tab w:val="left" w:pos="709"/>
        </w:tabs>
        <w:ind w:left="709" w:hanging="283"/>
      </w:pPr>
      <w:rPr>
        <w:rFonts w:hint="default" w:ascii="Symbol" w:hAnsi="Symbol" w:cs="Symbol"/>
      </w:rPr>
    </w:lvl>
    <w:lvl w:ilvl="1" w:tentative="0">
      <w:start w:val="1"/>
      <w:numFmt w:val="bullet"/>
      <w:lvlText w:val=""/>
      <w:lvlJc w:val="left"/>
      <w:pPr>
        <w:tabs>
          <w:tab w:val="left" w:pos="1418"/>
        </w:tabs>
        <w:ind w:left="1418" w:hanging="283"/>
      </w:pPr>
      <w:rPr>
        <w:rFonts w:hint="default" w:ascii="Symbol" w:hAnsi="Symbol" w:cs="Symbol"/>
      </w:rPr>
    </w:lvl>
    <w:lvl w:ilvl="2" w:tentative="0">
      <w:start w:val="1"/>
      <w:numFmt w:val="bullet"/>
      <w:lvlText w:val=""/>
      <w:lvlJc w:val="left"/>
      <w:pPr>
        <w:tabs>
          <w:tab w:val="left" w:pos="2127"/>
        </w:tabs>
        <w:ind w:left="2127" w:hanging="283"/>
      </w:pPr>
      <w:rPr>
        <w:rFonts w:hint="default" w:ascii="Symbol" w:hAnsi="Symbol" w:cs="Symbol"/>
      </w:rPr>
    </w:lvl>
    <w:lvl w:ilvl="3" w:tentative="0">
      <w:start w:val="1"/>
      <w:numFmt w:val="bullet"/>
      <w:lvlText w:val=""/>
      <w:lvlJc w:val="left"/>
      <w:pPr>
        <w:tabs>
          <w:tab w:val="left" w:pos="2836"/>
        </w:tabs>
        <w:ind w:left="2836" w:hanging="283"/>
      </w:pPr>
      <w:rPr>
        <w:rFonts w:hint="default" w:ascii="Symbol" w:hAnsi="Symbol" w:cs="Symbol"/>
      </w:rPr>
    </w:lvl>
    <w:lvl w:ilvl="4" w:tentative="0">
      <w:start w:val="1"/>
      <w:numFmt w:val="bullet"/>
      <w:lvlText w:val=""/>
      <w:lvlJc w:val="left"/>
      <w:pPr>
        <w:tabs>
          <w:tab w:val="left" w:pos="3545"/>
        </w:tabs>
        <w:ind w:left="3545" w:hanging="283"/>
      </w:pPr>
      <w:rPr>
        <w:rFonts w:hint="default" w:ascii="Symbol" w:hAnsi="Symbol" w:cs="Symbol"/>
      </w:rPr>
    </w:lvl>
    <w:lvl w:ilvl="5" w:tentative="0">
      <w:start w:val="1"/>
      <w:numFmt w:val="bullet"/>
      <w:lvlText w:val=""/>
      <w:lvlJc w:val="left"/>
      <w:pPr>
        <w:tabs>
          <w:tab w:val="left" w:pos="4254"/>
        </w:tabs>
        <w:ind w:left="4254" w:hanging="283"/>
      </w:pPr>
      <w:rPr>
        <w:rFonts w:hint="default" w:ascii="Symbol" w:hAnsi="Symbol" w:cs="Symbol"/>
      </w:rPr>
    </w:lvl>
    <w:lvl w:ilvl="6" w:tentative="0">
      <w:start w:val="1"/>
      <w:numFmt w:val="bullet"/>
      <w:lvlText w:val=""/>
      <w:lvlJc w:val="left"/>
      <w:pPr>
        <w:tabs>
          <w:tab w:val="left" w:pos="4963"/>
        </w:tabs>
        <w:ind w:left="4963" w:hanging="283"/>
      </w:pPr>
      <w:rPr>
        <w:rFonts w:hint="default" w:ascii="Symbol" w:hAnsi="Symbol" w:cs="Symbol"/>
      </w:rPr>
    </w:lvl>
    <w:lvl w:ilvl="7" w:tentative="0">
      <w:start w:val="1"/>
      <w:numFmt w:val="bullet"/>
      <w:lvlText w:val=""/>
      <w:lvlJc w:val="left"/>
      <w:pPr>
        <w:tabs>
          <w:tab w:val="left" w:pos="5672"/>
        </w:tabs>
        <w:ind w:left="5672" w:hanging="283"/>
      </w:pPr>
      <w:rPr>
        <w:rFonts w:hint="default" w:ascii="Symbol" w:hAnsi="Symbol" w:cs="Symbol"/>
      </w:rPr>
    </w:lvl>
    <w:lvl w:ilvl="8" w:tentative="0">
      <w:start w:val="1"/>
      <w:numFmt w:val="bullet"/>
      <w:lvlText w:val=""/>
      <w:lvlJc w:val="left"/>
      <w:pPr>
        <w:tabs>
          <w:tab w:val="left" w:pos="6381"/>
        </w:tabs>
        <w:ind w:left="6381" w:hanging="283"/>
      </w:pPr>
      <w:rPr>
        <w:rFonts w:hint="default" w:ascii="Symbol" w:hAnsi="Symbol" w:cs="Symbol"/>
      </w:rPr>
    </w:lvl>
  </w:abstractNum>
  <w:abstractNum w:abstractNumId="3">
    <w:nsid w:val="3AF69435"/>
    <w:multiLevelType w:val="multilevel"/>
    <w:tmpl w:val="3AF69435"/>
    <w:lvl w:ilvl="0" w:tentative="0">
      <w:start w:val="1"/>
      <w:numFmt w:val="decimal"/>
      <w:lvlText w:val="%1."/>
      <w:lvlJc w:val="left"/>
      <w:pPr>
        <w:tabs>
          <w:tab w:val="left" w:pos="709"/>
        </w:tabs>
        <w:ind w:left="709" w:hanging="283"/>
      </w:pPr>
    </w:lvl>
    <w:lvl w:ilvl="1" w:tentative="0">
      <w:start w:val="1"/>
      <w:numFmt w:val="decimal"/>
      <w:lvlText w:val="%2."/>
      <w:lvlJc w:val="left"/>
      <w:pPr>
        <w:tabs>
          <w:tab w:val="left" w:pos="1418"/>
        </w:tabs>
        <w:ind w:left="1418" w:hanging="283"/>
      </w:pPr>
    </w:lvl>
    <w:lvl w:ilvl="2" w:tentative="0">
      <w:start w:val="1"/>
      <w:numFmt w:val="decimal"/>
      <w:lvlText w:val="%3."/>
      <w:lvlJc w:val="left"/>
      <w:pPr>
        <w:tabs>
          <w:tab w:val="left" w:pos="2127"/>
        </w:tabs>
        <w:ind w:left="2127" w:hanging="283"/>
      </w:pPr>
    </w:lvl>
    <w:lvl w:ilvl="3" w:tentative="0">
      <w:start w:val="1"/>
      <w:numFmt w:val="decimal"/>
      <w:lvlText w:val="%4."/>
      <w:lvlJc w:val="left"/>
      <w:pPr>
        <w:tabs>
          <w:tab w:val="left" w:pos="2836"/>
        </w:tabs>
        <w:ind w:left="2836" w:hanging="283"/>
      </w:pPr>
    </w:lvl>
    <w:lvl w:ilvl="4" w:tentative="0">
      <w:start w:val="1"/>
      <w:numFmt w:val="decimal"/>
      <w:lvlText w:val="%5."/>
      <w:lvlJc w:val="left"/>
      <w:pPr>
        <w:tabs>
          <w:tab w:val="left" w:pos="3545"/>
        </w:tabs>
        <w:ind w:left="3545" w:hanging="283"/>
      </w:pPr>
    </w:lvl>
    <w:lvl w:ilvl="5" w:tentative="0">
      <w:start w:val="1"/>
      <w:numFmt w:val="decimal"/>
      <w:lvlText w:val="%6."/>
      <w:lvlJc w:val="left"/>
      <w:pPr>
        <w:tabs>
          <w:tab w:val="left" w:pos="4254"/>
        </w:tabs>
        <w:ind w:left="4254" w:hanging="283"/>
      </w:pPr>
    </w:lvl>
    <w:lvl w:ilvl="6" w:tentative="0">
      <w:start w:val="1"/>
      <w:numFmt w:val="decimal"/>
      <w:lvlText w:val="%7."/>
      <w:lvlJc w:val="left"/>
      <w:pPr>
        <w:tabs>
          <w:tab w:val="left" w:pos="4963"/>
        </w:tabs>
        <w:ind w:left="4963" w:hanging="283"/>
      </w:pPr>
    </w:lvl>
    <w:lvl w:ilvl="7" w:tentative="0">
      <w:start w:val="1"/>
      <w:numFmt w:val="decimal"/>
      <w:lvlText w:val="%8."/>
      <w:lvlJc w:val="left"/>
      <w:pPr>
        <w:tabs>
          <w:tab w:val="left" w:pos="5672"/>
        </w:tabs>
        <w:ind w:left="5672" w:hanging="283"/>
      </w:pPr>
    </w:lvl>
    <w:lvl w:ilvl="8" w:tentative="0">
      <w:start w:val="1"/>
      <w:numFmt w:val="decimal"/>
      <w:lvlText w:val="%9."/>
      <w:lvlJc w:val="left"/>
      <w:pPr>
        <w:tabs>
          <w:tab w:val="left" w:pos="6381"/>
        </w:tabs>
        <w:ind w:left="6381" w:hanging="283"/>
      </w:pPr>
    </w:lvl>
  </w:abstractNum>
  <w:abstractNum w:abstractNumId="4">
    <w:nsid w:val="7D4D4DB5"/>
    <w:multiLevelType w:val="multilevel"/>
    <w:tmpl w:val="7D4D4DB5"/>
    <w:lvl w:ilvl="0" w:tentative="0">
      <w:start w:val="1"/>
      <w:numFmt w:val="bullet"/>
      <w:lvlText w:val=""/>
      <w:lvlJc w:val="left"/>
      <w:pPr>
        <w:tabs>
          <w:tab w:val="left" w:pos="709"/>
        </w:tabs>
        <w:ind w:left="709" w:hanging="283"/>
      </w:pPr>
      <w:rPr>
        <w:rFonts w:hint="default" w:ascii="Symbol" w:hAnsi="Symbol" w:cs="Symbol"/>
      </w:rPr>
    </w:lvl>
    <w:lvl w:ilvl="1" w:tentative="0">
      <w:start w:val="1"/>
      <w:numFmt w:val="bullet"/>
      <w:lvlText w:val=""/>
      <w:lvlJc w:val="left"/>
      <w:pPr>
        <w:tabs>
          <w:tab w:val="left" w:pos="1418"/>
        </w:tabs>
        <w:ind w:left="1418" w:hanging="283"/>
      </w:pPr>
      <w:rPr>
        <w:rFonts w:hint="default" w:ascii="Symbol" w:hAnsi="Symbol" w:cs="Symbol"/>
      </w:rPr>
    </w:lvl>
    <w:lvl w:ilvl="2" w:tentative="0">
      <w:start w:val="1"/>
      <w:numFmt w:val="bullet"/>
      <w:lvlText w:val=""/>
      <w:lvlJc w:val="left"/>
      <w:pPr>
        <w:tabs>
          <w:tab w:val="left" w:pos="2127"/>
        </w:tabs>
        <w:ind w:left="2127" w:hanging="283"/>
      </w:pPr>
      <w:rPr>
        <w:rFonts w:hint="default" w:ascii="Symbol" w:hAnsi="Symbol" w:cs="Symbol"/>
      </w:rPr>
    </w:lvl>
    <w:lvl w:ilvl="3" w:tentative="0">
      <w:start w:val="1"/>
      <w:numFmt w:val="bullet"/>
      <w:lvlText w:val=""/>
      <w:lvlJc w:val="left"/>
      <w:pPr>
        <w:tabs>
          <w:tab w:val="left" w:pos="2836"/>
        </w:tabs>
        <w:ind w:left="2836" w:hanging="283"/>
      </w:pPr>
      <w:rPr>
        <w:rFonts w:hint="default" w:ascii="Symbol" w:hAnsi="Symbol" w:cs="Symbol"/>
      </w:rPr>
    </w:lvl>
    <w:lvl w:ilvl="4" w:tentative="0">
      <w:start w:val="1"/>
      <w:numFmt w:val="bullet"/>
      <w:lvlText w:val=""/>
      <w:lvlJc w:val="left"/>
      <w:pPr>
        <w:tabs>
          <w:tab w:val="left" w:pos="3545"/>
        </w:tabs>
        <w:ind w:left="3545" w:hanging="283"/>
      </w:pPr>
      <w:rPr>
        <w:rFonts w:hint="default" w:ascii="Symbol" w:hAnsi="Symbol" w:cs="Symbol"/>
      </w:rPr>
    </w:lvl>
    <w:lvl w:ilvl="5" w:tentative="0">
      <w:start w:val="1"/>
      <w:numFmt w:val="bullet"/>
      <w:lvlText w:val=""/>
      <w:lvlJc w:val="left"/>
      <w:pPr>
        <w:tabs>
          <w:tab w:val="left" w:pos="4254"/>
        </w:tabs>
        <w:ind w:left="4254" w:hanging="283"/>
      </w:pPr>
      <w:rPr>
        <w:rFonts w:hint="default" w:ascii="Symbol" w:hAnsi="Symbol" w:cs="Symbol"/>
      </w:rPr>
    </w:lvl>
    <w:lvl w:ilvl="6" w:tentative="0">
      <w:start w:val="1"/>
      <w:numFmt w:val="bullet"/>
      <w:lvlText w:val=""/>
      <w:lvlJc w:val="left"/>
      <w:pPr>
        <w:tabs>
          <w:tab w:val="left" w:pos="4963"/>
        </w:tabs>
        <w:ind w:left="4963" w:hanging="283"/>
      </w:pPr>
      <w:rPr>
        <w:rFonts w:hint="default" w:ascii="Symbol" w:hAnsi="Symbol" w:cs="Symbol"/>
      </w:rPr>
    </w:lvl>
    <w:lvl w:ilvl="7" w:tentative="0">
      <w:start w:val="1"/>
      <w:numFmt w:val="bullet"/>
      <w:lvlText w:val=""/>
      <w:lvlJc w:val="left"/>
      <w:pPr>
        <w:tabs>
          <w:tab w:val="left" w:pos="5672"/>
        </w:tabs>
        <w:ind w:left="5672" w:hanging="283"/>
      </w:pPr>
      <w:rPr>
        <w:rFonts w:hint="default" w:ascii="Symbol" w:hAnsi="Symbol" w:cs="Symbol"/>
      </w:rPr>
    </w:lvl>
    <w:lvl w:ilvl="8" w:tentative="0">
      <w:start w:val="1"/>
      <w:numFmt w:val="bullet"/>
      <w:lvlText w:val=""/>
      <w:lvlJc w:val="left"/>
      <w:pPr>
        <w:tabs>
          <w:tab w:val="left" w:pos="6381"/>
        </w:tabs>
        <w:ind w:left="6381" w:hanging="283"/>
      </w:pPr>
      <w:rPr>
        <w:rFonts w:hint="default" w:ascii="Symbol" w:hAnsi="Symbol" w:cs="Symbol"/>
      </w:rPr>
    </w:lvl>
  </w:abstractNum>
  <w:num w:numId="1">
    <w:abstractNumId w:val="3"/>
  </w:num>
  <w:num w:numId="2">
    <w:abstractNumId w:val="0"/>
  </w:num>
  <w:num w:numId="3">
    <w:abstractNumId w:val="1"/>
  </w:num>
  <w:num w:numId="4">
    <w:abstractNumId w:val="2"/>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web"/>
  <w:zoom w:percent="140"/>
  <w:documentProtection w:enforcement="0"/>
  <w:defaultTabStop w:val="1134"/>
  <w:autoHyphenation/>
  <w:footnotePr>
    <w:footnote w:id="0"/>
    <w:footnote w:id="1"/>
  </w:footnotePr>
  <w:endnotePr>
    <w:endnote w:id="0"/>
    <w:endnote w:id="1"/>
  </w:endnotePr>
  <w:compat>
    <w:compatSetting w:name="compatibilityMode" w:uri="http://schemas.microsoft.com/office/word" w:val="15"/>
  </w:compat>
  <w:rsids>
    <w:rsidRoot w:val="00000000"/>
    <w:rsid w:val="077B498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Liberation Serif" w:hAnsi="Liberation Serif" w:eastAsia="Noto Serif CJK SC" w:cs="Noto Sans Devanaga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qFormat="1"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pPr>
      <w:widowControl w:val="0"/>
      <w:suppressAutoHyphens/>
      <w:bidi w:val="0"/>
      <w:spacing w:line="295" w:lineRule="auto"/>
    </w:pPr>
    <w:rPr>
      <w:rFonts w:ascii="Carlito;Calibri;Arial;sans-seri" w:hAnsi="Carlito;Calibri;Arial;sans-seri" w:eastAsia="Carlito;Calibri;Arial;sans-seri" w:cs="Carlito;Calibri;Arial;sans-seri"/>
      <w:color w:val="181818"/>
      <w:sz w:val="21"/>
      <w:szCs w:val="21"/>
      <w:lang w:val="es-AR" w:eastAsia="zh-CN" w:bidi="hi-IN"/>
    </w:rPr>
  </w:style>
  <w:style w:type="paragraph" w:styleId="2">
    <w:name w:val="heading 1"/>
    <w:basedOn w:val="3"/>
    <w:next w:val="4"/>
    <w:qFormat/>
    <w:uiPriority w:val="0"/>
    <w:pPr>
      <w:spacing w:before="240" w:after="360"/>
    </w:pPr>
    <w:rPr>
      <w:rFonts w:ascii="Noto Sans" w:hAnsi="Noto Sans"/>
      <w:b/>
      <w:bCs/>
      <w:color w:val="000000"/>
      <w:sz w:val="40"/>
      <w:szCs w:val="40"/>
    </w:rPr>
  </w:style>
  <w:style w:type="paragraph" w:styleId="5">
    <w:name w:val="heading 2"/>
    <w:basedOn w:val="3"/>
    <w:next w:val="4"/>
    <w:qFormat/>
    <w:uiPriority w:val="0"/>
    <w:pPr>
      <w:keepNext/>
      <w:spacing w:before="340" w:after="140"/>
      <w:ind w:left="340" w:right="340"/>
      <w:outlineLvl w:val="1"/>
    </w:pPr>
    <w:rPr>
      <w:rFonts w:ascii="Liberation Serif" w:hAnsi="Liberation Serif" w:eastAsia="Noto Serif CJK SC" w:cs="Noto Sans Devanagari"/>
      <w:b/>
      <w:bCs/>
      <w:color w:val="000000"/>
      <w:sz w:val="28"/>
      <w:szCs w:val="28"/>
    </w:rPr>
  </w:style>
  <w:style w:type="paragraph" w:styleId="6">
    <w:name w:val="heading 3"/>
    <w:basedOn w:val="3"/>
    <w:next w:val="4"/>
    <w:qFormat/>
    <w:uiPriority w:val="0"/>
    <w:pPr>
      <w:keepNext/>
      <w:spacing w:before="240" w:after="100"/>
      <w:ind w:left="240" w:right="240"/>
      <w:outlineLvl w:val="2"/>
    </w:pPr>
    <w:rPr>
      <w:rFonts w:ascii="Liberation Serif" w:hAnsi="Liberation Serif" w:eastAsia="Noto Serif CJK SC" w:cs="Noto Sans Devanagari"/>
      <w:b/>
      <w:bCs/>
      <w:color w:val="000000"/>
      <w:sz w:val="23"/>
      <w:szCs w:val="23"/>
    </w:rPr>
  </w:style>
  <w:style w:type="character" w:default="1" w:styleId="7">
    <w:name w:val="Default Paragraph Font"/>
    <w:semiHidden/>
    <w:uiPriority w:val="0"/>
  </w:style>
  <w:style w:type="table" w:default="1" w:styleId="8">
    <w:name w:val="Normal Table"/>
    <w:semiHidden/>
    <w:uiPriority w:val="0"/>
    <w:tblPr>
      <w:tblCellMar>
        <w:top w:w="0" w:type="dxa"/>
        <w:left w:w="108" w:type="dxa"/>
        <w:bottom w:w="0" w:type="dxa"/>
        <w:right w:w="108" w:type="dxa"/>
      </w:tblCellMar>
    </w:tblPr>
  </w:style>
  <w:style w:type="paragraph" w:customStyle="1" w:styleId="3">
    <w:name w:val="Título1"/>
    <w:basedOn w:val="1"/>
    <w:next w:val="4"/>
    <w:qFormat/>
    <w:uiPriority w:val="0"/>
    <w:pPr>
      <w:keepNext/>
      <w:spacing w:before="240" w:after="283"/>
    </w:pPr>
    <w:rPr>
      <w:rFonts w:ascii="Liberation Sans" w:hAnsi="Liberation Sans"/>
      <w:sz w:val="28"/>
      <w:szCs w:val="28"/>
    </w:rPr>
  </w:style>
  <w:style w:type="paragraph" w:styleId="4">
    <w:name w:val="Body Text"/>
    <w:basedOn w:val="1"/>
    <w:uiPriority w:val="0"/>
    <w:pPr>
      <w:spacing w:before="0" w:after="120"/>
    </w:pPr>
  </w:style>
  <w:style w:type="character" w:styleId="9">
    <w:name w:val="Hyperlink"/>
    <w:qFormat/>
    <w:uiPriority w:val="0"/>
    <w:rPr>
      <w:color w:val="274664"/>
      <w:u w:val="none"/>
    </w:rPr>
  </w:style>
  <w:style w:type="character" w:styleId="10">
    <w:name w:val="FollowedHyperlink"/>
    <w:qFormat/>
    <w:uiPriority w:val="0"/>
    <w:rPr>
      <w:color w:val="274664"/>
      <w:u w:val="none"/>
    </w:rPr>
  </w:style>
  <w:style w:type="character" w:styleId="11">
    <w:name w:val="Strong"/>
    <w:qFormat/>
    <w:uiPriority w:val="0"/>
    <w:rPr>
      <w:b/>
      <w:bCs/>
    </w:rPr>
  </w:style>
  <w:style w:type="paragraph" w:styleId="12">
    <w:name w:val="caption"/>
    <w:basedOn w:val="1"/>
    <w:qFormat/>
    <w:uiPriority w:val="0"/>
    <w:pPr>
      <w:suppressLineNumbers/>
      <w:spacing w:before="120" w:after="120"/>
    </w:pPr>
    <w:rPr>
      <w:rFonts w:cs="Noto Sans Devanagari"/>
      <w:i/>
      <w:iCs/>
      <w:sz w:val="24"/>
      <w:szCs w:val="24"/>
    </w:rPr>
  </w:style>
  <w:style w:type="paragraph" w:styleId="13">
    <w:name w:val="envelope return"/>
    <w:basedOn w:val="1"/>
    <w:qFormat/>
    <w:uiPriority w:val="0"/>
    <w:rPr>
      <w:i/>
    </w:rPr>
  </w:style>
  <w:style w:type="paragraph" w:styleId="14">
    <w:name w:val="header"/>
    <w:basedOn w:val="1"/>
    <w:uiPriority w:val="0"/>
    <w:pPr>
      <w:suppressLineNumbers/>
      <w:tabs>
        <w:tab w:val="center" w:pos="4818"/>
        <w:tab w:val="right" w:pos="9637"/>
      </w:tabs>
    </w:pPr>
  </w:style>
  <w:style w:type="paragraph" w:styleId="15">
    <w:name w:val="List"/>
    <w:basedOn w:val="4"/>
    <w:uiPriority w:val="0"/>
    <w:rPr>
      <w:rFonts w:cs="Noto Sans Devanagari"/>
    </w:rPr>
  </w:style>
  <w:style w:type="paragraph" w:styleId="16">
    <w:name w:val="footer"/>
    <w:basedOn w:val="1"/>
    <w:uiPriority w:val="0"/>
    <w:pPr>
      <w:suppressLineNumbers/>
      <w:tabs>
        <w:tab w:val="center" w:pos="4818"/>
        <w:tab w:val="right" w:pos="9637"/>
      </w:tabs>
    </w:pPr>
  </w:style>
  <w:style w:type="paragraph" w:styleId="17">
    <w:name w:val="Title"/>
    <w:basedOn w:val="1"/>
    <w:uiPriority w:val="0"/>
    <w:pPr>
      <w:keepNext/>
      <w:spacing w:after="240"/>
    </w:pPr>
    <w:rPr>
      <w:b/>
      <w:color w:val="000000"/>
      <w:sz w:val="40"/>
    </w:rPr>
  </w:style>
  <w:style w:type="character" w:customStyle="1" w:styleId="18">
    <w:name w:val="Caracteres de nota final"/>
    <w:qFormat/>
    <w:uiPriority w:val="0"/>
  </w:style>
  <w:style w:type="character" w:customStyle="1" w:styleId="19">
    <w:name w:val="Caracteres de nota al pie"/>
    <w:qFormat/>
    <w:uiPriority w:val="0"/>
  </w:style>
  <w:style w:type="character" w:customStyle="1" w:styleId="20">
    <w:name w:val="Símbolos de numeración"/>
    <w:qFormat/>
    <w:uiPriority w:val="0"/>
  </w:style>
  <w:style w:type="character" w:customStyle="1" w:styleId="21">
    <w:name w:val="Bolos"/>
    <w:qFormat/>
    <w:uiPriority w:val="0"/>
    <w:rPr>
      <w:rFonts w:ascii="OpenSymbol" w:hAnsi="OpenSymbol" w:eastAsia="OpenSymbol" w:cs="OpenSymbol"/>
    </w:rPr>
  </w:style>
  <w:style w:type="paragraph" w:customStyle="1" w:styleId="22">
    <w:name w:val="Línea horizontal"/>
    <w:basedOn w:val="1"/>
    <w:next w:val="4"/>
    <w:qFormat/>
    <w:uiPriority w:val="0"/>
    <w:pPr>
      <w:pBdr>
        <w:bottom w:val="double" w:color="808080" w:sz="2" w:space="0"/>
      </w:pBdr>
      <w:spacing w:before="0" w:after="283"/>
    </w:pPr>
    <w:rPr>
      <w:sz w:val="12"/>
    </w:rPr>
  </w:style>
  <w:style w:type="paragraph" w:customStyle="1" w:styleId="23">
    <w:name w:val="Contenido de la tabla"/>
    <w:basedOn w:val="4"/>
    <w:qFormat/>
    <w:uiPriority w:val="0"/>
  </w:style>
  <w:style w:type="paragraph" w:customStyle="1" w:styleId="24">
    <w:name w:val="Cabecera y pie"/>
    <w:basedOn w:val="1"/>
    <w:qFormat/>
    <w:uiPriority w:val="0"/>
    <w:pPr>
      <w:suppressLineNumbers/>
      <w:tabs>
        <w:tab w:val="center" w:pos="4819"/>
        <w:tab w:val="right" w:pos="9638"/>
      </w:tabs>
    </w:pPr>
  </w:style>
  <w:style w:type="paragraph" w:customStyle="1" w:styleId="25">
    <w:name w:val="Índice"/>
    <w:basedOn w:val="1"/>
    <w:qFormat/>
    <w:uiPriority w:val="0"/>
    <w:pPr>
      <w:suppressLineNumbers/>
    </w:pPr>
    <w:rPr>
      <w:rFonts w:cs="Noto Sans Devanagari"/>
    </w:rPr>
  </w:style>
  <w:style w:type="paragraph" w:customStyle="1" w:styleId="26">
    <w:name w:val="Texto preformateado"/>
    <w:basedOn w:val="1"/>
    <w:qFormat/>
    <w:uiPriority w:val="0"/>
    <w:pPr>
      <w:keepLines/>
      <w:shd w:val="clear" w:fill="F5F5F5"/>
      <w:spacing w:before="80" w:after="140" w:line="240" w:lineRule="auto"/>
      <w:ind w:left="80" w:right="80"/>
    </w:pPr>
    <w:rPr>
      <w:rFonts w:ascii="Liberation Mono;Consolas;monosp" w:hAnsi="Liberation Mono;Consolas;monosp" w:eastAsia="Liberation Mono;Consolas;monosp" w:cs="Liberation Mono;Consolas;monosp"/>
      <w:sz w:val="17"/>
      <w:szCs w:val="17"/>
    </w:rPr>
  </w:style>
  <w:style w:type="paragraph" w:customStyle="1" w:styleId="27">
    <w:name w:val="Título de la tabla"/>
    <w:basedOn w:val="23"/>
    <w:qFormat/>
    <w:uiPriority w:val="0"/>
    <w:pPr>
      <w:suppressLineNumbers/>
      <w:shd w:val="clear" w:fill="E8EDF2"/>
      <w:jc w:val="center"/>
    </w:pPr>
    <w:rPr>
      <w:b/>
      <w:bCs/>
      <w:color w:val="000000"/>
    </w:rPr>
  </w:style>
  <w:style w:type="paragraph" w:customStyle="1" w:styleId="28">
    <w:name w:val="Cuerpo de texto.decision"/>
    <w:basedOn w:val="4"/>
    <w:qFormat/>
    <w:uiPriority w:val="0"/>
    <w:pPr>
      <w:spacing w:before="0" w:after="100"/>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na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Pages>
  <TotalTime>8437</TotalTime>
  <ScaleCrop>false</ScaleCrop>
  <LinksUpToDate>false</LinksUpToDate>
  <Application>WPS Office_12.1.2.29182_F1E327BC-269C-435d-A152-05C5408002CA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2026-10-20T14:48:19Z</dcterms:created>
  <dc:creator>alanastasio</dc:creator>
  <cp:lastModifiedBy>alanastasio</cp:lastModifiedBy>
  <dcterms:modified xsi:type="dcterms:W3CDTF">2026-10-26T11:25:57Z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3082-12.1.2.29182</vt:lpwstr>
  </property>
  <property fmtid="{D5CDD505-2E9C-101B-9397-08002B2CF9AE}" pid="3" name="ICV">
    <vt:lpwstr>D52E4188B0D72367F562DF6A5D6B800F_42</vt:lpwstr>
  </property>
</Properties>
</file>