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C35E22" w14:textId="1B3BB591" w:rsidR="0071494C" w:rsidRDefault="003F7750" w:rsidP="001F10B4">
      <w:pPr>
        <w:pStyle w:val="Heading1"/>
      </w:pPr>
      <w:r>
        <w:t>Kick start</w:t>
      </w:r>
      <w:r w:rsidR="00B328D7">
        <w:t xml:space="preserve"> summary report</w:t>
      </w:r>
    </w:p>
    <w:p w14:paraId="1CFF43BA" w14:textId="77777777" w:rsidR="00B328D7" w:rsidRDefault="00B328D7"/>
    <w:p w14:paraId="4190FA35" w14:textId="71DBAC3A" w:rsidR="003D1028" w:rsidRDefault="003D1028" w:rsidP="001F10B4">
      <w:pPr>
        <w:pStyle w:val="Heading2"/>
      </w:pPr>
      <w:r>
        <w:t xml:space="preserve">Conclusions. </w:t>
      </w:r>
    </w:p>
    <w:p w14:paraId="1F1CD7CC" w14:textId="75D9B3EE" w:rsidR="00195AD6" w:rsidRDefault="008054B0" w:rsidP="00195AD6">
      <w:p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noProof/>
        </w:rPr>
        <w:drawing>
          <wp:inline distT="0" distB="0" distL="0" distR="0" wp14:anchorId="3BD89916" wp14:editId="6629B576">
            <wp:extent cx="5943600" cy="30480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08F6528" w14:textId="1315A0C3" w:rsidR="00195AD6" w:rsidRDefault="003F7750" w:rsidP="00195AD6">
      <w:p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All kick starts related to journalism have been canceled while theater and film &amp; video kick stars have more than a 50% chance of succeed. Music kick starts are even better with more that 7</w:t>
      </w:r>
      <w:r w:rsidR="00773D68">
        <w:rPr>
          <w:rFonts w:ascii="Helvetica" w:eastAsia="Times New Roman" w:hAnsi="Helvetica" w:cs="Times New Roman"/>
          <w:color w:val="24292E"/>
        </w:rPr>
        <w:t>5</w:t>
      </w:r>
      <w:r>
        <w:rPr>
          <w:rFonts w:ascii="Helvetica" w:eastAsia="Times New Roman" w:hAnsi="Helvetica" w:cs="Times New Roman"/>
          <w:color w:val="24292E"/>
        </w:rPr>
        <w:t xml:space="preserve">% of them succeeding. </w:t>
      </w:r>
      <w:r w:rsidR="006C0E9A">
        <w:rPr>
          <w:rFonts w:ascii="Helvetica" w:eastAsia="Times New Roman" w:hAnsi="Helvetica" w:cs="Times New Roman"/>
          <w:color w:val="24292E"/>
        </w:rPr>
        <w:t xml:space="preserve">A new kick start is more likely to succeed if it </w:t>
      </w:r>
      <w:r w:rsidR="003D1028">
        <w:rPr>
          <w:rFonts w:ascii="Helvetica" w:eastAsia="Times New Roman" w:hAnsi="Helvetica" w:cs="Times New Roman"/>
          <w:color w:val="24292E"/>
        </w:rPr>
        <w:t xml:space="preserve">is related to </w:t>
      </w:r>
      <w:r w:rsidR="00874206">
        <w:rPr>
          <w:rFonts w:ascii="Helvetica" w:eastAsia="Times New Roman" w:hAnsi="Helvetica" w:cs="Times New Roman"/>
          <w:color w:val="24292E"/>
        </w:rPr>
        <w:t>music.</w:t>
      </w:r>
    </w:p>
    <w:p w14:paraId="6200604A" w14:textId="77777777" w:rsidR="00DF3394" w:rsidRDefault="00DF3394" w:rsidP="00195AD6">
      <w:p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</w:p>
    <w:p w14:paraId="764E0779" w14:textId="2867C505" w:rsidR="00773D68" w:rsidRDefault="00FB3ED6" w:rsidP="00195AD6">
      <w:p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noProof/>
        </w:rPr>
        <w:lastRenderedPageBreak/>
        <w:drawing>
          <wp:inline distT="0" distB="0" distL="0" distR="0" wp14:anchorId="2FFE0DA9" wp14:editId="2695ADBF">
            <wp:extent cx="5943600" cy="2894965"/>
            <wp:effectExtent l="0" t="0" r="0" b="635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F57581D" w14:textId="182C0879" w:rsidR="003D1028" w:rsidRDefault="003A66F9" w:rsidP="00195AD6">
      <w:p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No music kick </w:t>
      </w:r>
      <w:r w:rsidR="001E6F96">
        <w:rPr>
          <w:rFonts w:ascii="Helvetica" w:eastAsia="Times New Roman" w:hAnsi="Helvetica" w:cs="Times New Roman"/>
          <w:color w:val="24292E"/>
        </w:rPr>
        <w:t>starts</w:t>
      </w:r>
      <w:r>
        <w:rPr>
          <w:rFonts w:ascii="Helvetica" w:eastAsia="Times New Roman" w:hAnsi="Helvetica" w:cs="Times New Roman"/>
          <w:color w:val="24292E"/>
        </w:rPr>
        <w:t xml:space="preserve"> from the faith, jazz and world music </w:t>
      </w:r>
      <w:r w:rsidR="001E6F96">
        <w:rPr>
          <w:rFonts w:ascii="Helvetica" w:eastAsia="Times New Roman" w:hAnsi="Helvetica" w:cs="Times New Roman"/>
          <w:color w:val="24292E"/>
        </w:rPr>
        <w:t>have</w:t>
      </w:r>
      <w:r>
        <w:rPr>
          <w:rFonts w:ascii="Helvetica" w:eastAsia="Times New Roman" w:hAnsi="Helvetica" w:cs="Times New Roman"/>
          <w:color w:val="24292E"/>
        </w:rPr>
        <w:t xml:space="preserve"> succeeded. A new kick start might be better off avoiding such sub-categories. The music sub-categories with the most success are rock and indie rock.</w:t>
      </w:r>
    </w:p>
    <w:p w14:paraId="2A81A85E" w14:textId="799B1C24" w:rsidR="00773D68" w:rsidRDefault="003A66F9" w:rsidP="00195AD6">
      <w:p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 </w:t>
      </w:r>
      <w:r w:rsidR="00FB3ED6">
        <w:rPr>
          <w:noProof/>
        </w:rPr>
        <w:drawing>
          <wp:inline distT="0" distB="0" distL="0" distR="0" wp14:anchorId="4E937734" wp14:editId="1D383897">
            <wp:extent cx="5943600" cy="3926205"/>
            <wp:effectExtent l="0" t="0" r="0" b="10795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183C527" w14:textId="1FDD203B" w:rsidR="00FF09EF" w:rsidRDefault="00FF09EF" w:rsidP="00195AD6">
      <w:p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The</w:t>
      </w:r>
      <w:r w:rsidR="00F3630A">
        <w:rPr>
          <w:rFonts w:ascii="Helvetica" w:eastAsia="Times New Roman" w:hAnsi="Helvetica" w:cs="Times New Roman"/>
          <w:color w:val="24292E"/>
        </w:rPr>
        <w:t>re</w:t>
      </w:r>
      <w:r>
        <w:rPr>
          <w:rFonts w:ascii="Helvetica" w:eastAsia="Times New Roman" w:hAnsi="Helvetica" w:cs="Times New Roman"/>
          <w:color w:val="24292E"/>
        </w:rPr>
        <w:t xml:space="preserve"> is a higher success rate for music kick start</w:t>
      </w:r>
      <w:r w:rsidR="0006787D">
        <w:rPr>
          <w:rFonts w:ascii="Helvetica" w:eastAsia="Times New Roman" w:hAnsi="Helvetica" w:cs="Times New Roman"/>
          <w:color w:val="24292E"/>
        </w:rPr>
        <w:t>s</w:t>
      </w:r>
      <w:r>
        <w:rPr>
          <w:rFonts w:ascii="Helvetica" w:eastAsia="Times New Roman" w:hAnsi="Helvetica" w:cs="Times New Roman"/>
          <w:color w:val="24292E"/>
        </w:rPr>
        <w:t xml:space="preserve"> </w:t>
      </w:r>
      <w:r w:rsidR="003D1028">
        <w:rPr>
          <w:rFonts w:ascii="Helvetica" w:eastAsia="Times New Roman" w:hAnsi="Helvetica" w:cs="Times New Roman"/>
          <w:color w:val="24292E"/>
        </w:rPr>
        <w:t xml:space="preserve">launched the first half of the year specially since 2014. </w:t>
      </w:r>
    </w:p>
    <w:p w14:paraId="437AD49E" w14:textId="3AAF8571" w:rsidR="00DF3394" w:rsidRDefault="00DF3394" w:rsidP="001F10B4">
      <w:pPr>
        <w:pStyle w:val="Heading2"/>
        <w:rPr>
          <w:rFonts w:eastAsia="Times New Roman"/>
        </w:rPr>
      </w:pPr>
      <w:r>
        <w:rPr>
          <w:rFonts w:eastAsia="Times New Roman"/>
        </w:rPr>
        <w:t>Dataset limitations.</w:t>
      </w:r>
    </w:p>
    <w:p w14:paraId="7A9F21C1" w14:textId="55A63619" w:rsidR="00DF3394" w:rsidRDefault="00BD7461" w:rsidP="00195AD6">
      <w:p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Some countries contribute a small number of kick starts, making a “per country” study difficult. </w:t>
      </w:r>
    </w:p>
    <w:p w14:paraId="64763F3C" w14:textId="4C40E159" w:rsidR="00BD7461" w:rsidRDefault="00FE082D" w:rsidP="00195AD6">
      <w:p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The currencies have not been </w:t>
      </w:r>
      <w:r w:rsidR="0006787D">
        <w:rPr>
          <w:rFonts w:ascii="Helvetica" w:eastAsia="Times New Roman" w:hAnsi="Helvetica" w:cs="Times New Roman"/>
          <w:color w:val="24292E"/>
        </w:rPr>
        <w:t>consolidated</w:t>
      </w:r>
      <w:r>
        <w:rPr>
          <w:rFonts w:ascii="Helvetica" w:eastAsia="Times New Roman" w:hAnsi="Helvetica" w:cs="Times New Roman"/>
          <w:color w:val="24292E"/>
        </w:rPr>
        <w:t xml:space="preserve"> to a single currency. </w:t>
      </w:r>
    </w:p>
    <w:p w14:paraId="29D1A77D" w14:textId="5BC2D25C" w:rsidR="007B72D4" w:rsidRDefault="007B72D4" w:rsidP="001F10B4">
      <w:pPr>
        <w:pStyle w:val="Heading2"/>
        <w:rPr>
          <w:rFonts w:eastAsia="Times New Roman"/>
        </w:rPr>
      </w:pPr>
      <w:r>
        <w:rPr>
          <w:rFonts w:eastAsia="Times New Roman"/>
        </w:rPr>
        <w:t>Other possible tables/graphs</w:t>
      </w:r>
    </w:p>
    <w:p w14:paraId="7BBF7DEA" w14:textId="6B00AC5C" w:rsidR="007B72D4" w:rsidRDefault="007B72D4" w:rsidP="00195AD6">
      <w:p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Assuming we use a formula to consolidate currency:</w:t>
      </w:r>
    </w:p>
    <w:p w14:paraId="7C4E82E6" w14:textId="1BE8E463" w:rsidR="007B72D4" w:rsidRDefault="007B72D4" w:rsidP="00195AD6">
      <w:p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We could re-plot the percentage of successful, failed and canceled kick start</w:t>
      </w:r>
      <w:r w:rsidR="00197DD8">
        <w:rPr>
          <w:rFonts w:ascii="Helvetica" w:eastAsia="Times New Roman" w:hAnsi="Helvetica" w:cs="Times New Roman"/>
          <w:color w:val="24292E"/>
        </w:rPr>
        <w:t>s</w:t>
      </w:r>
      <w:r>
        <w:rPr>
          <w:rFonts w:ascii="Helvetica" w:eastAsia="Times New Roman" w:hAnsi="Helvetica" w:cs="Times New Roman"/>
          <w:color w:val="24292E"/>
        </w:rPr>
        <w:t xml:space="preserve"> per goal bracket with the correct amounts (say all dollars).</w:t>
      </w:r>
    </w:p>
    <w:p w14:paraId="05EC0B12" w14:textId="6621CAE3" w:rsidR="007B72D4" w:rsidRDefault="007B72D4" w:rsidP="00195AD6">
      <w:p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In my drill down analysis above</w:t>
      </w:r>
      <w:r w:rsidR="00197DD8">
        <w:rPr>
          <w:rFonts w:ascii="Helvetica" w:eastAsia="Times New Roman" w:hAnsi="Helvetica" w:cs="Times New Roman"/>
          <w:color w:val="24292E"/>
        </w:rPr>
        <w:t>,</w:t>
      </w:r>
      <w:r>
        <w:rPr>
          <w:rFonts w:ascii="Helvetica" w:eastAsia="Times New Roman" w:hAnsi="Helvetica" w:cs="Times New Roman"/>
          <w:color w:val="24292E"/>
        </w:rPr>
        <w:t xml:space="preserve"> I determined that a new kick start should concentrate on music/rock and be launched in the first half of the year. </w:t>
      </w:r>
      <w:r w:rsidR="00445711">
        <w:rPr>
          <w:rFonts w:ascii="Helvetica" w:eastAsia="Times New Roman" w:hAnsi="Helvetica" w:cs="Times New Roman"/>
          <w:color w:val="24292E"/>
        </w:rPr>
        <w:t xml:space="preserve">We could explore </w:t>
      </w:r>
      <w:r w:rsidR="00385FB8">
        <w:rPr>
          <w:rFonts w:ascii="Helvetica" w:eastAsia="Times New Roman" w:hAnsi="Helvetica" w:cs="Times New Roman"/>
          <w:color w:val="24292E"/>
        </w:rPr>
        <w:t xml:space="preserve">which goal would be preferable as well by plotting the </w:t>
      </w:r>
      <w:r w:rsidR="004E6912">
        <w:rPr>
          <w:rFonts w:ascii="Helvetica" w:eastAsia="Times New Roman" w:hAnsi="Helvetica" w:cs="Times New Roman"/>
          <w:color w:val="24292E"/>
        </w:rPr>
        <w:t xml:space="preserve">percentage of successful, failed and canceled kick stars per goal bracket </w:t>
      </w:r>
      <w:r w:rsidR="00445711">
        <w:rPr>
          <w:rFonts w:ascii="Helvetica" w:eastAsia="Times New Roman" w:hAnsi="Helvetica" w:cs="Times New Roman"/>
          <w:color w:val="24292E"/>
        </w:rPr>
        <w:t>but</w:t>
      </w:r>
      <w:r w:rsidR="004E6912">
        <w:rPr>
          <w:rFonts w:ascii="Helvetica" w:eastAsia="Times New Roman" w:hAnsi="Helvetica" w:cs="Times New Roman"/>
          <w:color w:val="24292E"/>
        </w:rPr>
        <w:t xml:space="preserve"> filtered by music/rock.</w:t>
      </w:r>
      <w:r w:rsidR="00AA5148">
        <w:rPr>
          <w:rFonts w:ascii="Helvetica" w:eastAsia="Times New Roman" w:hAnsi="Helvetica" w:cs="Times New Roman"/>
          <w:color w:val="24292E"/>
        </w:rPr>
        <w:t xml:space="preserve"> All we have to do is add two more range-criteria pairs to our Bonus “</w:t>
      </w:r>
      <w:r w:rsidR="00197DD8">
        <w:rPr>
          <w:rFonts w:ascii="Helvetica" w:eastAsia="Times New Roman" w:hAnsi="Helvetica" w:cs="Times New Roman"/>
          <w:color w:val="24292E"/>
        </w:rPr>
        <w:t>COUNTIFS</w:t>
      </w:r>
      <w:r w:rsidR="00AA5148">
        <w:rPr>
          <w:rFonts w:ascii="Helvetica" w:eastAsia="Times New Roman" w:hAnsi="Helvetica" w:cs="Times New Roman"/>
          <w:color w:val="24292E"/>
        </w:rPr>
        <w:t xml:space="preserve">” formula to pick category = music and sub-category </w:t>
      </w:r>
      <w:bookmarkStart w:id="0" w:name="_GoBack"/>
      <w:bookmarkEnd w:id="0"/>
      <w:r w:rsidR="00197DD8">
        <w:rPr>
          <w:rFonts w:ascii="Helvetica" w:eastAsia="Times New Roman" w:hAnsi="Helvetica" w:cs="Times New Roman"/>
          <w:color w:val="24292E"/>
        </w:rPr>
        <w:t>= rock</w:t>
      </w:r>
      <w:r w:rsidR="00AA5148">
        <w:rPr>
          <w:rFonts w:ascii="Helvetica" w:eastAsia="Times New Roman" w:hAnsi="Helvetica" w:cs="Times New Roman"/>
          <w:color w:val="24292E"/>
        </w:rPr>
        <w:t>.</w:t>
      </w:r>
    </w:p>
    <w:sectPr w:rsidR="007B72D4" w:rsidSect="00217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DB488E"/>
    <w:multiLevelType w:val="multilevel"/>
    <w:tmpl w:val="4AD8B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8D7"/>
    <w:rsid w:val="0006787D"/>
    <w:rsid w:val="00195AD6"/>
    <w:rsid w:val="00197DD8"/>
    <w:rsid w:val="001E6F96"/>
    <w:rsid w:val="001F10B4"/>
    <w:rsid w:val="00217FFE"/>
    <w:rsid w:val="00385FB8"/>
    <w:rsid w:val="003A66F9"/>
    <w:rsid w:val="003D1028"/>
    <w:rsid w:val="003F7750"/>
    <w:rsid w:val="00445711"/>
    <w:rsid w:val="00456730"/>
    <w:rsid w:val="004E6912"/>
    <w:rsid w:val="005D1401"/>
    <w:rsid w:val="00657432"/>
    <w:rsid w:val="006C0E9A"/>
    <w:rsid w:val="0071494C"/>
    <w:rsid w:val="00773D68"/>
    <w:rsid w:val="007B72D4"/>
    <w:rsid w:val="008054B0"/>
    <w:rsid w:val="00874206"/>
    <w:rsid w:val="00AA5148"/>
    <w:rsid w:val="00B328D7"/>
    <w:rsid w:val="00BD7461"/>
    <w:rsid w:val="00BF5B90"/>
    <w:rsid w:val="00DF3394"/>
    <w:rsid w:val="00E61E88"/>
    <w:rsid w:val="00F3630A"/>
    <w:rsid w:val="00FB3ED6"/>
    <w:rsid w:val="00FE082D"/>
    <w:rsid w:val="00FE47B8"/>
    <w:rsid w:val="00FF0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AD2F0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0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10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0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10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6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chart" Target="charts/chart3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alan/Documents/Data%20Analytics/UT%20boot%20camp/wk1/homework/StarterBook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localhost/Users/alan/Documents/Data%20Analytics/UT%20boot%20camp/wk1/homework/StarterBook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localhost/Users/alan/Documents/Data%20Analytics/UT%20boot%20camp/wk1/homework/StarterBook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Kickstart</a:t>
            </a:r>
            <a:r>
              <a:rPr lang="en-US" baseline="0"/>
              <a:t> status per category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category!$B$4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/>
          </c:spPr>
          <c:invertIfNegative val="0"/>
          <c:cat>
            <c:strRef>
              <c:f>category!$A$5:$A$13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category!$B$5:$B$13</c:f>
              <c:numCache>
                <c:formatCode>General</c:formatCode>
                <c:ptCount val="9"/>
                <c:pt idx="0">
                  <c:v>300.0</c:v>
                </c:pt>
                <c:pt idx="1">
                  <c:v>34.0</c:v>
                </c:pt>
                <c:pt idx="2">
                  <c:v>80.0</c:v>
                </c:pt>
                <c:pt idx="4">
                  <c:v>540.0</c:v>
                </c:pt>
                <c:pt idx="5">
                  <c:v>103.0</c:v>
                </c:pt>
                <c:pt idx="6">
                  <c:v>80.0</c:v>
                </c:pt>
                <c:pt idx="7">
                  <c:v>209.0</c:v>
                </c:pt>
                <c:pt idx="8">
                  <c:v>839.0</c:v>
                </c:pt>
              </c:numCache>
            </c:numRef>
          </c:val>
        </c:ser>
        <c:ser>
          <c:idx val="1"/>
          <c:order val="1"/>
          <c:tx>
            <c:strRef>
              <c:f>category!$C$4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category!$A$5:$A$13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category!$C$5:$C$13</c:f>
              <c:numCache>
                <c:formatCode>General</c:formatCode>
                <c:ptCount val="9"/>
                <c:pt idx="0">
                  <c:v>180.0</c:v>
                </c:pt>
                <c:pt idx="1">
                  <c:v>140.0</c:v>
                </c:pt>
                <c:pt idx="2">
                  <c:v>140.0</c:v>
                </c:pt>
                <c:pt idx="4">
                  <c:v>120.0</c:v>
                </c:pt>
                <c:pt idx="5">
                  <c:v>117.0</c:v>
                </c:pt>
                <c:pt idx="6">
                  <c:v>127.0</c:v>
                </c:pt>
                <c:pt idx="7">
                  <c:v>213.0</c:v>
                </c:pt>
                <c:pt idx="8">
                  <c:v>493.0</c:v>
                </c:pt>
              </c:numCache>
            </c:numRef>
          </c:val>
        </c:ser>
        <c:ser>
          <c:idx val="2"/>
          <c:order val="2"/>
          <c:tx>
            <c:strRef>
              <c:f>category!$D$4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4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strRef>
              <c:f>category!$A$5:$A$13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category!$D$5:$D$13</c:f>
              <c:numCache>
                <c:formatCode>General</c:formatCode>
                <c:ptCount val="9"/>
                <c:pt idx="0">
                  <c:v>40.0</c:v>
                </c:pt>
                <c:pt idx="1">
                  <c:v>20.0</c:v>
                </c:pt>
                <c:pt idx="3">
                  <c:v>24.0</c:v>
                </c:pt>
                <c:pt idx="4">
                  <c:v>20.0</c:v>
                </c:pt>
                <c:pt idx="6">
                  <c:v>30.0</c:v>
                </c:pt>
                <c:pt idx="7">
                  <c:v>178.0</c:v>
                </c:pt>
                <c:pt idx="8">
                  <c:v>37.0</c:v>
                </c:pt>
              </c:numCache>
            </c:numRef>
          </c:val>
        </c:ser>
        <c:ser>
          <c:idx val="3"/>
          <c:order val="3"/>
          <c:tx>
            <c:strRef>
              <c:f>category!$E$4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6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strRef>
              <c:f>category!$A$5:$A$13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category!$E$5:$E$13</c:f>
              <c:numCache>
                <c:formatCode>General</c:formatCode>
                <c:ptCount val="9"/>
                <c:pt idx="1">
                  <c:v>6.0</c:v>
                </c:pt>
                <c:pt idx="4">
                  <c:v>20.0</c:v>
                </c:pt>
                <c:pt idx="8">
                  <c:v>24.0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-2131527296"/>
        <c:axId val="-2131232976"/>
      </c:barChart>
      <c:catAx>
        <c:axId val="-21315272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31232976"/>
        <c:crosses val="autoZero"/>
        <c:auto val="1"/>
        <c:lblAlgn val="ctr"/>
        <c:lblOffset val="100"/>
        <c:noMultiLvlLbl val="0"/>
      </c:catAx>
      <c:valAx>
        <c:axId val="-2131232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315272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music</a:t>
            </a:r>
            <a:r>
              <a:rPr lang="en-US" baseline="0"/>
              <a:t> </a:t>
            </a:r>
            <a:r>
              <a:rPr lang="en-US"/>
              <a:t>kick start </a:t>
            </a:r>
            <a:r>
              <a:rPr lang="en-US" baseline="0"/>
              <a:t>status per sub-category</a:t>
            </a:r>
            <a:endParaRPr lang="en-US"/>
          </a:p>
        </c:rich>
      </c:tx>
      <c:layout>
        <c:manualLayout>
          <c:xMode val="edge"/>
          <c:yMode val="edge"/>
          <c:x val="0.264267172308343"/>
          <c:y val="0.029279279279279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'for report 1'!$B$5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'for report 1'!$A$6:$A$14</c:f>
              <c:strCache>
                <c:ptCount val="9"/>
                <c:pt idx="0">
                  <c:v>classical music</c:v>
                </c:pt>
                <c:pt idx="1">
                  <c:v>electronic music</c:v>
                </c:pt>
                <c:pt idx="2">
                  <c:v>faith</c:v>
                </c:pt>
                <c:pt idx="3">
                  <c:v>indie rock</c:v>
                </c:pt>
                <c:pt idx="4">
                  <c:v>jazz</c:v>
                </c:pt>
                <c:pt idx="5">
                  <c:v>metal</c:v>
                </c:pt>
                <c:pt idx="6">
                  <c:v>pop</c:v>
                </c:pt>
                <c:pt idx="7">
                  <c:v>rock</c:v>
                </c:pt>
                <c:pt idx="8">
                  <c:v>world music</c:v>
                </c:pt>
              </c:strCache>
            </c:strRef>
          </c:cat>
          <c:val>
            <c:numRef>
              <c:f>'for report 1'!$B$6:$B$14</c:f>
              <c:numCache>
                <c:formatCode>General</c:formatCode>
                <c:ptCount val="9"/>
                <c:pt idx="0">
                  <c:v>40.0</c:v>
                </c:pt>
                <c:pt idx="1">
                  <c:v>40.0</c:v>
                </c:pt>
                <c:pt idx="3">
                  <c:v>140.0</c:v>
                </c:pt>
                <c:pt idx="5">
                  <c:v>20.0</c:v>
                </c:pt>
                <c:pt idx="6">
                  <c:v>40.0</c:v>
                </c:pt>
                <c:pt idx="7">
                  <c:v>260.0</c:v>
                </c:pt>
              </c:numCache>
            </c:numRef>
          </c:val>
        </c:ser>
        <c:ser>
          <c:idx val="1"/>
          <c:order val="1"/>
          <c:tx>
            <c:strRef>
              <c:f>'for report 1'!$C$5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'for report 1'!$A$6:$A$14</c:f>
              <c:strCache>
                <c:ptCount val="9"/>
                <c:pt idx="0">
                  <c:v>classical music</c:v>
                </c:pt>
                <c:pt idx="1">
                  <c:v>electronic music</c:v>
                </c:pt>
                <c:pt idx="2">
                  <c:v>faith</c:v>
                </c:pt>
                <c:pt idx="3">
                  <c:v>indie rock</c:v>
                </c:pt>
                <c:pt idx="4">
                  <c:v>jazz</c:v>
                </c:pt>
                <c:pt idx="5">
                  <c:v>metal</c:v>
                </c:pt>
                <c:pt idx="6">
                  <c:v>pop</c:v>
                </c:pt>
                <c:pt idx="7">
                  <c:v>rock</c:v>
                </c:pt>
                <c:pt idx="8">
                  <c:v>world music</c:v>
                </c:pt>
              </c:strCache>
            </c:strRef>
          </c:cat>
          <c:val>
            <c:numRef>
              <c:f>'for report 1'!$C$6:$C$14</c:f>
              <c:numCache>
                <c:formatCode>General</c:formatCode>
                <c:ptCount val="9"/>
                <c:pt idx="2">
                  <c:v>40.0</c:v>
                </c:pt>
                <c:pt idx="3">
                  <c:v>20.0</c:v>
                </c:pt>
                <c:pt idx="4">
                  <c:v>60.0</c:v>
                </c:pt>
              </c:numCache>
            </c:numRef>
          </c:val>
        </c:ser>
        <c:ser>
          <c:idx val="2"/>
          <c:order val="2"/>
          <c:tx>
            <c:strRef>
              <c:f>'for report 1'!$D$5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'for report 1'!$A$6:$A$14</c:f>
              <c:strCache>
                <c:ptCount val="9"/>
                <c:pt idx="0">
                  <c:v>classical music</c:v>
                </c:pt>
                <c:pt idx="1">
                  <c:v>electronic music</c:v>
                </c:pt>
                <c:pt idx="2">
                  <c:v>faith</c:v>
                </c:pt>
                <c:pt idx="3">
                  <c:v>indie rock</c:v>
                </c:pt>
                <c:pt idx="4">
                  <c:v>jazz</c:v>
                </c:pt>
                <c:pt idx="5">
                  <c:v>metal</c:v>
                </c:pt>
                <c:pt idx="6">
                  <c:v>pop</c:v>
                </c:pt>
                <c:pt idx="7">
                  <c:v>rock</c:v>
                </c:pt>
                <c:pt idx="8">
                  <c:v>world music</c:v>
                </c:pt>
              </c:strCache>
            </c:strRef>
          </c:cat>
          <c:val>
            <c:numRef>
              <c:f>'for report 1'!$D$6:$D$14</c:f>
              <c:numCache>
                <c:formatCode>General</c:formatCode>
                <c:ptCount val="9"/>
                <c:pt idx="8">
                  <c:v>20.0</c:v>
                </c:pt>
              </c:numCache>
            </c:numRef>
          </c:val>
        </c:ser>
        <c:ser>
          <c:idx val="3"/>
          <c:order val="3"/>
          <c:tx>
            <c:strRef>
              <c:f>'for report 1'!$E$5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'for report 1'!$A$6:$A$14</c:f>
              <c:strCache>
                <c:ptCount val="9"/>
                <c:pt idx="0">
                  <c:v>classical music</c:v>
                </c:pt>
                <c:pt idx="1">
                  <c:v>electronic music</c:v>
                </c:pt>
                <c:pt idx="2">
                  <c:v>faith</c:v>
                </c:pt>
                <c:pt idx="3">
                  <c:v>indie rock</c:v>
                </c:pt>
                <c:pt idx="4">
                  <c:v>jazz</c:v>
                </c:pt>
                <c:pt idx="5">
                  <c:v>metal</c:v>
                </c:pt>
                <c:pt idx="6">
                  <c:v>pop</c:v>
                </c:pt>
                <c:pt idx="7">
                  <c:v>rock</c:v>
                </c:pt>
                <c:pt idx="8">
                  <c:v>world music</c:v>
                </c:pt>
              </c:strCache>
            </c:strRef>
          </c:cat>
          <c:val>
            <c:numRef>
              <c:f>'for report 1'!$E$6:$E$14</c:f>
              <c:numCache>
                <c:formatCode>General</c:formatCode>
                <c:ptCount val="9"/>
                <c:pt idx="2">
                  <c:v>20.0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-2131126048"/>
        <c:axId val="-2130961024"/>
      </c:barChart>
      <c:catAx>
        <c:axId val="-21311260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30961024"/>
        <c:crosses val="autoZero"/>
        <c:auto val="1"/>
        <c:lblAlgn val="ctr"/>
        <c:lblOffset val="100"/>
        <c:noMultiLvlLbl val="0"/>
      </c:catAx>
      <c:valAx>
        <c:axId val="-2130961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311260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music kick</a:t>
            </a:r>
            <a:r>
              <a:rPr lang="en-US" baseline="0"/>
              <a:t> </a:t>
            </a:r>
            <a:r>
              <a:rPr lang="en-US"/>
              <a:t>start</a:t>
            </a:r>
            <a:r>
              <a:rPr lang="en-US" baseline="0"/>
              <a:t> status by start date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'for report 2'!$B$5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'for report 2'!$A$6:$A$17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'for report 2'!$B$6:$B$17</c:f>
              <c:numCache>
                <c:formatCode>General</c:formatCode>
                <c:ptCount val="12"/>
                <c:pt idx="0">
                  <c:v>55.0</c:v>
                </c:pt>
                <c:pt idx="1">
                  <c:v>48.0</c:v>
                </c:pt>
                <c:pt idx="2">
                  <c:v>49.0</c:v>
                </c:pt>
                <c:pt idx="3">
                  <c:v>49.0</c:v>
                </c:pt>
                <c:pt idx="4">
                  <c:v>53.0</c:v>
                </c:pt>
                <c:pt idx="5">
                  <c:v>46.0</c:v>
                </c:pt>
                <c:pt idx="6">
                  <c:v>39.0</c:v>
                </c:pt>
                <c:pt idx="7">
                  <c:v>45.0</c:v>
                </c:pt>
                <c:pt idx="8">
                  <c:v>38.0</c:v>
                </c:pt>
                <c:pt idx="9">
                  <c:v>43.0</c:v>
                </c:pt>
                <c:pt idx="10">
                  <c:v>45.0</c:v>
                </c:pt>
                <c:pt idx="11">
                  <c:v>30.0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'for report 2'!$C$5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'for report 2'!$A$6:$A$17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'for report 2'!$C$6:$C$17</c:f>
              <c:numCache>
                <c:formatCode>General</c:formatCode>
                <c:ptCount val="12"/>
                <c:pt idx="0">
                  <c:v>10.0</c:v>
                </c:pt>
                <c:pt idx="1">
                  <c:v>8.0</c:v>
                </c:pt>
                <c:pt idx="2">
                  <c:v>10.0</c:v>
                </c:pt>
                <c:pt idx="3">
                  <c:v>10.0</c:v>
                </c:pt>
                <c:pt idx="4">
                  <c:v>9.0</c:v>
                </c:pt>
                <c:pt idx="5">
                  <c:v>7.0</c:v>
                </c:pt>
                <c:pt idx="6">
                  <c:v>8.0</c:v>
                </c:pt>
                <c:pt idx="7">
                  <c:v>12.0</c:v>
                </c:pt>
                <c:pt idx="8">
                  <c:v>13.0</c:v>
                </c:pt>
                <c:pt idx="9">
                  <c:v>16.0</c:v>
                </c:pt>
                <c:pt idx="10">
                  <c:v>9.0</c:v>
                </c:pt>
                <c:pt idx="11">
                  <c:v>8.0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'for report 2'!$D$5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'for report 2'!$A$6:$A$17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'for report 2'!$D$6:$D$17</c:f>
              <c:numCache>
                <c:formatCode>General</c:formatCode>
                <c:ptCount val="12"/>
                <c:pt idx="0">
                  <c:v>3.0</c:v>
                </c:pt>
                <c:pt idx="2">
                  <c:v>2.0</c:v>
                </c:pt>
                <c:pt idx="3">
                  <c:v>1.0</c:v>
                </c:pt>
                <c:pt idx="4">
                  <c:v>2.0</c:v>
                </c:pt>
                <c:pt idx="6">
                  <c:v>5.0</c:v>
                </c:pt>
                <c:pt idx="7">
                  <c:v>4.0</c:v>
                </c:pt>
                <c:pt idx="9">
                  <c:v>1.0</c:v>
                </c:pt>
                <c:pt idx="10">
                  <c:v>1.0</c:v>
                </c:pt>
                <c:pt idx="11">
                  <c:v>1.0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31888912"/>
        <c:axId val="-2131776992"/>
      </c:lineChart>
      <c:catAx>
        <c:axId val="-21318889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31776992"/>
        <c:crosses val="autoZero"/>
        <c:auto val="1"/>
        <c:lblAlgn val="ctr"/>
        <c:lblOffset val="100"/>
        <c:noMultiLvlLbl val="0"/>
      </c:catAx>
      <c:valAx>
        <c:axId val="-2131776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31888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226</Words>
  <Characters>1293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Alán Dávila Leyva</dc:creator>
  <cp:keywords/>
  <dc:description/>
  <cp:lastModifiedBy>Alán Dávila Leyva</cp:lastModifiedBy>
  <cp:revision>25</cp:revision>
  <dcterms:created xsi:type="dcterms:W3CDTF">2018-01-15T20:37:00Z</dcterms:created>
  <dcterms:modified xsi:type="dcterms:W3CDTF">2018-01-15T21:45:00Z</dcterms:modified>
</cp:coreProperties>
</file>