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Orbit Engine</w:t>
      </w:r>
    </w:p>
    <w:p>
      <w:pPr>
        <w:pStyle w:val="Subtitle"/>
      </w:pPr>
      <w:r>
        <w:t>Architecture and implementation model</w:t>
      </w:r>
    </w:p>
    <w:p>
      <w:pPr>
        <w:spacing w:after="40"/>
      </w:pPr>
      <w:r>
        <w:rPr>
          <w:b/>
        </w:rPr>
        <w:t xml:space="preserve">Source  </w:t>
      </w:r>
      <w:hyperlink r:id="rId9">
        <w:r>
          <w:rPr>
            <w:color w:val="245E8A"/>
            <w:u w:val="single"/>
          </w:rPr>
          <w:t>Shared ChatGPT conversation on knowledge sufficiency</w:t>
        </w:r>
      </w:hyperlink>
    </w:p>
    <w:p>
      <w:pPr>
        <w:spacing w:after="320"/>
      </w:pPr>
      <w:r>
        <w:rPr>
          <w:b/>
        </w:rPr>
        <w:t xml:space="preserve">Scope  </w:t>
      </w:r>
      <w:r>
        <w:t>Consolidated architecture and implementation details for the Question Orbit Engine.</w:t>
      </w:r>
    </w:p>
    <w:p>
      <w:pPr>
        <w:pStyle w:val="BodyText"/>
      </w:pPr>
      <w:r>
        <w:t>The Question Orbit Engine is the control layer that decides which uncertainty deserves research next. OpenSPG KAG remains the knowledge layer for construction, retrieval, and reasoning. The Orbit Engine maintains epistemic state, turns gaps into traceable questions, ranks a question frontier, and sends only the highest-value question into research. Its governing rule is that every new question must have a meaningful path back to the Root Question.</w:t>
      </w:r>
    </w:p>
    <w:p>
      <w:pPr>
        <w:pStyle w:val="Heading1"/>
      </w:pPr>
      <w:r>
        <w:t>1 System Role</w:t>
      </w:r>
    </w:p>
    <w:p>
      <w:pPr>
        <w:pStyle w:val="BodyText"/>
      </w:pPr>
      <w:r>
        <w:t>The design separates knowledge work from research control. KAG answers a selected question using stored and retrieved knowledge. The Orbit Engine decides why that question matters, what remains unknown, and whether another research cycle is worth the cost.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shd w:fill="18324A"/>
            <w:tcMar>
              <w:top w:w="110" w:type="dxa"/>
              <w:start w:w="130" w:type="dxa"/>
              <w:bottom w:w="110" w:type="dxa"/>
              <w:end w:w="130" w:type="dxa"/>
            </w:tcMar>
            <w:vAlign w:val="center"/>
          </w:tcPr>
          <w:p>
            <w:pPr>
              <w:spacing w:after="0"/>
              <w:jc w:val="center"/>
            </w:pPr>
            <w:r>
              <w:rPr>
                <w:b/>
                <w:color w:val="FFFFFF"/>
                <w:sz w:val="19"/>
              </w:rPr>
              <w:t>Layer</w:t>
            </w:r>
          </w:p>
        </w:tc>
        <w:tc>
          <w:tcPr>
            <w:tcW w:type="dxa" w:w="3960"/>
            <w:shd w:fill="18324A"/>
            <w:tcMar>
              <w:top w:w="110" w:type="dxa"/>
              <w:start w:w="130" w:type="dxa"/>
              <w:bottom w:w="110" w:type="dxa"/>
              <w:end w:w="130" w:type="dxa"/>
            </w:tcMar>
            <w:vAlign w:val="center"/>
          </w:tcPr>
          <w:p>
            <w:pPr>
              <w:spacing w:after="0"/>
              <w:jc w:val="center"/>
            </w:pPr>
            <w:r>
              <w:rPr>
                <w:b/>
                <w:color w:val="FFFFFF"/>
                <w:sz w:val="19"/>
              </w:rPr>
              <w:t>Primary responsibility</w:t>
            </w:r>
          </w:p>
        </w:tc>
        <w:tc>
          <w:tcPr>
            <w:tcW w:type="dxa" w:w="3960"/>
            <w:shd w:fill="18324A"/>
            <w:tcMar>
              <w:top w:w="110" w:type="dxa"/>
              <w:start w:w="130" w:type="dxa"/>
              <w:bottom w:w="110" w:type="dxa"/>
              <w:end w:w="130" w:type="dxa"/>
            </w:tcMar>
            <w:vAlign w:val="center"/>
          </w:tcPr>
          <w:p>
            <w:pPr>
              <w:spacing w:after="0"/>
              <w:jc w:val="center"/>
            </w:pPr>
            <w:r>
              <w:rPr>
                <w:b/>
                <w:color w:val="FFFFFF"/>
                <w:sz w:val="19"/>
              </w:rPr>
              <w:t>Questions it answers</w:t>
            </w:r>
          </w:p>
        </w:tc>
      </w:tr>
      <w:tr>
        <w:trPr>
          <w:cantSplit/>
        </w:trPr>
        <w:tc>
          <w:tcPr>
            <w:tcW w:type="dxa" w:w="1944"/>
            <w:tcMar>
              <w:top w:w="110" w:type="dxa"/>
              <w:start w:w="130" w:type="dxa"/>
              <w:bottom w:w="110" w:type="dxa"/>
              <w:end w:w="130" w:type="dxa"/>
            </w:tcMar>
            <w:vAlign w:val="center"/>
            <w:shd w:fill="FFFFFF"/>
          </w:tcPr>
          <w:p>
            <w:pPr>
              <w:spacing w:after="0"/>
              <w:jc w:val="center"/>
            </w:pPr>
            <w:r>
              <w:rPr>
                <w:sz w:val="18"/>
              </w:rPr>
              <w:t>OpenSPG KAG</w:t>
            </w:r>
          </w:p>
        </w:tc>
        <w:tc>
          <w:tcPr>
            <w:tcW w:type="dxa" w:w="3960"/>
            <w:tcMar>
              <w:top w:w="110" w:type="dxa"/>
              <w:start w:w="130" w:type="dxa"/>
              <w:bottom w:w="110" w:type="dxa"/>
              <w:end w:w="130" w:type="dxa"/>
            </w:tcMar>
            <w:vAlign w:val="center"/>
            <w:shd w:fill="FFFFFF"/>
          </w:tcPr>
          <w:p>
            <w:pPr>
              <w:spacing w:after="0"/>
              <w:jc w:val="left"/>
            </w:pPr>
            <w:r>
              <w:rPr>
                <w:sz w:val="18"/>
              </w:rPr>
              <w:t>Build and retrieve knowledge, connect evidence to claims, and reason over the knowledge base.</w:t>
            </w:r>
          </w:p>
        </w:tc>
        <w:tc>
          <w:tcPr>
            <w:tcW w:type="dxa" w:w="3960"/>
            <w:tcMar>
              <w:top w:w="110" w:type="dxa"/>
              <w:start w:w="130" w:type="dxa"/>
              <w:bottom w:w="110" w:type="dxa"/>
              <w:end w:w="130" w:type="dxa"/>
            </w:tcMar>
            <w:vAlign w:val="center"/>
            <w:shd w:fill="FFFFFF"/>
          </w:tcPr>
          <w:p>
            <w:pPr>
              <w:spacing w:after="0"/>
              <w:jc w:val="left"/>
            </w:pPr>
            <w:r>
              <w:rPr>
                <w:sz w:val="18"/>
              </w:rPr>
              <w:t>How can this question be answered from existing and newly retrieved knowledge?</w:t>
            </w:r>
          </w:p>
        </w:tc>
      </w:tr>
      <w:tr>
        <w:trPr>
          <w:cantSplit/>
        </w:trPr>
        <w:tc>
          <w:tcPr>
            <w:tcW w:type="dxa" w:w="1944"/>
            <w:tcMar>
              <w:top w:w="110" w:type="dxa"/>
              <w:start w:w="130" w:type="dxa"/>
              <w:bottom w:w="110" w:type="dxa"/>
              <w:end w:w="130" w:type="dxa"/>
            </w:tcMar>
            <w:vAlign w:val="center"/>
            <w:shd w:fill="EDF3F7"/>
          </w:tcPr>
          <w:p>
            <w:pPr>
              <w:spacing w:after="0"/>
              <w:jc w:val="center"/>
            </w:pPr>
            <w:r>
              <w:rPr>
                <w:sz w:val="18"/>
              </w:rPr>
              <w:t>Question Orbit Engine</w:t>
            </w:r>
          </w:p>
        </w:tc>
        <w:tc>
          <w:tcPr>
            <w:tcW w:type="dxa" w:w="3960"/>
            <w:tcMar>
              <w:top w:w="110" w:type="dxa"/>
              <w:start w:w="130" w:type="dxa"/>
              <w:bottom w:w="110" w:type="dxa"/>
              <w:end w:w="130" w:type="dxa"/>
            </w:tcMar>
            <w:vAlign w:val="center"/>
            <w:shd w:fill="EDF3F7"/>
          </w:tcPr>
          <w:p>
            <w:pPr>
              <w:spacing w:after="0"/>
              <w:jc w:val="left"/>
            </w:pPr>
            <w:r>
              <w:rPr>
                <w:sz w:val="18"/>
              </w:rPr>
              <w:t>Track uncertainty, generate and rank research questions, and control the next investigation.</w:t>
            </w:r>
          </w:p>
        </w:tc>
        <w:tc>
          <w:tcPr>
            <w:tcW w:type="dxa" w:w="3960"/>
            <w:tcMar>
              <w:top w:w="110" w:type="dxa"/>
              <w:start w:w="130" w:type="dxa"/>
              <w:bottom w:w="110" w:type="dxa"/>
              <w:end w:w="130" w:type="dxa"/>
            </w:tcMar>
            <w:vAlign w:val="center"/>
            <w:shd w:fill="EDF3F7"/>
          </w:tcPr>
          <w:p>
            <w:pPr>
              <w:spacing w:after="0"/>
              <w:jc w:val="left"/>
            </w:pPr>
            <w:r>
              <w:rPr>
                <w:sz w:val="18"/>
              </w:rPr>
              <w:t>Why ask this question, what is still unknown, which unknown matters most, and what comes next?</w:t>
            </w:r>
          </w:p>
        </w:tc>
      </w:tr>
    </w:tbl>
    <w:p>
      <w:pPr>
        <w:spacing w:after="0"/>
      </w:pPr>
    </w:p>
    <w:p>
      <w:pPr>
        <w:pStyle w:val="BodyText"/>
      </w:pPr>
      <w:r>
        <w:rPr>
          <w:b/>
          <w:i w:val="0"/>
        </w:rPr>
        <w:t xml:space="preserve">Core admission rule  </w:t>
      </w:r>
      <w:r>
        <w:rPr>
          <w:b w:val="0"/>
          <w:i w:val="0"/>
        </w:rPr>
        <w:t>Any new knowledge should enter through an unresolved Question or Gap, and the resulting question path must be traceable to the Root Question.</w:t>
      </w:r>
    </w:p>
    <w:p>
      <w:pPr>
        <w:pStyle w:val="Heading1"/>
      </w:pPr>
      <w:r>
        <w:t>2 End to End Architecture</w:t>
      </w:r>
    </w:p>
    <w:p>
      <w:pPr>
        <w:pStyle w:val="CodeBlock"/>
        <w:jc w:val="center"/>
      </w:pPr>
      <w:r>
        <w:t>ROOT QUESTION</w:t>
        <w:br/>
        <w:t xml:space="preserve">     |</w:t>
        <w:br/>
        <w:t xml:space="preserve">     v</w:t>
        <w:br/>
        <w:t>QUESTION ORBIT ENGINE</w:t>
        <w:br/>
        <w:t xml:space="preserve">     |</w:t>
        <w:br/>
        <w:t xml:space="preserve">     +--&gt; Question Frontier</w:t>
        <w:br/>
        <w:t xml:space="preserve">     +--&gt; Gap Map</w:t>
        <w:br/>
        <w:t xml:space="preserve">              |</w:t>
        <w:br/>
        <w:t xml:space="preserve">              v</w:t>
        <w:br/>
        <w:t xml:space="preserve">      Frontier Scheduler</w:t>
        <w:br/>
        <w:t xml:space="preserve">              |</w:t>
        <w:br/>
        <w:t xml:space="preserve">              v</w:t>
        <w:br/>
        <w:t xml:space="preserve">       Research Question</w:t>
        <w:br/>
        <w:t xml:space="preserve">              |</w:t>
        <w:br/>
        <w:t xml:space="preserve">              v</w:t>
        <w:br/>
        <w:t xml:space="preserve">     KAG Builder Retriever Solver Reasoning</w:t>
        <w:br/>
        <w:t xml:space="preserve">              |</w:t>
        <w:br/>
        <w:t xml:space="preserve">              v</w:t>
        <w:br/>
        <w:t xml:space="preserve">       Claims and Evidence</w:t>
        <w:br/>
        <w:t xml:space="preserve">              |</w:t>
        <w:br/>
        <w:t xml:space="preserve">              v</w:t>
        <w:br/>
        <w:t xml:space="preserve">       Knowledge Update</w:t>
        <w:br/>
        <w:t xml:space="preserve">              |</w:t>
        <w:br/>
        <w:t xml:space="preserve">              v</w:t>
        <w:br/>
        <w:t xml:space="preserve">         Gap Detection</w:t>
        <w:br/>
        <w:t xml:space="preserve">              |</w:t>
        <w:br/>
        <w:t xml:space="preserve">              v</w:t>
        <w:br/>
        <w:t xml:space="preserve">    New Question Generator</w:t>
        <w:br/>
        <w:t xml:space="preserve">              |</w:t>
        <w:br/>
        <w:t xml:space="preserve">              v</w:t>
        <w:br/>
        <w:t xml:space="preserve">        Relevance Gate</w:t>
        <w:br/>
        <w:t xml:space="preserve">          /         \</w:t>
        <w:br/>
        <w:t xml:space="preserve">     Frontier       Park</w:t>
        <w:br/>
        <w:t xml:space="preserve">          |</w:t>
        <w:br/>
        <w:t xml:space="preserve">          +-----------------&gt; LOOP</w:t>
      </w:r>
    </w:p>
    <w:p>
      <w:pPr>
        <w:pStyle w:val="BodyText"/>
      </w:pPr>
      <w:r>
        <w:t>The Question Frontier is the research queue and the agent's attention system. The scheduler does not ask what else could be researched. It asks which frontier item deserves the next unit of research budget.</w:t>
      </w:r>
    </w:p>
    <w:p>
      <w:pPr>
        <w:pStyle w:val="Heading1"/>
      </w:pPr>
      <w:r>
        <w:t>3 Root Question and Traceability</w:t>
      </w:r>
    </w:p>
    <w:p>
      <w:pPr>
        <w:pStyle w:val="BodyText"/>
      </w:pPr>
      <w:r>
        <w:t>The Root Question should be a structured object rather than a plain string. Its objectives, context, and constraints give the relevance gate concrete criteria for judging later questions.</w:t>
      </w:r>
    </w:p>
    <w:p>
      <w:pPr>
        <w:pStyle w:val="CodeBlock"/>
      </w:pPr>
      <w:r>
        <w:t>{</w:t>
        <w:br/>
        <w:t xml:space="preserve">  "id": "RQ-001",</w:t>
        <w:br/>
        <w:t xml:space="preserve">  "type": "root_question",</w:t>
        <w:br/>
        <w:t xml:space="preserve">  "question": "How can X be cultivated reliably and productively in Sarawak?",</w:t>
        <w:br/>
        <w:t xml:space="preserve">  "objective": ["high_yield", "stable_production", "low_failure_rate"],</w:t>
        <w:br/>
        <w:t xml:space="preserve">  "context": {</w:t>
        <w:br/>
        <w:t xml:space="preserve">    "location": "Sarawak",</w:t>
        <w:br/>
        <w:t xml:space="preserve">    "climate": "tropical",</w:t>
        <w:br/>
        <w:t xml:space="preserve">    "production_scale": "small_to_medium"</w:t>
        <w:br/>
        <w:t xml:space="preserve">  },</w:t>
        <w:br/>
        <w:t xml:space="preserve">  "constraints": ["cost", "labour", "climate", "disease"],</w:t>
        <w:br/>
        <w:t xml:space="preserve">  "status": "active"</w:t>
        <w:br/>
        <w:t>}</w:t>
      </w:r>
    </w:p>
    <w:p>
      <w:pPr>
        <w:pStyle w:val="BodyText"/>
      </w:pPr>
      <w:r>
        <w:t>A candidate question must record its parent, root, reason to exist, expected value, relevance, and frontier state. This record makes the orbit path inspectable instead of relying on an LLM to explain its reasoning after the fact.</w:t>
      </w:r>
    </w:p>
    <w:p>
      <w:pPr>
        <w:pStyle w:val="CodeBlock"/>
      </w:pPr>
      <w:r>
        <w:t>{</w:t>
        <w:br/>
        <w:t xml:space="preserve">  "question_id": "Q-052",</w:t>
        <w:br/>
        <w:t xml:space="preserve">  "question": "Can AMF reduce Fusarium severity?",</w:t>
        <w:br/>
        <w:t xml:space="preserve">  "parent_question": "Q-034",</w:t>
        <w:br/>
        <w:t xml:space="preserve">  "root_question": "RQ-001",</w:t>
        <w:br/>
        <w:t xml:space="preserve">  "reason": "Fusarium is identified as a major production failure mechanism.",</w:t>
        <w:br/>
        <w:t xml:space="preserve">  "expected_value": {"yield": 0.4, "reliability": 0.9, "cost": 0.3},</w:t>
        <w:br/>
        <w:t xml:space="preserve">  "relevance_score": 0.86,</w:t>
        <w:br/>
        <w:t xml:space="preserve">  "state": "frontier"</w:t>
        <w:br/>
        <w:t>}</w:t>
      </w:r>
    </w:p>
    <w:p>
      <w:pPr>
        <w:pStyle w:val="BodyText"/>
      </w:pPr>
      <w:r>
        <w:rPr>
          <w:b/>
          <w:i w:val="0"/>
        </w:rPr>
        <w:t xml:space="preserve">Question rule  </w:t>
      </w:r>
      <w:r>
        <w:rPr>
          <w:b w:val="0"/>
          <w:i w:val="0"/>
        </w:rPr>
        <w:t>Every generated question must answer why the system needs to know it. If there is no meaningful path to the Root Question, the engine parks the question.</w:t>
      </w:r>
    </w:p>
    <w:p>
      <w:pPr>
        <w:pStyle w:val="Heading1"/>
      </w:pPr>
      <w:r>
        <w:t>4 Knowledge Graph and Question Graph</w:t>
      </w:r>
    </w:p>
    <w:p>
      <w:pPr>
        <w:pStyle w:val="BodyText"/>
      </w:pPr>
      <w:r>
        <w:t>Knowledge creates questions, and questions create knowledge. The design therefore keeps two logical networks rather than collapsing every node into one graph.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8324A"/>
            <w:tcMar>
              <w:top w:w="110" w:type="dxa"/>
              <w:start w:w="130" w:type="dxa"/>
              <w:bottom w:w="110" w:type="dxa"/>
              <w:end w:w="130" w:type="dxa"/>
            </w:tcMar>
            <w:vAlign w:val="center"/>
          </w:tcPr>
          <w:p>
            <w:pPr>
              <w:spacing w:after="0"/>
              <w:jc w:val="center"/>
            </w:pPr>
            <w:r>
              <w:rPr>
                <w:b/>
                <w:color w:val="FFFFFF"/>
                <w:sz w:val="19"/>
              </w:rPr>
              <w:t>Graph</w:t>
            </w:r>
          </w:p>
        </w:tc>
        <w:tc>
          <w:tcPr>
            <w:tcW w:type="dxa" w:w="7488"/>
            <w:shd w:fill="18324A"/>
            <w:tcMar>
              <w:top w:w="110" w:type="dxa"/>
              <w:start w:w="130" w:type="dxa"/>
              <w:bottom w:w="110" w:type="dxa"/>
              <w:end w:w="130" w:type="dxa"/>
            </w:tcMar>
            <w:vAlign w:val="center"/>
          </w:tcPr>
          <w:p>
            <w:pPr>
              <w:spacing w:after="0"/>
              <w:jc w:val="center"/>
            </w:pPr>
            <w:r>
              <w:rPr>
                <w:b/>
                <w:color w:val="FFFFFF"/>
                <w:sz w:val="19"/>
              </w:rPr>
              <w:t>Representative relationships</w:t>
            </w:r>
          </w:p>
        </w:tc>
      </w:tr>
      <w:tr>
        <w:trPr>
          <w:cantSplit/>
        </w:trPr>
        <w:tc>
          <w:tcPr>
            <w:tcW w:type="dxa" w:w="2376"/>
            <w:tcMar>
              <w:top w:w="110" w:type="dxa"/>
              <w:start w:w="130" w:type="dxa"/>
              <w:bottom w:w="110" w:type="dxa"/>
              <w:end w:w="130" w:type="dxa"/>
            </w:tcMar>
            <w:vAlign w:val="center"/>
            <w:shd w:fill="FFFFFF"/>
          </w:tcPr>
          <w:p>
            <w:pPr>
              <w:spacing w:after="0"/>
              <w:jc w:val="center"/>
            </w:pPr>
            <w:r>
              <w:rPr>
                <w:sz w:val="18"/>
              </w:rPr>
              <w:t>Knowledge Graph</w:t>
            </w:r>
          </w:p>
        </w:tc>
        <w:tc>
          <w:tcPr>
            <w:tcW w:type="dxa" w:w="7488"/>
            <w:tcMar>
              <w:top w:w="110" w:type="dxa"/>
              <w:start w:w="130" w:type="dxa"/>
              <w:bottom w:w="110" w:type="dxa"/>
              <w:end w:w="130" w:type="dxa"/>
            </w:tcMar>
            <w:vAlign w:val="center"/>
            <w:shd w:fill="FFFFFF"/>
          </w:tcPr>
          <w:p>
            <w:pPr>
              <w:spacing w:after="0"/>
              <w:jc w:val="left"/>
            </w:pPr>
            <w:r>
              <w:rPr>
                <w:sz w:val="18"/>
              </w:rPr>
              <w:t>Concept relates to Concept; Claim is about Concept; Claim is supported by Evidence; Claim contradicts Claim.</w:t>
            </w:r>
          </w:p>
        </w:tc>
      </w:tr>
      <w:tr>
        <w:trPr>
          <w:cantSplit/>
        </w:trPr>
        <w:tc>
          <w:tcPr>
            <w:tcW w:type="dxa" w:w="2376"/>
            <w:tcMar>
              <w:top w:w="110" w:type="dxa"/>
              <w:start w:w="130" w:type="dxa"/>
              <w:bottom w:w="110" w:type="dxa"/>
              <w:end w:w="130" w:type="dxa"/>
            </w:tcMar>
            <w:vAlign w:val="center"/>
            <w:shd w:fill="EDF3F7"/>
          </w:tcPr>
          <w:p>
            <w:pPr>
              <w:spacing w:after="0"/>
              <w:jc w:val="center"/>
            </w:pPr>
            <w:r>
              <w:rPr>
                <w:sz w:val="18"/>
              </w:rPr>
              <w:t>Question Graph</w:t>
            </w:r>
          </w:p>
        </w:tc>
        <w:tc>
          <w:tcPr>
            <w:tcW w:type="dxa" w:w="7488"/>
            <w:tcMar>
              <w:top w:w="110" w:type="dxa"/>
              <w:start w:w="130" w:type="dxa"/>
              <w:bottom w:w="110" w:type="dxa"/>
              <w:end w:w="130" w:type="dxa"/>
            </w:tcMar>
            <w:vAlign w:val="center"/>
            <w:shd w:fill="EDF3F7"/>
          </w:tcPr>
          <w:p>
            <w:pPr>
              <w:spacing w:after="0"/>
              <w:jc w:val="left"/>
            </w:pPr>
            <w:r>
              <w:rPr>
                <w:sz w:val="18"/>
              </w:rPr>
              <w:t>Root Question decomposes to or motivates Question; Question is answered by Claim; Question reveals Gap; Question spawns Question.</w:t>
            </w:r>
          </w:p>
        </w:tc>
      </w:tr>
    </w:tbl>
    <w:p>
      <w:pPr>
        <w:spacing w:after="0"/>
      </w:pPr>
    </w:p>
    <w:p>
      <w:pPr>
        <w:pStyle w:val="BodyText"/>
      </w:pPr>
      <w:r>
        <w:t>Example orbit path</w:t>
      </w:r>
    </w:p>
    <w:p>
      <w:pPr>
        <w:pStyle w:val="CodeBlock"/>
        <w:jc w:val="center"/>
      </w:pPr>
      <w:r>
        <w:t>AMF</w:t>
        <w:br/>
        <w:t xml:space="preserve">  -&gt; Q-052</w:t>
        <w:br/>
        <w:t xml:space="preserve">  -&gt; Fusarium mitigation</w:t>
        <w:br/>
        <w:t xml:space="preserve">  -&gt; Q-003 major failure modes</w:t>
        <w:br/>
        <w:t xml:space="preserve">  -&gt; production reliability</w:t>
        <w:br/>
        <w:t xml:space="preserve">  -&gt; ROOT QUESTION</w:t>
      </w:r>
    </w:p>
    <w:p>
      <w:pPr>
        <w:pStyle w:val="Heading1"/>
      </w:pPr>
      <w:r>
        <w:t>5 Relevance Gate</w:t>
      </w:r>
    </w:p>
    <w:p>
      <w:pPr>
        <w:pStyle w:val="BodyText"/>
      </w:pPr>
      <w:r>
        <w:t>Semantic similarity is not enough. A source can mention the same crop, pathogen, disease, and root terms while contributing little to the cultivation decision. The gate evaluates three levels.</w:t>
      </w:r>
    </w:p>
    <w:p>
      <w:pPr>
        <w:pStyle w:val="ListNumber"/>
      </w:pPr>
      <w:r>
        <w:t>Semantic relevance measures topical connection.</w:t>
      </w:r>
    </w:p>
    <w:p>
      <w:pPr>
        <w:pStyle w:val="ListNumber"/>
      </w:pPr>
      <w:r>
        <w:t>Question relevance measures whether the information helps resolve the selected gap.</w:t>
      </w:r>
    </w:p>
    <w:p>
      <w:pPr>
        <w:pStyle w:val="ListNumber"/>
      </w:pPr>
      <w:r>
        <w:t>Decision or action relevance measures whether the information could change understanding, implementation, risk, or a decision.</w:t>
      </w:r>
    </w:p>
    <w:p>
      <w:pPr>
        <w:pStyle w:val="CodeBlock"/>
        <w:jc w:val="center"/>
      </w:pPr>
      <w:r>
        <w:t>illustrative relevance =</w:t>
        <w:br/>
        <w:t xml:space="preserve">  0.25 x semantic relevance</w:t>
        <w:br/>
        <w:t>+ 0.35 x question relevance</w:t>
        <w:br/>
        <w:t>+ 0.40 x expected impact</w:t>
      </w:r>
    </w:p>
    <w:p>
      <w:pPr>
        <w:pStyle w:val="BodyText"/>
      </w:pPr>
      <w:r>
        <w:t>The weights are illustrative. The architectural requirement is to avoid treating cosine similarity as the complete relevance decision.</w:t>
      </w:r>
    </w:p>
    <w:p>
      <w:pPr>
        <w:pStyle w:val="Heading1"/>
      </w:pPr>
      <w:r>
        <w:t>6 Question Frontier</w:t>
      </w:r>
    </w:p>
    <w:p>
      <w:pPr>
        <w:pStyle w:val="BodyText"/>
      </w:pPr>
      <w:r>
        <w:t>The frontier holds questions that are ready, active, parked, dormant, or resolved. Each item carries the factors needed to spend limited attention deliberately.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11"/>
        <w:gridCol w:w="1411"/>
        <w:gridCol w:w="1411"/>
        <w:gridCol w:w="1411"/>
        <w:gridCol w:w="1411"/>
        <w:gridCol w:w="1411"/>
        <w:gridCol w:w="1411"/>
      </w:tblGrid>
      <w:tr>
        <w:trPr>
          <w:tblHeader w:val="true"/>
          <w:cantSplit/>
        </w:trPr>
        <w:tc>
          <w:tcPr>
            <w:tcW w:type="dxa" w:w="3240"/>
            <w:shd w:fill="18324A"/>
            <w:tcMar>
              <w:top w:w="110" w:type="dxa"/>
              <w:start w:w="130" w:type="dxa"/>
              <w:bottom w:w="110" w:type="dxa"/>
              <w:end w:w="130" w:type="dxa"/>
            </w:tcMar>
            <w:vAlign w:val="center"/>
          </w:tcPr>
          <w:p>
            <w:pPr>
              <w:spacing w:after="0"/>
              <w:jc w:val="center"/>
            </w:pPr>
            <w:r>
              <w:rPr>
                <w:b/>
                <w:color w:val="FFFFFF"/>
                <w:sz w:val="19"/>
              </w:rPr>
              <w:t>Question</w:t>
            </w:r>
          </w:p>
        </w:tc>
        <w:tc>
          <w:tcPr>
            <w:tcW w:type="dxa" w:w="792"/>
            <w:shd w:fill="18324A"/>
            <w:tcMar>
              <w:top w:w="110" w:type="dxa"/>
              <w:start w:w="130" w:type="dxa"/>
              <w:bottom w:w="110" w:type="dxa"/>
              <w:end w:w="130" w:type="dxa"/>
            </w:tcMar>
            <w:vAlign w:val="center"/>
          </w:tcPr>
          <w:p>
            <w:pPr>
              <w:spacing w:after="0"/>
              <w:jc w:val="center"/>
            </w:pPr>
            <w:r>
              <w:rPr>
                <w:b/>
                <w:color w:val="FFFFFF"/>
                <w:sz w:val="19"/>
              </w:rPr>
              <w:t>Rel</w:t>
            </w:r>
          </w:p>
        </w:tc>
        <w:tc>
          <w:tcPr>
            <w:tcW w:type="dxa" w:w="792"/>
            <w:shd w:fill="18324A"/>
            <w:tcMar>
              <w:top w:w="110" w:type="dxa"/>
              <w:start w:w="130" w:type="dxa"/>
              <w:bottom w:w="110" w:type="dxa"/>
              <w:end w:w="130" w:type="dxa"/>
            </w:tcMar>
            <w:vAlign w:val="center"/>
          </w:tcPr>
          <w:p>
            <w:pPr>
              <w:spacing w:after="0"/>
              <w:jc w:val="center"/>
            </w:pPr>
            <w:r>
              <w:rPr>
                <w:b/>
                <w:color w:val="FFFFFF"/>
                <w:sz w:val="19"/>
              </w:rPr>
              <w:t>Unc</w:t>
            </w:r>
          </w:p>
        </w:tc>
        <w:tc>
          <w:tcPr>
            <w:tcW w:type="dxa" w:w="1007"/>
            <w:shd w:fill="18324A"/>
            <w:tcMar>
              <w:top w:w="110" w:type="dxa"/>
              <w:start w:w="130" w:type="dxa"/>
              <w:bottom w:w="110" w:type="dxa"/>
              <w:end w:w="130" w:type="dxa"/>
            </w:tcMar>
            <w:vAlign w:val="center"/>
          </w:tcPr>
          <w:p>
            <w:pPr>
              <w:spacing w:after="0"/>
              <w:jc w:val="center"/>
            </w:pPr>
            <w:r>
              <w:rPr>
                <w:b/>
                <w:color w:val="FFFFFF"/>
                <w:sz w:val="19"/>
              </w:rPr>
              <w:t>Impact</w:t>
            </w:r>
          </w:p>
        </w:tc>
        <w:tc>
          <w:tcPr>
            <w:tcW w:type="dxa" w:w="1007"/>
            <w:shd w:fill="18324A"/>
            <w:tcMar>
              <w:top w:w="110" w:type="dxa"/>
              <w:start w:w="130" w:type="dxa"/>
              <w:bottom w:w="110" w:type="dxa"/>
              <w:end w:w="130" w:type="dxa"/>
            </w:tcMar>
            <w:vAlign w:val="center"/>
          </w:tcPr>
          <w:p>
            <w:pPr>
              <w:spacing w:after="0"/>
              <w:jc w:val="center"/>
            </w:pPr>
            <w:r>
              <w:rPr>
                <w:b/>
                <w:color w:val="FFFFFF"/>
                <w:sz w:val="19"/>
              </w:rPr>
              <w:t>Novelty</w:t>
            </w:r>
          </w:p>
        </w:tc>
        <w:tc>
          <w:tcPr>
            <w:tcW w:type="dxa" w:w="792"/>
            <w:shd w:fill="18324A"/>
            <w:tcMar>
              <w:top w:w="110" w:type="dxa"/>
              <w:start w:w="130" w:type="dxa"/>
              <w:bottom w:w="110" w:type="dxa"/>
              <w:end w:w="130" w:type="dxa"/>
            </w:tcMar>
            <w:vAlign w:val="center"/>
          </w:tcPr>
          <w:p>
            <w:pPr>
              <w:spacing w:after="0"/>
              <w:jc w:val="center"/>
            </w:pPr>
            <w:r>
              <w:rPr>
                <w:b/>
                <w:color w:val="FFFFFF"/>
                <w:sz w:val="19"/>
              </w:rPr>
              <w:t>Cost</w:t>
            </w:r>
          </w:p>
        </w:tc>
        <w:tc>
          <w:tcPr>
            <w:tcW w:type="dxa" w:w="1224"/>
            <w:shd w:fill="18324A"/>
            <w:tcMar>
              <w:top w:w="110" w:type="dxa"/>
              <w:start w:w="130" w:type="dxa"/>
              <w:bottom w:w="110" w:type="dxa"/>
              <w:end w:w="130" w:type="dxa"/>
            </w:tcMar>
            <w:vAlign w:val="center"/>
          </w:tcPr>
          <w:p>
            <w:pPr>
              <w:spacing w:after="0"/>
              <w:jc w:val="center"/>
            </w:pPr>
            <w:r>
              <w:rPr>
                <w:b/>
                <w:color w:val="FFFFFF"/>
                <w:sz w:val="19"/>
              </w:rPr>
              <w:t>State</w:t>
            </w:r>
          </w:p>
        </w:tc>
      </w:tr>
      <w:tr>
        <w:trPr>
          <w:cantSplit/>
        </w:trPr>
        <w:tc>
          <w:tcPr>
            <w:tcW w:type="dxa" w:w="3240"/>
            <w:tcMar>
              <w:top w:w="110" w:type="dxa"/>
              <w:start w:w="130" w:type="dxa"/>
              <w:bottom w:w="110" w:type="dxa"/>
              <w:end w:w="130" w:type="dxa"/>
            </w:tcMar>
            <w:vAlign w:val="center"/>
            <w:shd w:fill="FFFFFF"/>
          </w:tcPr>
          <w:p>
            <w:pPr>
              <w:spacing w:after="0"/>
              <w:jc w:val="center"/>
            </w:pPr>
            <w:r>
              <w:rPr>
                <w:sz w:val="18"/>
              </w:rPr>
              <w:t>Tropical temperature tolerance</w:t>
            </w:r>
          </w:p>
        </w:tc>
        <w:tc>
          <w:tcPr>
            <w:tcW w:type="dxa" w:w="792"/>
            <w:tcMar>
              <w:top w:w="110" w:type="dxa"/>
              <w:start w:w="130" w:type="dxa"/>
              <w:bottom w:w="110" w:type="dxa"/>
              <w:end w:w="130" w:type="dxa"/>
            </w:tcMar>
            <w:vAlign w:val="center"/>
            <w:shd w:fill="FFFFFF"/>
          </w:tcPr>
          <w:p>
            <w:pPr>
              <w:spacing w:after="0"/>
              <w:jc w:val="left"/>
            </w:pPr>
            <w:r>
              <w:rPr>
                <w:sz w:val="18"/>
              </w:rPr>
              <w:t>.94</w:t>
            </w:r>
          </w:p>
        </w:tc>
        <w:tc>
          <w:tcPr>
            <w:tcW w:type="dxa" w:w="792"/>
            <w:tcMar>
              <w:top w:w="110" w:type="dxa"/>
              <w:start w:w="130" w:type="dxa"/>
              <w:bottom w:w="110" w:type="dxa"/>
              <w:end w:w="130" w:type="dxa"/>
            </w:tcMar>
            <w:vAlign w:val="center"/>
            <w:shd w:fill="FFFFFF"/>
          </w:tcPr>
          <w:p>
            <w:pPr>
              <w:spacing w:after="0"/>
              <w:jc w:val="left"/>
            </w:pPr>
            <w:r>
              <w:rPr>
                <w:sz w:val="18"/>
              </w:rPr>
              <w:t>.75</w:t>
            </w:r>
          </w:p>
        </w:tc>
        <w:tc>
          <w:tcPr>
            <w:tcW w:type="dxa" w:w="1007"/>
            <w:tcMar>
              <w:top w:w="110" w:type="dxa"/>
              <w:start w:w="130" w:type="dxa"/>
              <w:bottom w:w="110" w:type="dxa"/>
              <w:end w:w="130" w:type="dxa"/>
            </w:tcMar>
            <w:vAlign w:val="center"/>
            <w:shd w:fill="FFFFFF"/>
          </w:tcPr>
          <w:p>
            <w:pPr>
              <w:spacing w:after="0"/>
              <w:jc w:val="left"/>
            </w:pPr>
            <w:r>
              <w:rPr>
                <w:sz w:val="18"/>
              </w:rPr>
              <w:t>.90</w:t>
            </w:r>
          </w:p>
        </w:tc>
        <w:tc>
          <w:tcPr>
            <w:tcW w:type="dxa" w:w="1007"/>
            <w:tcMar>
              <w:top w:w="110" w:type="dxa"/>
              <w:start w:w="130" w:type="dxa"/>
              <w:bottom w:w="110" w:type="dxa"/>
              <w:end w:w="130" w:type="dxa"/>
            </w:tcMar>
            <w:vAlign w:val="center"/>
            <w:shd w:fill="FFFFFF"/>
          </w:tcPr>
          <w:p>
            <w:pPr>
              <w:spacing w:after="0"/>
              <w:jc w:val="left"/>
            </w:pPr>
            <w:r>
              <w:rPr>
                <w:sz w:val="18"/>
              </w:rPr>
              <w:t>.70</w:t>
            </w:r>
          </w:p>
        </w:tc>
        <w:tc>
          <w:tcPr>
            <w:tcW w:type="dxa" w:w="792"/>
            <w:tcMar>
              <w:top w:w="110" w:type="dxa"/>
              <w:start w:w="130" w:type="dxa"/>
              <w:bottom w:w="110" w:type="dxa"/>
              <w:end w:w="130" w:type="dxa"/>
            </w:tcMar>
            <w:vAlign w:val="center"/>
            <w:shd w:fill="FFFFFF"/>
          </w:tcPr>
          <w:p>
            <w:pPr>
              <w:spacing w:after="0"/>
              <w:jc w:val="left"/>
            </w:pPr>
            <w:r>
              <w:rPr>
                <w:sz w:val="18"/>
              </w:rPr>
              <w:t>.20</w:t>
            </w:r>
          </w:p>
        </w:tc>
        <w:tc>
          <w:tcPr>
            <w:tcW w:type="dxa" w:w="1224"/>
            <w:tcMar>
              <w:top w:w="110" w:type="dxa"/>
              <w:start w:w="130" w:type="dxa"/>
              <w:bottom w:w="110" w:type="dxa"/>
              <w:end w:w="130" w:type="dxa"/>
            </w:tcMar>
            <w:vAlign w:val="center"/>
            <w:shd w:fill="FFFFFF"/>
          </w:tcPr>
          <w:p>
            <w:pPr>
              <w:spacing w:after="0"/>
              <w:jc w:val="left"/>
            </w:pPr>
            <w:r>
              <w:rPr>
                <w:sz w:val="18"/>
              </w:rPr>
              <w:t>ACTIVE</w:t>
            </w:r>
          </w:p>
        </w:tc>
      </w:tr>
      <w:tr>
        <w:trPr>
          <w:cantSplit/>
        </w:trPr>
        <w:tc>
          <w:tcPr>
            <w:tcW w:type="dxa" w:w="3240"/>
            <w:tcMar>
              <w:top w:w="110" w:type="dxa"/>
              <w:start w:w="130" w:type="dxa"/>
              <w:bottom w:w="110" w:type="dxa"/>
              <w:end w:w="130" w:type="dxa"/>
            </w:tcMar>
            <w:vAlign w:val="center"/>
            <w:shd w:fill="EDF3F7"/>
          </w:tcPr>
          <w:p>
            <w:pPr>
              <w:spacing w:after="0"/>
              <w:jc w:val="center"/>
            </w:pPr>
            <w:r>
              <w:rPr>
                <w:sz w:val="18"/>
              </w:rPr>
              <w:t>Fusarium management</w:t>
            </w:r>
          </w:p>
        </w:tc>
        <w:tc>
          <w:tcPr>
            <w:tcW w:type="dxa" w:w="792"/>
            <w:tcMar>
              <w:top w:w="110" w:type="dxa"/>
              <w:start w:w="130" w:type="dxa"/>
              <w:bottom w:w="110" w:type="dxa"/>
              <w:end w:w="130" w:type="dxa"/>
            </w:tcMar>
            <w:vAlign w:val="center"/>
            <w:shd w:fill="EDF3F7"/>
          </w:tcPr>
          <w:p>
            <w:pPr>
              <w:spacing w:after="0"/>
              <w:jc w:val="left"/>
            </w:pPr>
            <w:r>
              <w:rPr>
                <w:sz w:val="18"/>
              </w:rPr>
              <w:t>.92</w:t>
            </w:r>
          </w:p>
        </w:tc>
        <w:tc>
          <w:tcPr>
            <w:tcW w:type="dxa" w:w="792"/>
            <w:tcMar>
              <w:top w:w="110" w:type="dxa"/>
              <w:start w:w="130" w:type="dxa"/>
              <w:bottom w:w="110" w:type="dxa"/>
              <w:end w:w="130" w:type="dxa"/>
            </w:tcMar>
            <w:vAlign w:val="center"/>
            <w:shd w:fill="EDF3F7"/>
          </w:tcPr>
          <w:p>
            <w:pPr>
              <w:spacing w:after="0"/>
              <w:jc w:val="left"/>
            </w:pPr>
            <w:r>
              <w:rPr>
                <w:sz w:val="18"/>
              </w:rPr>
              <w:t>.80</w:t>
            </w:r>
          </w:p>
        </w:tc>
        <w:tc>
          <w:tcPr>
            <w:tcW w:type="dxa" w:w="1007"/>
            <w:tcMar>
              <w:top w:w="110" w:type="dxa"/>
              <w:start w:w="130" w:type="dxa"/>
              <w:bottom w:w="110" w:type="dxa"/>
              <w:end w:w="130" w:type="dxa"/>
            </w:tcMar>
            <w:vAlign w:val="center"/>
            <w:shd w:fill="EDF3F7"/>
          </w:tcPr>
          <w:p>
            <w:pPr>
              <w:spacing w:after="0"/>
              <w:jc w:val="left"/>
            </w:pPr>
            <w:r>
              <w:rPr>
                <w:sz w:val="18"/>
              </w:rPr>
              <w:t>.95</w:t>
            </w:r>
          </w:p>
        </w:tc>
        <w:tc>
          <w:tcPr>
            <w:tcW w:type="dxa" w:w="1007"/>
            <w:tcMar>
              <w:top w:w="110" w:type="dxa"/>
              <w:start w:w="130" w:type="dxa"/>
              <w:bottom w:w="110" w:type="dxa"/>
              <w:end w:w="130" w:type="dxa"/>
            </w:tcMar>
            <w:vAlign w:val="center"/>
            <w:shd w:fill="EDF3F7"/>
          </w:tcPr>
          <w:p>
            <w:pPr>
              <w:spacing w:after="0"/>
              <w:jc w:val="left"/>
            </w:pPr>
            <w:r>
              <w:rPr>
                <w:sz w:val="18"/>
              </w:rPr>
              <w:t>.65</w:t>
            </w:r>
          </w:p>
        </w:tc>
        <w:tc>
          <w:tcPr>
            <w:tcW w:type="dxa" w:w="792"/>
            <w:tcMar>
              <w:top w:w="110" w:type="dxa"/>
              <w:start w:w="130" w:type="dxa"/>
              <w:bottom w:w="110" w:type="dxa"/>
              <w:end w:w="130" w:type="dxa"/>
            </w:tcMar>
            <w:vAlign w:val="center"/>
            <w:shd w:fill="EDF3F7"/>
          </w:tcPr>
          <w:p>
            <w:pPr>
              <w:spacing w:after="0"/>
              <w:jc w:val="left"/>
            </w:pPr>
            <w:r>
              <w:rPr>
                <w:sz w:val="18"/>
              </w:rPr>
              <w:t>.30</w:t>
            </w:r>
          </w:p>
        </w:tc>
        <w:tc>
          <w:tcPr>
            <w:tcW w:type="dxa" w:w="1224"/>
            <w:tcMar>
              <w:top w:w="110" w:type="dxa"/>
              <w:start w:w="130" w:type="dxa"/>
              <w:bottom w:w="110" w:type="dxa"/>
              <w:end w:w="130" w:type="dxa"/>
            </w:tcMar>
            <w:vAlign w:val="center"/>
            <w:shd w:fill="EDF3F7"/>
          </w:tcPr>
          <w:p>
            <w:pPr>
              <w:spacing w:after="0"/>
              <w:jc w:val="left"/>
            </w:pPr>
            <w:r>
              <w:rPr>
                <w:sz w:val="18"/>
              </w:rPr>
              <w:t>ACTIVE</w:t>
            </w:r>
          </w:p>
        </w:tc>
      </w:tr>
      <w:tr>
        <w:trPr>
          <w:cantSplit/>
        </w:trPr>
        <w:tc>
          <w:tcPr>
            <w:tcW w:type="dxa" w:w="3240"/>
            <w:tcMar>
              <w:top w:w="110" w:type="dxa"/>
              <w:start w:w="130" w:type="dxa"/>
              <w:bottom w:w="110" w:type="dxa"/>
              <w:end w:w="130" w:type="dxa"/>
            </w:tcMar>
            <w:vAlign w:val="center"/>
            <w:shd w:fill="FFFFFF"/>
          </w:tcPr>
          <w:p>
            <w:pPr>
              <w:spacing w:after="0"/>
              <w:jc w:val="center"/>
            </w:pPr>
            <w:r>
              <w:rPr>
                <w:sz w:val="18"/>
              </w:rPr>
              <w:t>Optimal plant spacing</w:t>
            </w:r>
          </w:p>
        </w:tc>
        <w:tc>
          <w:tcPr>
            <w:tcW w:type="dxa" w:w="792"/>
            <w:tcMar>
              <w:top w:w="110" w:type="dxa"/>
              <w:start w:w="130" w:type="dxa"/>
              <w:bottom w:w="110" w:type="dxa"/>
              <w:end w:w="130" w:type="dxa"/>
            </w:tcMar>
            <w:vAlign w:val="center"/>
            <w:shd w:fill="FFFFFF"/>
          </w:tcPr>
          <w:p>
            <w:pPr>
              <w:spacing w:after="0"/>
              <w:jc w:val="left"/>
            </w:pPr>
            <w:r>
              <w:rPr>
                <w:sz w:val="18"/>
              </w:rPr>
              <w:t>.84</w:t>
            </w:r>
          </w:p>
        </w:tc>
        <w:tc>
          <w:tcPr>
            <w:tcW w:type="dxa" w:w="792"/>
            <w:tcMar>
              <w:top w:w="110" w:type="dxa"/>
              <w:start w:w="130" w:type="dxa"/>
              <w:bottom w:w="110" w:type="dxa"/>
              <w:end w:w="130" w:type="dxa"/>
            </w:tcMar>
            <w:vAlign w:val="center"/>
            <w:shd w:fill="FFFFFF"/>
          </w:tcPr>
          <w:p>
            <w:pPr>
              <w:spacing w:after="0"/>
              <w:jc w:val="left"/>
            </w:pPr>
            <w:r>
              <w:rPr>
                <w:sz w:val="18"/>
              </w:rPr>
              <w:t>.60</w:t>
            </w:r>
          </w:p>
        </w:tc>
        <w:tc>
          <w:tcPr>
            <w:tcW w:type="dxa" w:w="1007"/>
            <w:tcMar>
              <w:top w:w="110" w:type="dxa"/>
              <w:start w:w="130" w:type="dxa"/>
              <w:bottom w:w="110" w:type="dxa"/>
              <w:end w:w="130" w:type="dxa"/>
            </w:tcMar>
            <w:vAlign w:val="center"/>
            <w:shd w:fill="FFFFFF"/>
          </w:tcPr>
          <w:p>
            <w:pPr>
              <w:spacing w:after="0"/>
              <w:jc w:val="left"/>
            </w:pPr>
            <w:r>
              <w:rPr>
                <w:sz w:val="18"/>
              </w:rPr>
              <w:t>.75</w:t>
            </w:r>
          </w:p>
        </w:tc>
        <w:tc>
          <w:tcPr>
            <w:tcW w:type="dxa" w:w="1007"/>
            <w:tcMar>
              <w:top w:w="110" w:type="dxa"/>
              <w:start w:w="130" w:type="dxa"/>
              <w:bottom w:w="110" w:type="dxa"/>
              <w:end w:w="130" w:type="dxa"/>
            </w:tcMar>
            <w:vAlign w:val="center"/>
            <w:shd w:fill="FFFFFF"/>
          </w:tcPr>
          <w:p>
            <w:pPr>
              <w:spacing w:after="0"/>
              <w:jc w:val="left"/>
            </w:pPr>
            <w:r>
              <w:rPr>
                <w:sz w:val="18"/>
              </w:rPr>
              <w:t>.45</w:t>
            </w:r>
          </w:p>
        </w:tc>
        <w:tc>
          <w:tcPr>
            <w:tcW w:type="dxa" w:w="792"/>
            <w:tcMar>
              <w:top w:w="110" w:type="dxa"/>
              <w:start w:w="130" w:type="dxa"/>
              <w:bottom w:w="110" w:type="dxa"/>
              <w:end w:w="130" w:type="dxa"/>
            </w:tcMar>
            <w:vAlign w:val="center"/>
            <w:shd w:fill="FFFFFF"/>
          </w:tcPr>
          <w:p>
            <w:pPr>
              <w:spacing w:after="0"/>
              <w:jc w:val="left"/>
            </w:pPr>
            <w:r>
              <w:rPr>
                <w:sz w:val="18"/>
              </w:rPr>
              <w:t>.10</w:t>
            </w:r>
          </w:p>
        </w:tc>
        <w:tc>
          <w:tcPr>
            <w:tcW w:type="dxa" w:w="1224"/>
            <w:tcMar>
              <w:top w:w="110" w:type="dxa"/>
              <w:start w:w="130" w:type="dxa"/>
              <w:bottom w:w="110" w:type="dxa"/>
              <w:end w:w="130" w:type="dxa"/>
            </w:tcMar>
            <w:vAlign w:val="center"/>
            <w:shd w:fill="FFFFFF"/>
          </w:tcPr>
          <w:p>
            <w:pPr>
              <w:spacing w:after="0"/>
              <w:jc w:val="left"/>
            </w:pPr>
            <w:r>
              <w:rPr>
                <w:sz w:val="18"/>
              </w:rPr>
              <w:t>READY</w:t>
            </w:r>
          </w:p>
        </w:tc>
      </w:tr>
      <w:tr>
        <w:trPr>
          <w:cantSplit/>
        </w:trPr>
        <w:tc>
          <w:tcPr>
            <w:tcW w:type="dxa" w:w="3240"/>
            <w:tcMar>
              <w:top w:w="110" w:type="dxa"/>
              <w:start w:w="130" w:type="dxa"/>
              <w:bottom w:w="110" w:type="dxa"/>
              <w:end w:w="130" w:type="dxa"/>
            </w:tcMar>
            <w:vAlign w:val="center"/>
            <w:shd w:fill="EDF3F7"/>
          </w:tcPr>
          <w:p>
            <w:pPr>
              <w:spacing w:after="0"/>
              <w:jc w:val="center"/>
            </w:pPr>
            <w:r>
              <w:rPr>
                <w:sz w:val="18"/>
              </w:rPr>
              <w:t>Genetic history</w:t>
            </w:r>
          </w:p>
        </w:tc>
        <w:tc>
          <w:tcPr>
            <w:tcW w:type="dxa" w:w="792"/>
            <w:tcMar>
              <w:top w:w="110" w:type="dxa"/>
              <w:start w:w="130" w:type="dxa"/>
              <w:bottom w:w="110" w:type="dxa"/>
              <w:end w:w="130" w:type="dxa"/>
            </w:tcMar>
            <w:vAlign w:val="center"/>
            <w:shd w:fill="EDF3F7"/>
          </w:tcPr>
          <w:p>
            <w:pPr>
              <w:spacing w:after="0"/>
              <w:jc w:val="left"/>
            </w:pPr>
            <w:r>
              <w:rPr>
                <w:sz w:val="18"/>
              </w:rPr>
              <w:t>.30</w:t>
            </w:r>
          </w:p>
        </w:tc>
        <w:tc>
          <w:tcPr>
            <w:tcW w:type="dxa" w:w="792"/>
            <w:tcMar>
              <w:top w:w="110" w:type="dxa"/>
              <w:start w:w="130" w:type="dxa"/>
              <w:bottom w:w="110" w:type="dxa"/>
              <w:end w:w="130" w:type="dxa"/>
            </w:tcMar>
            <w:vAlign w:val="center"/>
            <w:shd w:fill="EDF3F7"/>
          </w:tcPr>
          <w:p>
            <w:pPr>
              <w:spacing w:after="0"/>
              <w:jc w:val="left"/>
            </w:pPr>
            <w:r>
              <w:rPr>
                <w:sz w:val="18"/>
              </w:rPr>
              <w:t>.80</w:t>
            </w:r>
          </w:p>
        </w:tc>
        <w:tc>
          <w:tcPr>
            <w:tcW w:type="dxa" w:w="1007"/>
            <w:tcMar>
              <w:top w:w="110" w:type="dxa"/>
              <w:start w:w="130" w:type="dxa"/>
              <w:bottom w:w="110" w:type="dxa"/>
              <w:end w:w="130" w:type="dxa"/>
            </w:tcMar>
            <w:vAlign w:val="center"/>
            <w:shd w:fill="EDF3F7"/>
          </w:tcPr>
          <w:p>
            <w:pPr>
              <w:spacing w:after="0"/>
              <w:jc w:val="left"/>
            </w:pPr>
            <w:r>
              <w:rPr>
                <w:sz w:val="18"/>
              </w:rPr>
              <w:t>.10</w:t>
            </w:r>
          </w:p>
        </w:tc>
        <w:tc>
          <w:tcPr>
            <w:tcW w:type="dxa" w:w="1007"/>
            <w:tcMar>
              <w:top w:w="110" w:type="dxa"/>
              <w:start w:w="130" w:type="dxa"/>
              <w:bottom w:w="110" w:type="dxa"/>
              <w:end w:w="130" w:type="dxa"/>
            </w:tcMar>
            <w:vAlign w:val="center"/>
            <w:shd w:fill="EDF3F7"/>
          </w:tcPr>
          <w:p>
            <w:pPr>
              <w:spacing w:after="0"/>
              <w:jc w:val="left"/>
            </w:pPr>
            <w:r>
              <w:rPr>
                <w:sz w:val="18"/>
              </w:rPr>
              <w:t>.90</w:t>
            </w:r>
          </w:p>
        </w:tc>
        <w:tc>
          <w:tcPr>
            <w:tcW w:type="dxa" w:w="792"/>
            <w:tcMar>
              <w:top w:w="110" w:type="dxa"/>
              <w:start w:w="130" w:type="dxa"/>
              <w:bottom w:w="110" w:type="dxa"/>
              <w:end w:w="130" w:type="dxa"/>
            </w:tcMar>
            <w:vAlign w:val="center"/>
            <w:shd w:fill="EDF3F7"/>
          </w:tcPr>
          <w:p>
            <w:pPr>
              <w:spacing w:after="0"/>
              <w:jc w:val="left"/>
            </w:pPr>
            <w:r>
              <w:rPr>
                <w:sz w:val="18"/>
              </w:rPr>
              <w:t>.80</w:t>
            </w:r>
          </w:p>
        </w:tc>
        <w:tc>
          <w:tcPr>
            <w:tcW w:type="dxa" w:w="1224"/>
            <w:tcMar>
              <w:top w:w="110" w:type="dxa"/>
              <w:start w:w="130" w:type="dxa"/>
              <w:bottom w:w="110" w:type="dxa"/>
              <w:end w:w="130" w:type="dxa"/>
            </w:tcMar>
            <w:vAlign w:val="center"/>
            <w:shd w:fill="EDF3F7"/>
          </w:tcPr>
          <w:p>
            <w:pPr>
              <w:spacing w:after="0"/>
              <w:jc w:val="left"/>
            </w:pPr>
            <w:r>
              <w:rPr>
                <w:sz w:val="18"/>
              </w:rPr>
              <w:t>PARKED</w:t>
            </w:r>
          </w:p>
        </w:tc>
      </w:tr>
    </w:tbl>
    <w:p>
      <w:pPr>
        <w:spacing w:after="0"/>
      </w:pPr>
    </w:p>
    <w:p>
      <w:pPr>
        <w:pStyle w:val="CodeBlock"/>
        <w:jc w:val="center"/>
      </w:pPr>
      <w:r>
        <w:t>priority =</w:t>
        <w:br/>
        <w:t xml:space="preserve">  relevance x uncertainty x expected impact x novelty</w:t>
        <w:br/>
        <w:t xml:space="preserve">  ----------------------------------------------------</w:t>
        <w:br/>
        <w:t xml:space="preserve">                     research cost</w:t>
      </w:r>
    </w:p>
    <w:p>
      <w:pPr>
        <w:pStyle w:val="BodyText"/>
      </w:pPr>
      <w:r>
        <w:t>This priority function allows the system to remain available indefinitely while keeping its attention and research budget bounded.</w:t>
      </w:r>
    </w:p>
    <w:p>
      <w:pPr>
        <w:pStyle w:val="Heading1"/>
      </w:pPr>
      <w:r>
        <w:t>7 Epistemic State</w:t>
      </w:r>
    </w:p>
    <w:p>
      <w:pPr>
        <w:pStyle w:val="BodyText"/>
      </w:pPr>
      <w:r>
        <w:t>Epistemic state describes what the agent knows about its own knowledge. These records are not domain facts stored by KAG. They track open questions, uncertainty, coverage, and the reason a gap matters.</w:t>
      </w:r>
    </w:p>
    <w:p>
      <w:pPr>
        <w:pStyle w:val="CodeBlock"/>
      </w:pPr>
      <w:r>
        <w:t>{</w:t>
        <w:br/>
        <w:t xml:space="preserve">  "question_id": "Q-147",</w:t>
        <w:br/>
        <w:t xml:space="preserve">  "question": "What causes root decline under tropical conditions?",</w:t>
        <w:br/>
        <w:t xml:space="preserve">  "parent": "Q-31",</w:t>
        <w:br/>
        <w:t xml:space="preserve">  "root": "RQ-01",</w:t>
        <w:br/>
        <w:t xml:space="preserve">  "status": "open",</w:t>
        <w:br/>
        <w:t xml:space="preserve">  "importance": 0.91,</w:t>
        <w:br/>
        <w:t xml:space="preserve">  "uncertainty": 0.78,</w:t>
        <w:br/>
        <w:t xml:space="preserve">  "knowledge_coverage": 0.42,</w:t>
        <w:br/>
        <w:t xml:space="preserve">  "reason_to_know": "Root decline is currently a major candidate yield constraint."</w:t>
        <w:br/>
        <w:t>}</w:t>
      </w:r>
    </w:p>
    <w:p>
      <w:pPr>
        <w:pStyle w:val="BodyText"/>
      </w:pPr>
      <w:r>
        <w:t>Useful topic and branch states include UNKNOWN, DISCOVERING, PARTIALLY KNOWN, SUFFICIENT, SATURATED, CONTESTED, and STALE. A branch can also move from ACTIVE to LOW GAIN to DORMANT, then return to REACTIVATED when new evidence appears.</w:t>
      </w:r>
    </w:p>
    <w:p>
      <w:pPr>
        <w:pStyle w:val="Heading1"/>
      </w:pPr>
      <w:r>
        <w:t>8 Sufficiency and Stopping</w:t>
      </w:r>
    </w:p>
    <w:p>
      <w:pPr>
        <w:pStyle w:val="BodyText"/>
      </w:pPr>
      <w:r>
        <w:t>The system should not wait until no unknowns remain. Knowledge is sufficient when the remaining uncertainty is unlikely to change the answer, model, decision, or action. The operational rule is:</w:t>
      </w:r>
    </w:p>
    <w:p>
      <w:pPr>
        <w:pStyle w:val="CodeBlock"/>
        <w:jc w:val="center"/>
      </w:pPr>
      <w:r>
        <w:t>Search until unresolved uncertainty is no longer decision relevant.</w:t>
      </w:r>
    </w:p>
    <w:p>
      <w:pPr>
        <w:pStyle w:val="BodyText"/>
      </w:pPr>
      <w:r>
        <w:t>Five checks support that judgment: coverage of the main dimensions, closure of high-priority gaps, confidence in important evidence, decay in marginal novelty, and stability of the current decision. A practical branch rule is:</w:t>
      </w:r>
    </w:p>
    <w:p>
      <w:pPr>
        <w:pStyle w:val="CodeBlock"/>
        <w:jc w:val="center"/>
      </w:pPr>
      <w:r>
        <w:t>critical gaps = 0</w:t>
        <w:br/>
        <w:t>AND</w:t>
        <w:br/>
        <w:t>N consecutive searches reveal no new important gap</w:t>
        <w:br/>
        <w:t>THEN</w:t>
        <w:br/>
        <w:t>branch state = SUFFICIENT</w:t>
      </w:r>
    </w:p>
    <w:p>
      <w:pPr>
        <w:pStyle w:val="BodyText"/>
      </w:pPr>
      <w:r>
        <w:t>The Root Question does not require one global stop. Individual branches may saturate, become dormant, or reactivate. This makes the knowledge system evergreen without forcing continuous research on every branch.</w:t>
      </w:r>
    </w:p>
    <w:p>
      <w:pPr>
        <w:pStyle w:val="Heading1"/>
      </w:pPr>
      <w:r>
        <w:t>9 Three Layer Implementation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232"/>
            <w:shd w:fill="18324A"/>
            <w:tcMar>
              <w:top w:w="110" w:type="dxa"/>
              <w:start w:w="130" w:type="dxa"/>
              <w:bottom w:w="110" w:type="dxa"/>
              <w:end w:w="130" w:type="dxa"/>
            </w:tcMar>
            <w:vAlign w:val="center"/>
          </w:tcPr>
          <w:p>
            <w:pPr>
              <w:spacing w:after="0"/>
              <w:jc w:val="center"/>
            </w:pPr>
            <w:r>
              <w:rPr>
                <w:b/>
                <w:color w:val="FFFFFF"/>
                <w:sz w:val="19"/>
              </w:rPr>
              <w:t>Layer</w:t>
            </w:r>
          </w:p>
        </w:tc>
        <w:tc>
          <w:tcPr>
            <w:tcW w:type="dxa" w:w="5256"/>
            <w:shd w:fill="18324A"/>
            <w:tcMar>
              <w:top w:w="110" w:type="dxa"/>
              <w:start w:w="130" w:type="dxa"/>
              <w:bottom w:w="110" w:type="dxa"/>
              <w:end w:w="130" w:type="dxa"/>
            </w:tcMar>
            <w:vAlign w:val="center"/>
          </w:tcPr>
          <w:p>
            <w:pPr>
              <w:spacing w:after="0"/>
              <w:jc w:val="center"/>
            </w:pPr>
            <w:r>
              <w:rPr>
                <w:b/>
                <w:color w:val="FFFFFF"/>
                <w:sz w:val="19"/>
              </w:rPr>
              <w:t>Contents</w:t>
            </w:r>
          </w:p>
        </w:tc>
        <w:tc>
          <w:tcPr>
            <w:tcW w:type="dxa" w:w="2376"/>
            <w:shd w:fill="18324A"/>
            <w:tcMar>
              <w:top w:w="110" w:type="dxa"/>
              <w:start w:w="130" w:type="dxa"/>
              <w:bottom w:w="110" w:type="dxa"/>
              <w:end w:w="130" w:type="dxa"/>
            </w:tcMar>
            <w:vAlign w:val="center"/>
          </w:tcPr>
          <w:p>
            <w:pPr>
              <w:spacing w:after="0"/>
              <w:jc w:val="center"/>
            </w:pPr>
            <w:r>
              <w:rPr>
                <w:b/>
                <w:color w:val="FFFFFF"/>
                <w:sz w:val="19"/>
              </w:rPr>
              <w:t>Owned state</w:t>
            </w:r>
          </w:p>
        </w:tc>
      </w:tr>
      <w:tr>
        <w:trPr>
          <w:cantSplit/>
        </w:trPr>
        <w:tc>
          <w:tcPr>
            <w:tcW w:type="dxa" w:w="2232"/>
            <w:tcMar>
              <w:top w:w="110" w:type="dxa"/>
              <w:start w:w="130" w:type="dxa"/>
              <w:bottom w:w="110" w:type="dxa"/>
              <w:end w:w="130" w:type="dxa"/>
            </w:tcMar>
            <w:vAlign w:val="center"/>
            <w:shd w:fill="FFFFFF"/>
          </w:tcPr>
          <w:p>
            <w:pPr>
              <w:spacing w:after="0"/>
              <w:jc w:val="center"/>
            </w:pPr>
            <w:r>
              <w:rPr>
                <w:sz w:val="18"/>
              </w:rPr>
              <w:t>1 KAG Knowledge Infrastructure</w:t>
            </w:r>
          </w:p>
        </w:tc>
        <w:tc>
          <w:tcPr>
            <w:tcW w:type="dxa" w:w="5256"/>
            <w:tcMar>
              <w:top w:w="110" w:type="dxa"/>
              <w:start w:w="130" w:type="dxa"/>
              <w:bottom w:w="110" w:type="dxa"/>
              <w:end w:w="130" w:type="dxa"/>
            </w:tcMar>
            <w:vAlign w:val="center"/>
            <w:shd w:fill="FFFFFF"/>
          </w:tcPr>
          <w:p>
            <w:pPr>
              <w:spacing w:after="0"/>
              <w:jc w:val="left"/>
            </w:pPr>
            <w:r>
              <w:rPr>
                <w:sz w:val="18"/>
              </w:rPr>
              <w:t>Builder, retriever, solver, multi-hop reasoning, logical reasoning, knowledge units, concepts, entities, relations, chunks, and evidence.</w:t>
            </w:r>
          </w:p>
        </w:tc>
        <w:tc>
          <w:tcPr>
            <w:tcW w:type="dxa" w:w="2376"/>
            <w:tcMar>
              <w:top w:w="110" w:type="dxa"/>
              <w:start w:w="130" w:type="dxa"/>
              <w:bottom w:w="110" w:type="dxa"/>
              <w:end w:w="130" w:type="dxa"/>
            </w:tcMar>
            <w:vAlign w:val="center"/>
            <w:shd w:fill="FFFFFF"/>
          </w:tcPr>
          <w:p>
            <w:pPr>
              <w:spacing w:after="0"/>
              <w:jc w:val="left"/>
            </w:pPr>
            <w:r>
              <w:rPr>
                <w:sz w:val="18"/>
              </w:rPr>
              <w:t>Domain knowledge and evidence structures.</w:t>
            </w:r>
          </w:p>
        </w:tc>
      </w:tr>
      <w:tr>
        <w:trPr>
          <w:cantSplit/>
        </w:trPr>
        <w:tc>
          <w:tcPr>
            <w:tcW w:type="dxa" w:w="2232"/>
            <w:tcMar>
              <w:top w:w="110" w:type="dxa"/>
              <w:start w:w="130" w:type="dxa"/>
              <w:bottom w:w="110" w:type="dxa"/>
              <w:end w:w="130" w:type="dxa"/>
            </w:tcMar>
            <w:vAlign w:val="center"/>
            <w:shd w:fill="EDF3F7"/>
          </w:tcPr>
          <w:p>
            <w:pPr>
              <w:spacing w:after="0"/>
              <w:jc w:val="center"/>
            </w:pPr>
            <w:r>
              <w:rPr>
                <w:sz w:val="18"/>
              </w:rPr>
              <w:t>2 Epistemic State</w:t>
            </w:r>
          </w:p>
        </w:tc>
        <w:tc>
          <w:tcPr>
            <w:tcW w:type="dxa" w:w="5256"/>
            <w:tcMar>
              <w:top w:w="110" w:type="dxa"/>
              <w:start w:w="130" w:type="dxa"/>
              <w:bottom w:w="110" w:type="dxa"/>
              <w:end w:w="130" w:type="dxa"/>
            </w:tcMar>
            <w:vAlign w:val="center"/>
            <w:shd w:fill="EDF3F7"/>
          </w:tcPr>
          <w:p>
            <w:pPr>
              <w:spacing w:after="0"/>
              <w:jc w:val="left"/>
            </w:pPr>
            <w:r>
              <w:rPr>
                <w:sz w:val="18"/>
              </w:rPr>
              <w:t>Question identity, parent and root links, status, importance, uncertainty, coverage, and reason to know.</w:t>
            </w:r>
          </w:p>
        </w:tc>
        <w:tc>
          <w:tcPr>
            <w:tcW w:type="dxa" w:w="2376"/>
            <w:tcMar>
              <w:top w:w="110" w:type="dxa"/>
              <w:start w:w="130" w:type="dxa"/>
              <w:bottom w:w="110" w:type="dxa"/>
              <w:end w:w="130" w:type="dxa"/>
            </w:tcMar>
            <w:vAlign w:val="center"/>
            <w:shd w:fill="EDF3F7"/>
          </w:tcPr>
          <w:p>
            <w:pPr>
              <w:spacing w:after="0"/>
              <w:jc w:val="left"/>
            </w:pPr>
            <w:r>
              <w:rPr>
                <w:sz w:val="18"/>
              </w:rPr>
              <w:t>What the agent knows about what it knows and does not know.</w:t>
            </w:r>
          </w:p>
        </w:tc>
      </w:tr>
      <w:tr>
        <w:trPr>
          <w:cantSplit/>
        </w:trPr>
        <w:tc>
          <w:tcPr>
            <w:tcW w:type="dxa" w:w="2232"/>
            <w:tcMar>
              <w:top w:w="110" w:type="dxa"/>
              <w:start w:w="130" w:type="dxa"/>
              <w:bottom w:w="110" w:type="dxa"/>
              <w:end w:w="130" w:type="dxa"/>
            </w:tcMar>
            <w:vAlign w:val="center"/>
            <w:shd w:fill="FFFFFF"/>
          </w:tcPr>
          <w:p>
            <w:pPr>
              <w:spacing w:after="0"/>
              <w:jc w:val="center"/>
            </w:pPr>
            <w:r>
              <w:rPr>
                <w:sz w:val="18"/>
              </w:rPr>
              <w:t>3 Question Orbit Engine</w:t>
            </w:r>
          </w:p>
        </w:tc>
        <w:tc>
          <w:tcPr>
            <w:tcW w:type="dxa" w:w="5256"/>
            <w:tcMar>
              <w:top w:w="110" w:type="dxa"/>
              <w:start w:w="130" w:type="dxa"/>
              <w:bottom w:w="110" w:type="dxa"/>
              <w:end w:w="130" w:type="dxa"/>
            </w:tcMar>
            <w:vAlign w:val="center"/>
            <w:shd w:fill="FFFFFF"/>
          </w:tcPr>
          <w:p>
            <w:pPr>
              <w:spacing w:after="0"/>
              <w:jc w:val="left"/>
            </w:pPr>
            <w:r>
              <w:rPr>
                <w:sz w:val="18"/>
              </w:rPr>
              <w:t>Gap detection, question generation, root-path validation, scoring, scheduling, parking, and reactivation.</w:t>
            </w:r>
          </w:p>
        </w:tc>
        <w:tc>
          <w:tcPr>
            <w:tcW w:type="dxa" w:w="2376"/>
            <w:tcMar>
              <w:top w:w="110" w:type="dxa"/>
              <w:start w:w="130" w:type="dxa"/>
              <w:bottom w:w="110" w:type="dxa"/>
              <w:end w:w="130" w:type="dxa"/>
            </w:tcMar>
            <w:vAlign w:val="center"/>
            <w:shd w:fill="FFFFFF"/>
          </w:tcPr>
          <w:p>
            <w:pPr>
              <w:spacing w:after="0"/>
              <w:jc w:val="left"/>
            </w:pPr>
            <w:r>
              <w:rPr>
                <w:sz w:val="18"/>
              </w:rPr>
              <w:t>Research control and attention allocation.</w:t>
            </w:r>
          </w:p>
        </w:tc>
      </w:tr>
    </w:tbl>
    <w:p>
      <w:pPr>
        <w:spacing w:after="0"/>
      </w:pPr>
    </w:p>
    <w:p>
      <w:pPr>
        <w:pStyle w:val="BodyText"/>
      </w:pPr>
      <w:r>
        <w:t>The first implementation does not require many autonomous agents. The same model can perform separate structured tasks with separate prompts while SQLite preserves deterministic state.</w:t>
      </w:r>
    </w:p>
    <w:p>
      <w:pPr>
        <w:pStyle w:val="Heading1"/>
      </w:pPr>
      <w:r>
        <w:t>10 Operating Cycle</w:t>
      </w:r>
    </w:p>
    <w:p>
      <w:pPr>
        <w:pStyle w:val="CodeBlock"/>
        <w:jc w:val="center"/>
      </w:pPr>
      <w:r>
        <w:t>READ current knowledge state</w:t>
        <w:br/>
        <w:t xml:space="preserve">  -&gt; find uncertainty contradictions and missing links</w:t>
        <w:br/>
        <w:t xml:space="preserve">  -&gt; generate candidate questions</w:t>
        <w:br/>
        <w:t xml:space="preserve">  -&gt; trace each question to the Root Question</w:t>
        <w:br/>
        <w:t xml:space="preserve">  -&gt; score and place accepted questions in the Frontier</w:t>
        <w:br/>
        <w:t xml:space="preserve">  -&gt; select the highest-value question</w:t>
        <w:br/>
        <w:t xml:space="preserve">  -&gt; run KAG research and reasoning</w:t>
        <w:br/>
        <w:t xml:space="preserve">  -&gt; update knowledge and epistemic state</w:t>
        <w:br/>
        <w:t xml:space="preserve">  -&gt; repeat</w:t>
      </w:r>
    </w:p>
    <w:p>
      <w:pPr>
        <w:pStyle w:val="BodyText"/>
      </w:pPr>
      <w:r>
        <w:t>This is the KAG Q Loop. Ordinary KAG follows Question to KAG to Answer. The Question Orbit Engine continues from the updated knowledge to ask what remains unknown, generate a new question, and return that question to KAG.</w:t>
      </w:r>
    </w:p>
    <w:p>
      <w:pPr>
        <w:pStyle w:val="Heading1"/>
      </w:pPr>
      <w:r>
        <w:t>11 Data Ownership</w:t>
      </w:r>
    </w:p>
    <w:p>
      <w:pPr>
        <w:pStyle w:val="BodyText"/>
      </w:pPr>
      <w:r>
        <w:t>Using KAG changes where state should live. The system should not maintain a second complete Knowledge Graph infrastructure in parallel. KAG or OpenSPG should own domain entities, relations, chunks, retrieval, and reasoning. SQLite can retain the Root Question, Question Graph, Frontier, gap evaluation, research runs, source records, and other control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8324A"/>
            <w:tcMar>
              <w:top w:w="110" w:type="dxa"/>
              <w:start w:w="130" w:type="dxa"/>
              <w:bottom w:w="110" w:type="dxa"/>
              <w:end w:w="130" w:type="dxa"/>
            </w:tcMar>
            <w:vAlign w:val="center"/>
          </w:tcPr>
          <w:p>
            <w:pPr>
              <w:spacing w:after="0"/>
              <w:jc w:val="center"/>
            </w:pPr>
            <w:r>
              <w:rPr>
                <w:b/>
                <w:color w:val="FFFFFF"/>
                <w:sz w:val="19"/>
              </w:rPr>
              <w:t>System of record</w:t>
            </w:r>
          </w:p>
        </w:tc>
        <w:tc>
          <w:tcPr>
            <w:tcW w:type="dxa" w:w="7343"/>
            <w:shd w:fill="18324A"/>
            <w:tcMar>
              <w:top w:w="110" w:type="dxa"/>
              <w:start w:w="130" w:type="dxa"/>
              <w:bottom w:w="110" w:type="dxa"/>
              <w:end w:w="130" w:type="dxa"/>
            </w:tcMar>
            <w:vAlign w:val="center"/>
          </w:tcPr>
          <w:p>
            <w:pPr>
              <w:spacing w:after="0"/>
              <w:jc w:val="center"/>
            </w:pPr>
            <w:r>
              <w:rPr>
                <w:b/>
                <w:color w:val="FFFFFF"/>
                <w:sz w:val="19"/>
              </w:rPr>
              <w:t>Recommended contents</w:t>
            </w:r>
          </w:p>
        </w:tc>
      </w:tr>
      <w:tr>
        <w:trPr>
          <w:cantSplit/>
        </w:trPr>
        <w:tc>
          <w:tcPr>
            <w:tcW w:type="dxa" w:w="2520"/>
            <w:tcMar>
              <w:top w:w="110" w:type="dxa"/>
              <w:start w:w="130" w:type="dxa"/>
              <w:bottom w:w="110" w:type="dxa"/>
              <w:end w:w="130" w:type="dxa"/>
            </w:tcMar>
            <w:vAlign w:val="center"/>
            <w:shd w:fill="FFFFFF"/>
          </w:tcPr>
          <w:p>
            <w:pPr>
              <w:spacing w:after="0"/>
              <w:jc w:val="center"/>
            </w:pPr>
            <w:r>
              <w:rPr>
                <w:sz w:val="18"/>
              </w:rPr>
              <w:t>KAG or OpenSPG</w:t>
            </w:r>
          </w:p>
        </w:tc>
        <w:tc>
          <w:tcPr>
            <w:tcW w:type="dxa" w:w="7343"/>
            <w:tcMar>
              <w:top w:w="110" w:type="dxa"/>
              <w:start w:w="130" w:type="dxa"/>
              <w:bottom w:w="110" w:type="dxa"/>
              <w:end w:w="130" w:type="dxa"/>
            </w:tcMar>
            <w:vAlign w:val="center"/>
            <w:shd w:fill="FFFFFF"/>
          </w:tcPr>
          <w:p>
            <w:pPr>
              <w:spacing w:after="0"/>
              <w:jc w:val="left"/>
            </w:pPr>
            <w:r>
              <w:rPr>
                <w:sz w:val="18"/>
              </w:rPr>
              <w:t>Domain concepts, entities, relations, claims, evidence, chunks, and reasoning structures.</w:t>
            </w:r>
          </w:p>
        </w:tc>
      </w:tr>
      <w:tr>
        <w:trPr>
          <w:cantSplit/>
        </w:trPr>
        <w:tc>
          <w:tcPr>
            <w:tcW w:type="dxa" w:w="2520"/>
            <w:tcMar>
              <w:top w:w="110" w:type="dxa"/>
              <w:start w:w="130" w:type="dxa"/>
              <w:bottom w:w="110" w:type="dxa"/>
              <w:end w:w="130" w:type="dxa"/>
            </w:tcMar>
            <w:vAlign w:val="center"/>
            <w:shd w:fill="EDF3F7"/>
          </w:tcPr>
          <w:p>
            <w:pPr>
              <w:spacing w:after="0"/>
              <w:jc w:val="center"/>
            </w:pPr>
            <w:r>
              <w:rPr>
                <w:sz w:val="18"/>
              </w:rPr>
              <w:t>SQLite control state</w:t>
            </w:r>
          </w:p>
        </w:tc>
        <w:tc>
          <w:tcPr>
            <w:tcW w:type="dxa" w:w="7343"/>
            <w:tcMar>
              <w:top w:w="110" w:type="dxa"/>
              <w:start w:w="130" w:type="dxa"/>
              <w:bottom w:w="110" w:type="dxa"/>
              <w:end w:w="130" w:type="dxa"/>
            </w:tcMar>
            <w:vAlign w:val="center"/>
            <w:shd w:fill="EDF3F7"/>
          </w:tcPr>
          <w:p>
            <w:pPr>
              <w:spacing w:after="0"/>
              <w:jc w:val="left"/>
            </w:pPr>
            <w:r>
              <w:rPr>
                <w:sz w:val="18"/>
              </w:rPr>
              <w:t>Root questions, questions, question edges, frontier items, gap state, research runs, priorities, and lifecycle state.</w:t>
            </w:r>
          </w:p>
        </w:tc>
      </w:tr>
    </w:tbl>
    <w:p>
      <w:pPr>
        <w:spacing w:after="0"/>
      </w:pPr>
    </w:p>
    <w:p>
      <w:pPr>
        <w:pStyle w:val="Heading1"/>
      </w:pPr>
      <w:r>
        <w:t>12 Minimum Viable Loop</w:t>
      </w:r>
    </w:p>
    <w:p>
      <w:pPr>
        <w:pStyle w:val="BodyText"/>
      </w:pPr>
      <w:r>
        <w:t>The first version only needs to prove that the question and knowledge cycles can drive one another.</w:t>
      </w:r>
    </w:p>
    <w:p>
      <w:pPr>
        <w:pStyle w:val="CodeBlock"/>
        <w:jc w:val="center"/>
      </w:pPr>
      <w:r>
        <w:t>User supplies Root Question</w:t>
        <w:br/>
        <w:t xml:space="preserve">  -&gt; generate initial questions</w:t>
        <w:br/>
        <w:t xml:space="preserve">  -&gt; priority engine selects one question</w:t>
        <w:br/>
        <w:t xml:space="preserve">  -&gt; search and retrieve</w:t>
        <w:br/>
        <w:t xml:space="preserve">  -&gt; extract claims and attach evidence</w:t>
        <w:br/>
        <w:t xml:space="preserve">  -&gt; update KAG knowledge</w:t>
        <w:br/>
        <w:t xml:space="preserve">  -&gt; generate important new questions from the update</w:t>
        <w:br/>
        <w:t xml:space="preserve">  -&gt; apply relevance gate</w:t>
        <w:br/>
        <w:t xml:space="preserve">  -&gt; update Question Frontier</w:t>
        <w:br/>
        <w:t xml:space="preserve">  -&gt; select the next question</w:t>
      </w:r>
    </w:p>
    <w:p>
      <w:pPr>
        <w:pStyle w:val="BodyText"/>
      </w:pPr>
      <w:r>
        <w:t>The repeated kernel is Question to Search to Claims to Graph to Gaps to Question. Once this loop works, the knowledge orbit is operational even before the system becomes an indefinitely running researcher.</w:t>
      </w:r>
    </w:p>
    <w:p>
      <w:pPr>
        <w:pStyle w:val="Heading1"/>
      </w:pPr>
      <w:r>
        <w:t>13 Next Design Focus</w:t>
      </w:r>
    </w:p>
    <w:p>
      <w:pPr>
        <w:pStyle w:val="BodyText"/>
      </w:pPr>
      <w:r>
        <w:t>The next module to define is how the Question Frontier discovers gaps from KAG's current knowledge state. The conversation identifies four concrete design areas.</w:t>
      </w:r>
    </w:p>
    <w:p>
      <w:pPr>
        <w:pStyle w:val="ListNumber"/>
      </w:pPr>
      <w:r>
        <w:t>Gap Detection identifies missing links, contradictions, weak evidence, unverified assumptions, and unresolved uncertainty.</w:t>
      </w:r>
    </w:p>
    <w:p>
      <w:pPr>
        <w:pStyle w:val="ListNumber"/>
      </w:pPr>
      <w:r>
        <w:t>Question Generation converts each accepted gap into a researchable question.</w:t>
      </w:r>
    </w:p>
    <w:p>
      <w:pPr>
        <w:pStyle w:val="ListNumber"/>
      </w:pPr>
      <w:r>
        <w:t>Priority Scoring decides which question should consume the next research budget.</w:t>
      </w:r>
    </w:p>
    <w:p>
      <w:pPr>
        <w:pStyle w:val="ListNumber"/>
      </w:pPr>
      <w:r>
        <w:t>Frontier State manages active, ready, parked, dormant, and resolved questions.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81"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403"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403"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60" w:line="240" w:lineRule="auto"/>
      <w:ind w:left="461" w:right="346"/>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hare/6aad4580-32dc-83ec-b02e-ae953e84ab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Orbit Engine</dc:title>
  <dc:subject>Architecture and implementation model extracted from a shared ChatGPT conversation</dc:subject>
  <dc:creator>python-docx</dc:creator>
  <cp:keywords>Question Orbit Engine, OpenSPG, KAG, question frontier, epistemic state</cp:keywords>
  <dc:description>Source: https://chatgpt.com/share/6aad4580-32dc-83ec-b02e-ae953e84ab11</dc:description>
  <cp:lastModifiedBy/>
  <cp:revision>1</cp:revision>
  <dcterms:created xsi:type="dcterms:W3CDTF">2013-12-23T23:15:00Z</dcterms:created>
  <dcterms:modified xsi:type="dcterms:W3CDTF">2013-12-23T23:15:00Z</dcterms:modified>
  <cp:category/>
</cp:coreProperties>
</file>