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6339E" w14:textId="6CF27B76" w:rsidR="004172BA" w:rsidRDefault="004172BA" w:rsidP="00291B7F">
      <w:pPr>
        <w:pStyle w:val="Heading1"/>
      </w:pPr>
      <w:r>
        <w:t>Original Objective:</w:t>
      </w:r>
    </w:p>
    <w:p w14:paraId="240F9B18" w14:textId="518E1BE7" w:rsidR="007C7139" w:rsidRDefault="009B425E" w:rsidP="00C07C4A">
      <w:r w:rsidRPr="009B425E">
        <w:t xml:space="preserve">Our focus of research is to develop a transformer model that integrates the information from different modalities together to enhance the prediction as well as address the challenges posed by missing modalities. </w:t>
      </w:r>
    </w:p>
    <w:p w14:paraId="486ACA17" w14:textId="6D830E3D" w:rsidR="004172BA" w:rsidRDefault="004172BA" w:rsidP="00291B7F">
      <w:pPr>
        <w:pStyle w:val="Heading1"/>
      </w:pPr>
      <w:r>
        <w:t>Ideas:</w:t>
      </w:r>
    </w:p>
    <w:p w14:paraId="4B25E75B" w14:textId="7548C7C4" w:rsidR="004172BA" w:rsidRDefault="009B425E" w:rsidP="00C07C4A">
      <w:r>
        <w:t>We use the concept like retrieval from database by using query, keys, and value utilizing attention calculation in transformers. We use query</w:t>
      </w:r>
      <w:r w:rsidR="00C07C4A">
        <w:t xml:space="preserve"> (</w:t>
      </w:r>
      <w:r w:rsidR="00C07C4A" w:rsidRPr="00C07C4A">
        <w:t>a query we wish to run on a database</w:t>
      </w:r>
      <w:r w:rsidR="00C07C4A">
        <w:t>)</w:t>
      </w:r>
      <w:r>
        <w:t xml:space="preserve"> from one modality and keys</w:t>
      </w:r>
      <w:r w:rsidR="00C07C4A">
        <w:t xml:space="preserve"> (</w:t>
      </w:r>
      <w:r w:rsidR="00C07C4A" w:rsidRPr="00C07C4A">
        <w:t>the keys to search on in the database</w:t>
      </w:r>
      <w:r w:rsidR="00C07C4A">
        <w:t>) and values (</w:t>
      </w:r>
      <w:r w:rsidR="00C07C4A" w:rsidRPr="00C07C4A">
        <w:t>values corresponding to each key in the database</w:t>
      </w:r>
      <w:r w:rsidR="00C07C4A">
        <w:t xml:space="preserve">) from other modalities. Cross-attention </w:t>
      </w:r>
      <w:r w:rsidR="007C7139">
        <w:t xml:space="preserve">in transformer encoder </w:t>
      </w:r>
      <w:r w:rsidR="00C07C4A">
        <w:t xml:space="preserve">is used to gain context from another modality/ input type as a method of </w:t>
      </w:r>
      <w:proofErr w:type="spellStart"/>
      <w:r w:rsidR="00AE1BE5">
        <w:t>TokenF</w:t>
      </w:r>
      <w:r w:rsidR="00C07C4A">
        <w:t>usion</w:t>
      </w:r>
      <w:proofErr w:type="spellEnd"/>
      <w:r w:rsidR="00C07C4A">
        <w:t xml:space="preserve"> in channels. For example, to gain context from text for object detection, we simply extract the queries matrix from text modality, and keys and values matrix from the RGB and IR modalities. </w:t>
      </w:r>
      <w:r w:rsidR="004172BA">
        <w:t>Moreover, s</w:t>
      </w:r>
      <w:r w:rsidR="007C7139">
        <w:t xml:space="preserve">elf-attention blocks </w:t>
      </w:r>
      <w:r w:rsidR="00DD5305">
        <w:t xml:space="preserve">at the end of our model architecture would allow the model to further process the combined representations as well as enable the model to understand the dependencies between different </w:t>
      </w:r>
      <w:r w:rsidR="00897D5C">
        <w:t>parts</w:t>
      </w:r>
      <w:r w:rsidR="00DD5305">
        <w:t xml:space="preserve"> of the input from different modalities.</w:t>
      </w:r>
    </w:p>
    <w:p w14:paraId="21A2F261" w14:textId="00746E5D" w:rsidR="00291B7F" w:rsidRDefault="00291B7F" w:rsidP="00291B7F">
      <w:pPr>
        <w:pStyle w:val="Heading1"/>
      </w:pPr>
      <w:r>
        <w:t>Dataset:</w:t>
      </w:r>
    </w:p>
    <w:p w14:paraId="5AEE7E50" w14:textId="2CF7104C" w:rsidR="000E21FC" w:rsidRDefault="00455AC2" w:rsidP="00291B7F">
      <w:r w:rsidRPr="00455AC2">
        <w:t>95k color-thermal pairs (640x480, 20Hz) captured from a vehicle make up the KAIST Multispectral Pedestrian Dataset. Each pair (person, people, cyclists) has 1,182 distinct pedestrians and 103,128 dense annotations overall, all of which are carefully annotated. Temporal association between bounding boxes, akin to the Caltech Pedestrian Dataset, is included in the annotation.</w:t>
      </w:r>
    </w:p>
    <w:tbl>
      <w:tblPr>
        <w:tblStyle w:val="TableGrid"/>
        <w:tblW w:w="0" w:type="auto"/>
        <w:tblLook w:val="04A0" w:firstRow="1" w:lastRow="0" w:firstColumn="1" w:lastColumn="0" w:noHBand="0" w:noVBand="1"/>
      </w:tblPr>
      <w:tblGrid>
        <w:gridCol w:w="2556"/>
        <w:gridCol w:w="2167"/>
        <w:gridCol w:w="2277"/>
        <w:gridCol w:w="2350"/>
      </w:tblGrid>
      <w:tr w:rsidR="000E21FC" w:rsidRPr="000E21FC" w14:paraId="03149047" w14:textId="77777777" w:rsidTr="00455AC2">
        <w:tc>
          <w:tcPr>
            <w:tcW w:w="0" w:type="auto"/>
          </w:tcPr>
          <w:p w14:paraId="3EE218BB" w14:textId="77777777" w:rsidR="000E21FC" w:rsidRPr="000E21FC" w:rsidRDefault="000E21FC" w:rsidP="000E21FC">
            <w:pPr>
              <w:spacing w:after="160" w:line="259" w:lineRule="auto"/>
            </w:pPr>
            <w:r w:rsidRPr="000E21FC">
              <w:t>Name of the Database</w:t>
            </w:r>
          </w:p>
        </w:tc>
        <w:tc>
          <w:tcPr>
            <w:tcW w:w="0" w:type="auto"/>
          </w:tcPr>
          <w:p w14:paraId="02DB8BDD" w14:textId="77777777" w:rsidR="000E21FC" w:rsidRPr="000E21FC" w:rsidRDefault="000E21FC" w:rsidP="000E21FC">
            <w:pPr>
              <w:spacing w:after="160" w:line="259" w:lineRule="auto"/>
            </w:pPr>
            <w:r w:rsidRPr="000E21FC">
              <w:t>Image</w:t>
            </w:r>
          </w:p>
          <w:p w14:paraId="3B914D2A" w14:textId="77777777" w:rsidR="000E21FC" w:rsidRPr="000E21FC" w:rsidRDefault="000E21FC" w:rsidP="000E21FC">
            <w:pPr>
              <w:spacing w:after="160" w:line="259" w:lineRule="auto"/>
            </w:pPr>
            <w:r w:rsidRPr="000E21FC">
              <w:t>Type</w:t>
            </w:r>
          </w:p>
        </w:tc>
        <w:tc>
          <w:tcPr>
            <w:tcW w:w="0" w:type="auto"/>
          </w:tcPr>
          <w:p w14:paraId="504A20B9" w14:textId="77777777" w:rsidR="000E21FC" w:rsidRPr="000E21FC" w:rsidRDefault="000E21FC" w:rsidP="000E21FC">
            <w:pPr>
              <w:spacing w:after="160" w:line="259" w:lineRule="auto"/>
            </w:pPr>
            <w:r w:rsidRPr="000E21FC">
              <w:t>RGB</w:t>
            </w:r>
          </w:p>
        </w:tc>
        <w:tc>
          <w:tcPr>
            <w:tcW w:w="0" w:type="auto"/>
          </w:tcPr>
          <w:p w14:paraId="46D6293B" w14:textId="77777777" w:rsidR="000E21FC" w:rsidRPr="000E21FC" w:rsidRDefault="000E21FC" w:rsidP="000E21FC">
            <w:pPr>
              <w:spacing w:after="160" w:line="259" w:lineRule="auto"/>
            </w:pPr>
            <w:r w:rsidRPr="000E21FC">
              <w:t>Thermal</w:t>
            </w:r>
          </w:p>
        </w:tc>
      </w:tr>
      <w:tr w:rsidR="000E21FC" w:rsidRPr="000E21FC" w14:paraId="055BB9CD" w14:textId="77777777" w:rsidTr="00455AC2">
        <w:tc>
          <w:tcPr>
            <w:tcW w:w="0" w:type="auto"/>
            <w:vMerge w:val="restart"/>
          </w:tcPr>
          <w:p w14:paraId="46EF9A3B" w14:textId="77777777" w:rsidR="000E21FC" w:rsidRPr="000E21FC" w:rsidRDefault="000E21FC" w:rsidP="000E21FC">
            <w:pPr>
              <w:spacing w:after="160" w:line="259" w:lineRule="auto"/>
            </w:pPr>
            <w:r w:rsidRPr="000E21FC">
              <w:t>The KAIST Multispectral Pedestrian Dataset</w:t>
            </w:r>
          </w:p>
        </w:tc>
        <w:tc>
          <w:tcPr>
            <w:tcW w:w="0" w:type="auto"/>
          </w:tcPr>
          <w:p w14:paraId="70FCAA3E" w14:textId="77777777" w:rsidR="000E21FC" w:rsidRPr="000E21FC" w:rsidRDefault="000E21FC" w:rsidP="000E21FC">
            <w:pPr>
              <w:spacing w:after="160" w:line="259" w:lineRule="auto"/>
            </w:pPr>
            <w:r w:rsidRPr="000E21FC">
              <w:t># of data</w:t>
            </w:r>
          </w:p>
        </w:tc>
        <w:tc>
          <w:tcPr>
            <w:tcW w:w="0" w:type="auto"/>
          </w:tcPr>
          <w:p w14:paraId="281BF114" w14:textId="77777777" w:rsidR="000E21FC" w:rsidRPr="000E21FC" w:rsidRDefault="000E21FC" w:rsidP="000E21FC">
            <w:pPr>
              <w:spacing w:after="160" w:line="259" w:lineRule="auto"/>
            </w:pPr>
            <w:r w:rsidRPr="000E21FC">
              <w:t>95,328</w:t>
            </w:r>
          </w:p>
        </w:tc>
        <w:tc>
          <w:tcPr>
            <w:tcW w:w="0" w:type="auto"/>
          </w:tcPr>
          <w:p w14:paraId="52FC5D1D" w14:textId="77777777" w:rsidR="000E21FC" w:rsidRPr="000E21FC" w:rsidRDefault="000E21FC" w:rsidP="000E21FC">
            <w:pPr>
              <w:spacing w:after="160" w:line="259" w:lineRule="auto"/>
            </w:pPr>
            <w:r w:rsidRPr="000E21FC">
              <w:t>95,328</w:t>
            </w:r>
          </w:p>
        </w:tc>
      </w:tr>
      <w:tr w:rsidR="000E21FC" w:rsidRPr="000E21FC" w14:paraId="080B1454" w14:textId="77777777" w:rsidTr="00455AC2">
        <w:tc>
          <w:tcPr>
            <w:tcW w:w="0" w:type="auto"/>
            <w:vMerge/>
          </w:tcPr>
          <w:p w14:paraId="2AF39377" w14:textId="77777777" w:rsidR="000E21FC" w:rsidRPr="000E21FC" w:rsidRDefault="000E21FC" w:rsidP="000E21FC">
            <w:pPr>
              <w:spacing w:after="160" w:line="259" w:lineRule="auto"/>
            </w:pPr>
          </w:p>
        </w:tc>
        <w:tc>
          <w:tcPr>
            <w:tcW w:w="0" w:type="auto"/>
          </w:tcPr>
          <w:p w14:paraId="5D6CF33A" w14:textId="77777777" w:rsidR="000E21FC" w:rsidRPr="000E21FC" w:rsidRDefault="000E21FC" w:rsidP="000E21FC">
            <w:pPr>
              <w:spacing w:after="160" w:line="259" w:lineRule="auto"/>
            </w:pPr>
            <w:r w:rsidRPr="000E21FC">
              <w:t>Size</w:t>
            </w:r>
          </w:p>
        </w:tc>
        <w:tc>
          <w:tcPr>
            <w:tcW w:w="0" w:type="auto"/>
          </w:tcPr>
          <w:p w14:paraId="37BBDE59" w14:textId="77777777" w:rsidR="000E21FC" w:rsidRPr="000E21FC" w:rsidRDefault="000E21FC" w:rsidP="000E21FC">
            <w:pPr>
              <w:spacing w:after="160" w:line="259" w:lineRule="auto"/>
            </w:pPr>
            <w:r w:rsidRPr="000E21FC">
              <w:t>640 x 480</w:t>
            </w:r>
          </w:p>
        </w:tc>
        <w:tc>
          <w:tcPr>
            <w:tcW w:w="0" w:type="auto"/>
          </w:tcPr>
          <w:p w14:paraId="3D4DD3D9" w14:textId="77777777" w:rsidR="000E21FC" w:rsidRPr="000E21FC" w:rsidRDefault="000E21FC" w:rsidP="000E21FC">
            <w:pPr>
              <w:spacing w:after="160" w:line="259" w:lineRule="auto"/>
            </w:pPr>
            <w:r w:rsidRPr="000E21FC">
              <w:t>640 x 480</w:t>
            </w:r>
          </w:p>
        </w:tc>
      </w:tr>
      <w:tr w:rsidR="000E21FC" w:rsidRPr="000E21FC" w14:paraId="58E93948" w14:textId="77777777" w:rsidTr="00455AC2">
        <w:tc>
          <w:tcPr>
            <w:tcW w:w="0" w:type="auto"/>
            <w:vMerge/>
          </w:tcPr>
          <w:p w14:paraId="2C1787EC" w14:textId="77777777" w:rsidR="000E21FC" w:rsidRPr="000E21FC" w:rsidRDefault="000E21FC" w:rsidP="000E21FC">
            <w:pPr>
              <w:spacing w:after="160" w:line="259" w:lineRule="auto"/>
            </w:pPr>
          </w:p>
        </w:tc>
        <w:tc>
          <w:tcPr>
            <w:tcW w:w="0" w:type="auto"/>
          </w:tcPr>
          <w:p w14:paraId="1DC6456C" w14:textId="77777777" w:rsidR="000E21FC" w:rsidRPr="000E21FC" w:rsidRDefault="000E21FC" w:rsidP="000E21FC">
            <w:pPr>
              <w:spacing w:after="160" w:line="259" w:lineRule="auto"/>
            </w:pPr>
            <w:r w:rsidRPr="000E21FC">
              <w:t># Filtered image with good alignment</w:t>
            </w:r>
          </w:p>
        </w:tc>
        <w:tc>
          <w:tcPr>
            <w:tcW w:w="0" w:type="auto"/>
          </w:tcPr>
          <w:p w14:paraId="5A620E29" w14:textId="77777777" w:rsidR="000E21FC" w:rsidRPr="000E21FC" w:rsidRDefault="000E21FC" w:rsidP="000E21FC">
            <w:pPr>
              <w:spacing w:after="160" w:line="259" w:lineRule="auto"/>
            </w:pPr>
            <w:r w:rsidRPr="000E21FC">
              <w:t>95,328</w:t>
            </w:r>
          </w:p>
        </w:tc>
        <w:tc>
          <w:tcPr>
            <w:tcW w:w="0" w:type="auto"/>
          </w:tcPr>
          <w:p w14:paraId="7EC61122" w14:textId="77777777" w:rsidR="000E21FC" w:rsidRPr="000E21FC" w:rsidRDefault="000E21FC" w:rsidP="000E21FC">
            <w:pPr>
              <w:spacing w:after="160" w:line="259" w:lineRule="auto"/>
            </w:pPr>
            <w:r w:rsidRPr="000E21FC">
              <w:t>95,328</w:t>
            </w:r>
          </w:p>
        </w:tc>
      </w:tr>
      <w:tr w:rsidR="000E21FC" w:rsidRPr="000E21FC" w14:paraId="6F95AB72" w14:textId="77777777" w:rsidTr="00455AC2">
        <w:tc>
          <w:tcPr>
            <w:tcW w:w="0" w:type="auto"/>
            <w:vMerge/>
          </w:tcPr>
          <w:p w14:paraId="06475241" w14:textId="77777777" w:rsidR="000E21FC" w:rsidRPr="000E21FC" w:rsidRDefault="000E21FC" w:rsidP="000E21FC">
            <w:pPr>
              <w:spacing w:after="160" w:line="259" w:lineRule="auto"/>
            </w:pPr>
          </w:p>
        </w:tc>
        <w:tc>
          <w:tcPr>
            <w:tcW w:w="0" w:type="auto"/>
          </w:tcPr>
          <w:p w14:paraId="792B4BF2" w14:textId="77777777" w:rsidR="000E21FC" w:rsidRPr="000E21FC" w:rsidRDefault="000E21FC" w:rsidP="000E21FC">
            <w:pPr>
              <w:spacing w:after="160" w:line="259" w:lineRule="auto"/>
            </w:pPr>
            <w:r w:rsidRPr="000E21FC">
              <w:t># further alignment</w:t>
            </w:r>
          </w:p>
        </w:tc>
        <w:tc>
          <w:tcPr>
            <w:tcW w:w="0" w:type="auto"/>
          </w:tcPr>
          <w:p w14:paraId="0D0D75EF" w14:textId="77777777" w:rsidR="000E21FC" w:rsidRPr="000E21FC" w:rsidRDefault="000E21FC" w:rsidP="000E21FC">
            <w:pPr>
              <w:spacing w:after="160" w:line="259" w:lineRule="auto"/>
            </w:pPr>
            <w:r w:rsidRPr="000E21FC">
              <w:t>4750</w:t>
            </w:r>
          </w:p>
        </w:tc>
        <w:tc>
          <w:tcPr>
            <w:tcW w:w="0" w:type="auto"/>
          </w:tcPr>
          <w:p w14:paraId="5871FE68" w14:textId="77777777" w:rsidR="000E21FC" w:rsidRPr="000E21FC" w:rsidRDefault="000E21FC" w:rsidP="000E21FC">
            <w:pPr>
              <w:spacing w:after="160" w:line="259" w:lineRule="auto"/>
            </w:pPr>
            <w:r w:rsidRPr="000E21FC">
              <w:t>4750</w:t>
            </w:r>
          </w:p>
        </w:tc>
      </w:tr>
      <w:tr w:rsidR="000E21FC" w:rsidRPr="000E21FC" w14:paraId="57BAAF8E" w14:textId="77777777" w:rsidTr="00455AC2">
        <w:trPr>
          <w:trHeight w:val="1555"/>
        </w:trPr>
        <w:tc>
          <w:tcPr>
            <w:tcW w:w="0" w:type="auto"/>
            <w:vMerge/>
          </w:tcPr>
          <w:p w14:paraId="2B2E0CBB" w14:textId="77777777" w:rsidR="000E21FC" w:rsidRPr="000E21FC" w:rsidRDefault="000E21FC" w:rsidP="000E21FC"/>
        </w:tc>
        <w:tc>
          <w:tcPr>
            <w:tcW w:w="0" w:type="auto"/>
          </w:tcPr>
          <w:p w14:paraId="20AB334F" w14:textId="7C7B7AFD" w:rsidR="000E21FC" w:rsidRPr="000E21FC" w:rsidRDefault="000E21FC" w:rsidP="000E21FC">
            <w:pPr>
              <w:spacing w:after="160" w:line="259" w:lineRule="auto"/>
            </w:pPr>
            <w:r w:rsidRPr="000E21FC">
              <w:t>Objective of the Training</w:t>
            </w:r>
            <w:r>
              <w:t xml:space="preserve">: </w:t>
            </w:r>
          </w:p>
        </w:tc>
        <w:tc>
          <w:tcPr>
            <w:tcW w:w="0" w:type="auto"/>
            <w:gridSpan w:val="2"/>
          </w:tcPr>
          <w:p w14:paraId="310CEBB1" w14:textId="141F3C5E" w:rsidR="000E21FC" w:rsidRPr="000E21FC" w:rsidRDefault="000E21FC" w:rsidP="000E21FC">
            <w:r w:rsidRPr="000E21FC">
              <w:t xml:space="preserve">Pedestrian detection using labeled images (bounding box - class label and occlusion labels). </w:t>
            </w:r>
          </w:p>
        </w:tc>
      </w:tr>
    </w:tbl>
    <w:p w14:paraId="1FE67D12" w14:textId="77777777" w:rsidR="000E21FC" w:rsidRDefault="000E21FC" w:rsidP="00291B7F"/>
    <w:p w14:paraId="3727BE88" w14:textId="11DE000C" w:rsidR="00A93BDC" w:rsidRDefault="000E21FC" w:rsidP="00291B7F">
      <w:r w:rsidRPr="000E21FC">
        <w:t xml:space="preserve">More </w:t>
      </w:r>
      <w:r w:rsidR="00CF10BA" w:rsidRPr="000E21FC">
        <w:t>information</w:t>
      </w:r>
      <w:r w:rsidRPr="000E21FC">
        <w:t xml:space="preserve"> can be found in CVPR 2015</w:t>
      </w:r>
      <w:r>
        <w:t xml:space="preserve"> paper.</w:t>
      </w:r>
      <w:r w:rsidR="00A93BDC">
        <w:t xml:space="preserve"> </w:t>
      </w:r>
      <w:r w:rsidR="00A93BDC" w:rsidRPr="00A93BDC">
        <w:rPr>
          <w:b/>
          <w:bCs/>
        </w:rPr>
        <w:t>Paper link</w:t>
      </w:r>
      <w:r w:rsidR="00A93BDC">
        <w:t>:</w:t>
      </w:r>
      <w:r>
        <w:t xml:space="preserve"> </w:t>
      </w:r>
      <w:hyperlink r:id="rId4" w:history="1">
        <w:r>
          <w:rPr>
            <w:rStyle w:val="Hyperlink"/>
          </w:rPr>
          <w:t>CVPR15_Pedestrian_Benchmark.pdf (soonminhwang.github.io)</w:t>
        </w:r>
      </w:hyperlink>
      <w:r w:rsidR="00A93BDC">
        <w:t xml:space="preserve"> </w:t>
      </w:r>
    </w:p>
    <w:p w14:paraId="15129BC8" w14:textId="5EFB7319" w:rsidR="00A93BDC" w:rsidRDefault="00A93BDC" w:rsidP="00291B7F">
      <w:r w:rsidRPr="00A93BDC">
        <w:rPr>
          <w:b/>
          <w:bCs/>
        </w:rPr>
        <w:lastRenderedPageBreak/>
        <w:t>Dataset Link</w:t>
      </w:r>
      <w:r>
        <w:t xml:space="preserve">: </w:t>
      </w:r>
      <w:hyperlink r:id="rId5" w:history="1">
        <w:r w:rsidRPr="007411A6">
          <w:rPr>
            <w:rStyle w:val="Hyperlink"/>
          </w:rPr>
          <w:t>https://soonminhwang.github.io/rgbt-ped-detection/data/</w:t>
        </w:r>
      </w:hyperlink>
    </w:p>
    <w:p w14:paraId="03D3FB0F" w14:textId="00AC9255" w:rsidR="00A93BDC" w:rsidRDefault="00455AC2" w:rsidP="00291B7F">
      <w:r w:rsidRPr="00455AC2">
        <w:t xml:space="preserve">Three types of annotations are available in the KAIST Multispectral Pedestrian Dataset for training. First, Hwang et al. [1] gave the original annotations. Second, Li et al. [2] supplied the cleaned annotations. Finally, Zhang et al. [3] gave the paired annotations. We employed cleaned test annotations for evaluation. The sanitized annotations remove any annotation mistakes, such as misclassified, </w:t>
      </w:r>
      <w:proofErr w:type="spellStart"/>
      <w:r w:rsidRPr="00455AC2">
        <w:t>mislocalized</w:t>
      </w:r>
      <w:proofErr w:type="spellEnd"/>
      <w:r w:rsidRPr="00455AC2">
        <w:t>, and misaligned regions. Since most recent works have employed annotations for evaluation, we likewise adopt them to do a fair comparison.</w:t>
      </w:r>
    </w:p>
    <w:p w14:paraId="4248D6B3" w14:textId="5BC423C6" w:rsidR="00A93BDC" w:rsidRDefault="00A93BDC" w:rsidP="00291B7F">
      <w:r>
        <w:t>Dataset References:</w:t>
      </w:r>
    </w:p>
    <w:p w14:paraId="645E1501" w14:textId="5764FD9D" w:rsidR="00A93BDC" w:rsidRDefault="00A93BDC" w:rsidP="00A93BDC">
      <w:r>
        <w:t xml:space="preserve">[1] - S. Hwang, J. Park, N. Kim, Y. Choi, and I. Kweon, “Multispectral pedestrian detection: Benchmark dataset and baseline,” in Proc. IEEE Conf. </w:t>
      </w:r>
      <w:proofErr w:type="spellStart"/>
      <w:r>
        <w:t>Comput</w:t>
      </w:r>
      <w:proofErr w:type="spellEnd"/>
      <w:r>
        <w:t xml:space="preserve">. Vision Pattern </w:t>
      </w:r>
      <w:proofErr w:type="spellStart"/>
      <w:r>
        <w:t>Recognit</w:t>
      </w:r>
      <w:proofErr w:type="spellEnd"/>
      <w:r>
        <w:t>., 2015, pp. 1037–1045</w:t>
      </w:r>
    </w:p>
    <w:p w14:paraId="4D9CDD80" w14:textId="58626539" w:rsidR="00A93BDC" w:rsidRDefault="00A93BDC" w:rsidP="00A93BDC">
      <w:r>
        <w:t>[2] - C. Li, D. Song, R. Tong, and M. Tang, “Multispectral pedestrian detection via simultaneous detection and segmentation,” in Proc. Brit. Mach. Vision Conf., 2018, pp. 225.1–225.12.</w:t>
      </w:r>
    </w:p>
    <w:p w14:paraId="6A5BD1AA" w14:textId="17D7868D" w:rsidR="007F7A54" w:rsidRDefault="00A93BDC" w:rsidP="00455AC2">
      <w:r>
        <w:t xml:space="preserve">[3] - L. Zhang, X. Zhu, X. Chen, X. Yang, Z. Lei, and Z. Liu, “Weakly aligned cross-modal learning for multispectral pedestrian detection,” in Proc. IEEE Int. Conf. </w:t>
      </w:r>
      <w:proofErr w:type="spellStart"/>
      <w:r>
        <w:t>Comput</w:t>
      </w:r>
      <w:proofErr w:type="spellEnd"/>
      <w:r>
        <w:t>. Vision, 2019, pp. 5126–5136.</w:t>
      </w:r>
      <w:r w:rsidR="007A0060">
        <w:rPr>
          <w:noProof/>
        </w:rPr>
        <mc:AlternateContent>
          <mc:Choice Requires="wpi">
            <w:drawing>
              <wp:anchor distT="0" distB="0" distL="114300" distR="114300" simplePos="0" relativeHeight="251697152" behindDoc="0" locked="0" layoutInCell="1" allowOverlap="1" wp14:anchorId="7A39A2F1" wp14:editId="6058142E">
                <wp:simplePos x="0" y="0"/>
                <wp:positionH relativeFrom="column">
                  <wp:posOffset>6781008</wp:posOffset>
                </wp:positionH>
                <wp:positionV relativeFrom="paragraph">
                  <wp:posOffset>2952076</wp:posOffset>
                </wp:positionV>
                <wp:extent cx="360" cy="360"/>
                <wp:effectExtent l="38100" t="38100" r="38100" b="38100"/>
                <wp:wrapNone/>
                <wp:docPr id="1984053817" name="Ink 2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88338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533.45pt;margin-top:231.95pt;width:1.05pt;height:1.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pl9uVccBAABqBAAAEAAAAAAAAAAAAAAAAADTAwAAZHJz&#10;L2luay9pbmsxLnhtbFBLAQItABQABgAIAAAAIQB3Jfz+3QAAAA0BAAAPAAAAAAAAAAAAAAAAAMgF&#10;AABkcnMvZG93bnJldi54bWxQSwECLQAUAAYACAAAACEAeRi8nb8AAAAhAQAAGQAAAAAAAAAAAAAA&#10;AADSBgAAZHJzL19yZWxzL2Uyb0RvYy54bWwucmVsc1BLBQYAAAAABgAGAHgBAADIBwAAAAA=&#10;">
                <v:imagedata r:id="rId7" o:title=""/>
              </v:shape>
            </w:pict>
          </mc:Fallback>
        </mc:AlternateContent>
      </w:r>
    </w:p>
    <w:p w14:paraId="27490828" w14:textId="18861C23" w:rsidR="004E5B66" w:rsidRDefault="00455AC2" w:rsidP="00455AC2">
      <w:pPr>
        <w:pStyle w:val="Heading1"/>
      </w:pPr>
      <w:r>
        <w:t>M</w:t>
      </w:r>
      <w:r w:rsidR="004E5B66">
        <w:t>odifications</w:t>
      </w:r>
    </w:p>
    <w:p w14:paraId="62BBDBA2" w14:textId="57101581" w:rsidR="002F2C1B" w:rsidRPr="002F2C1B" w:rsidRDefault="002F2C1B" w:rsidP="002F2C1B">
      <w:r>
        <w:t>Unlike DETR, o</w:t>
      </w:r>
      <w:r w:rsidRPr="002F2C1B">
        <w:t xml:space="preserve">ur focus </w:t>
      </w:r>
      <w:r>
        <w:t xml:space="preserve">in this experiment </w:t>
      </w:r>
      <w:r w:rsidRPr="002F2C1B">
        <w:t>is to develop a transformer model that integrates information from different modalities together to enhance the prediction</w:t>
      </w:r>
      <w:r>
        <w:t xml:space="preserve">. </w:t>
      </w:r>
      <w:r w:rsidRPr="002F2C1B">
        <w:t xml:space="preserve">Our modified DETR transformer encoders </w:t>
      </w:r>
      <w:r>
        <w:t xml:space="preserve">extract the features from RGB and IR modality via two parallel ResNet50 backbone and </w:t>
      </w:r>
      <w:r w:rsidRPr="002F2C1B">
        <w:t xml:space="preserve">harness the vast potential of heterogeneous data via </w:t>
      </w:r>
      <w:r>
        <w:t xml:space="preserve">channel </w:t>
      </w:r>
      <w:r w:rsidRPr="002F2C1B">
        <w:t xml:space="preserve">fusion of modalities features (RGB and IR) </w:t>
      </w:r>
      <w:r>
        <w:t xml:space="preserve">using two parallel cross-attention encoders </w:t>
      </w:r>
      <w:r w:rsidRPr="002F2C1B">
        <w:t>unlike the original DETR transformer model. Afterward, the model performs object detection by using a DETR decoder with object queries</w:t>
      </w:r>
      <w:r>
        <w:t>.</w:t>
      </w:r>
    </w:p>
    <w:p w14:paraId="3EBDB12E" w14:textId="31114460" w:rsidR="00592C1C" w:rsidRPr="00592C1C" w:rsidRDefault="00592C1C" w:rsidP="00672505">
      <w:pPr>
        <w:rPr>
          <w:b/>
          <w:bCs/>
          <w:u w:val="single"/>
        </w:rPr>
      </w:pPr>
    </w:p>
    <w:p w14:paraId="2650F6E2" w14:textId="2E792C40" w:rsidR="00672505" w:rsidRDefault="0048272B">
      <w:r>
        <w:t>References:</w:t>
      </w:r>
    </w:p>
    <w:p w14:paraId="1C605173" w14:textId="77777777" w:rsidR="0048272B" w:rsidRDefault="0048272B" w:rsidP="0048272B">
      <w:r>
        <w:t xml:space="preserve">[1]. Carion, N., Massa, F., </w:t>
      </w:r>
      <w:proofErr w:type="spellStart"/>
      <w:r>
        <w:t>Synnaeve</w:t>
      </w:r>
      <w:proofErr w:type="spellEnd"/>
      <w:r>
        <w:t xml:space="preserve">, G., </w:t>
      </w:r>
      <w:proofErr w:type="spellStart"/>
      <w:r>
        <w:t>Usunier</w:t>
      </w:r>
      <w:proofErr w:type="spellEnd"/>
      <w:r>
        <w:t xml:space="preserve">, N., Kirillov, A., &amp; </w:t>
      </w:r>
      <w:proofErr w:type="spellStart"/>
      <w:r>
        <w:t>Zagoruyko</w:t>
      </w:r>
      <w:proofErr w:type="spellEnd"/>
      <w:r>
        <w:t xml:space="preserve">, S. (2020). End-to-End Object Detection with Transformers. </w:t>
      </w:r>
      <w:proofErr w:type="spellStart"/>
      <w:r>
        <w:t>arXiv</w:t>
      </w:r>
      <w:proofErr w:type="spellEnd"/>
      <w:r>
        <w:t xml:space="preserve"> preprint arXiv:2005.12872.</w:t>
      </w:r>
    </w:p>
    <w:p w14:paraId="36217A27" w14:textId="77777777" w:rsidR="0048272B" w:rsidRDefault="0048272B" w:rsidP="0048272B">
      <w:r>
        <w:t xml:space="preserve">[2]. Cai, Z., Vasconcelos, N.: Cascade R-CNN: High quality object detection and instance segmentation. PAMI (2019) </w:t>
      </w:r>
    </w:p>
    <w:p w14:paraId="3D57E7AF" w14:textId="77777777" w:rsidR="0048272B" w:rsidRDefault="0048272B" w:rsidP="0048272B">
      <w:r>
        <w:t xml:space="preserve">[3]. </w:t>
      </w:r>
      <w:proofErr w:type="spellStart"/>
      <w:r>
        <w:t>Glorot</w:t>
      </w:r>
      <w:proofErr w:type="spellEnd"/>
      <w:r>
        <w:t xml:space="preserve">, X., Bengio, Y.: Understanding the difficulty of training deep feedforward neural networks. In: AISTATS (2010) </w:t>
      </w:r>
    </w:p>
    <w:p w14:paraId="70600348" w14:textId="77777777" w:rsidR="0048272B" w:rsidRDefault="0048272B" w:rsidP="0048272B">
      <w:r>
        <w:t xml:space="preserve">[4]. He, K., </w:t>
      </w:r>
      <w:proofErr w:type="spellStart"/>
      <w:r>
        <w:t>Girshick</w:t>
      </w:r>
      <w:proofErr w:type="spellEnd"/>
      <w:r>
        <w:t xml:space="preserve">, R., </w:t>
      </w:r>
      <w:proofErr w:type="spellStart"/>
      <w:r>
        <w:t>Doll´ar</w:t>
      </w:r>
      <w:proofErr w:type="spellEnd"/>
      <w:r>
        <w:t xml:space="preserve">, P.: Rethinking </w:t>
      </w:r>
      <w:proofErr w:type="spellStart"/>
      <w:r>
        <w:t>imagenet</w:t>
      </w:r>
      <w:proofErr w:type="spellEnd"/>
      <w:r>
        <w:t xml:space="preserve"> pre-training. In: ICCV (2019) </w:t>
      </w:r>
    </w:p>
    <w:p w14:paraId="2E6AD1C6" w14:textId="77777777" w:rsidR="0048272B" w:rsidRDefault="0048272B" w:rsidP="0048272B">
      <w:r>
        <w:t xml:space="preserve">[5]. He, K., Zhang, X., Ren, S., Sun, J.: Deep residual learning for image recognition. In: CVPR (2016) </w:t>
      </w:r>
    </w:p>
    <w:p w14:paraId="52FE7311" w14:textId="77777777" w:rsidR="0048272B" w:rsidRDefault="0048272B" w:rsidP="0048272B">
      <w:r>
        <w:t xml:space="preserve">[6]. Hosang, J.H., Benenson, R., Schiele, B.: Learning non-maximum suppression. In: CVPR (2017) </w:t>
      </w:r>
    </w:p>
    <w:p w14:paraId="00DE3489" w14:textId="069140BA" w:rsidR="0048272B" w:rsidRDefault="0048272B" w:rsidP="0048272B">
      <w:r>
        <w:t>[7]. Hu, H., Gu, J., Zhang, Z., Dai, J., Wei, Y.: Relation networks for object detection. In: CVPR (2018)</w:t>
      </w:r>
    </w:p>
    <w:sectPr w:rsidR="00482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5E"/>
    <w:rsid w:val="00053116"/>
    <w:rsid w:val="000E21FC"/>
    <w:rsid w:val="00115B55"/>
    <w:rsid w:val="00291B7F"/>
    <w:rsid w:val="002F2C1B"/>
    <w:rsid w:val="004172BA"/>
    <w:rsid w:val="00455AC2"/>
    <w:rsid w:val="00463551"/>
    <w:rsid w:val="0048272B"/>
    <w:rsid w:val="004E5B66"/>
    <w:rsid w:val="00592C1C"/>
    <w:rsid w:val="005A0E7D"/>
    <w:rsid w:val="00672505"/>
    <w:rsid w:val="00727F64"/>
    <w:rsid w:val="007A0060"/>
    <w:rsid w:val="007A463E"/>
    <w:rsid w:val="007C7139"/>
    <w:rsid w:val="007F7A54"/>
    <w:rsid w:val="00897D5C"/>
    <w:rsid w:val="009B425E"/>
    <w:rsid w:val="00A93BDC"/>
    <w:rsid w:val="00AE1BE5"/>
    <w:rsid w:val="00B52CAF"/>
    <w:rsid w:val="00C07C4A"/>
    <w:rsid w:val="00CA16EE"/>
    <w:rsid w:val="00CB16EB"/>
    <w:rsid w:val="00CC0EB3"/>
    <w:rsid w:val="00CF10BA"/>
    <w:rsid w:val="00D67CAA"/>
    <w:rsid w:val="00DD5305"/>
    <w:rsid w:val="00E5185C"/>
    <w:rsid w:val="00E655F1"/>
    <w:rsid w:val="00E761F8"/>
    <w:rsid w:val="00E8345A"/>
    <w:rsid w:val="00F158B8"/>
    <w:rsid w:val="00F8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5AFF"/>
  <w15:docId w15:val="{464ADB09-42B8-48F1-8336-40AF0227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B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E21FC"/>
    <w:rPr>
      <w:color w:val="0000FF"/>
      <w:u w:val="single"/>
    </w:rPr>
  </w:style>
  <w:style w:type="table" w:styleId="TableGrid">
    <w:name w:val="Table Grid"/>
    <w:basedOn w:val="TableNormal"/>
    <w:uiPriority w:val="39"/>
    <w:rsid w:val="000E2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93BDC"/>
    <w:rPr>
      <w:color w:val="605E5C"/>
      <w:shd w:val="clear" w:color="auto" w:fill="E1DFDD"/>
    </w:rPr>
  </w:style>
  <w:style w:type="paragraph" w:styleId="Title">
    <w:name w:val="Title"/>
    <w:basedOn w:val="Normal"/>
    <w:next w:val="Normal"/>
    <w:link w:val="TitleChar"/>
    <w:uiPriority w:val="10"/>
    <w:qFormat/>
    <w:rsid w:val="00053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11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531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515">
      <w:bodyDiv w:val="1"/>
      <w:marLeft w:val="0"/>
      <w:marRight w:val="0"/>
      <w:marTop w:val="0"/>
      <w:marBottom w:val="0"/>
      <w:divBdr>
        <w:top w:val="none" w:sz="0" w:space="0" w:color="auto"/>
        <w:left w:val="none" w:sz="0" w:space="0" w:color="auto"/>
        <w:bottom w:val="none" w:sz="0" w:space="0" w:color="auto"/>
        <w:right w:val="none" w:sz="0" w:space="0" w:color="auto"/>
      </w:divBdr>
    </w:div>
    <w:div w:id="1729186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hyperlink" Target="https://soonminhwang.github.io/rgbt-ped-detection/data/" TargetMode="External"/><Relationship Id="rId4" Type="http://schemas.openxmlformats.org/officeDocument/2006/relationships/hyperlink" Target="https://soonminhwang.github.io/rgbt-ped-detection/misc/CVPR15_Pedestrian_Benchmark.pdf" TargetMode="Externa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2:17:51.269"/>
    </inkml:context>
    <inkml:brush xml:id="br0">
      <inkml:brushProperty name="width" value="0.035" units="cm"/>
      <inkml:brushProperty name="height" value="0.03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2328</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devkota</dc:creator>
  <cp:keywords/>
  <dc:description/>
  <cp:lastModifiedBy>alan devkota</cp:lastModifiedBy>
  <cp:revision>4</cp:revision>
  <dcterms:created xsi:type="dcterms:W3CDTF">2024-01-25T12:39:00Z</dcterms:created>
  <dcterms:modified xsi:type="dcterms:W3CDTF">2024-03-29T14:32:00Z</dcterms:modified>
</cp:coreProperties>
</file>