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Rizzon Santos</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hint="default" w:ascii="Arial" w:hAnsi="Arial" w:cs="Arial"/>
          <w:b w:val="0"/>
          <w:bCs w:val="0"/>
          <w:sz w:val="22"/>
          <w:szCs w:val="22"/>
          <w:lang w:val="pt-PT"/>
        </w:rPr>
      </w:pPr>
      <w:r>
        <w:rPr>
          <w:rFonts w:hint="default" w:ascii="Arial" w:hAnsi="Arial" w:cs="Arial"/>
          <w:b w:val="0"/>
          <w:bCs w:val="0"/>
          <w:color w:val="auto"/>
          <w:sz w:val="24"/>
          <w:szCs w:val="24"/>
          <w:lang w:val="pt-PT"/>
        </w:rPr>
        <w:t xml:space="preserve">NLTK </w:t>
      </w:r>
      <w:r>
        <w:rPr>
          <w:rFonts w:hint="default" w:ascii="Arial" w:hAnsi="Arial" w:cs="Arial"/>
          <w:b w:val="0"/>
          <w:bCs w:val="0"/>
          <w:color w:val="auto"/>
          <w:sz w:val="24"/>
          <w:szCs w:val="24"/>
          <w:lang w:val="pt-PT"/>
        </w:rPr>
        <w:tab/>
      </w:r>
      <w:r>
        <w:rPr>
          <w:rFonts w:ascii="Arial" w:hAnsi="Arial" w:cs="Arial"/>
          <w:b w:val="0"/>
          <w:bCs w:val="0"/>
          <w:color w:val="auto"/>
          <w:sz w:val="24"/>
          <w:szCs w:val="24"/>
          <w:lang w:val="pt-PT"/>
        </w:rPr>
        <w:t xml:space="preserve">Natural Language Toolkit </w:t>
      </w:r>
      <w:r>
        <w:rPr>
          <w:rFonts w:hint="default" w:ascii="Arial" w:hAnsi="Arial" w:cs="Arial"/>
          <w:b w:val="0"/>
          <w:bCs w:val="0"/>
          <w:color w:val="auto"/>
          <w:sz w:val="24"/>
          <w:szCs w:val="24"/>
          <w:lang w:val="pt-PT"/>
        </w:rPr>
        <w:t>......................................................xx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Rahate (2021):</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Estes cenários são expressos em um formato conhecido como Gherkin, projetado para ser facilmente compreensível pelas partes interessadas. Cada cenário é composto por uma série de etapas onde cada etapa é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Rodrigues (2020) na tabela 04 descreve dois cenários utilizando como exemplo a troca de luzes de um semáforo: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Eu 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05 -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05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highlight w:val="none"/>
          <w:lang w:val="pt-PT"/>
        </w:rPr>
        <w:t xml:space="preserve">datasets </w:t>
      </w:r>
      <w:r>
        <w:rPr>
          <w:rFonts w:hint="default" w:ascii="Arial" w:hAnsi="Arial" w:cs="Arial"/>
          <w:b w:val="0"/>
          <w:bCs w:val="0"/>
          <w:i w:val="0"/>
          <w:iCs w:val="0"/>
          <w:sz w:val="24"/>
          <w:szCs w:val="24"/>
          <w:highlight w:val="none"/>
          <w:lang w:val="pt-PT"/>
        </w:rPr>
        <w:t>e</w:t>
      </w:r>
      <w:r>
        <w:rPr>
          <w:rFonts w:hint="default" w:ascii="Arial" w:hAnsi="Arial" w:cs="Arial"/>
          <w:b w:val="0"/>
          <w:bCs w:val="0"/>
          <w:sz w:val="24"/>
          <w:szCs w:val="24"/>
          <w:highlight w:val="none"/>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0"/>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r>
        <w:rPr>
          <w:rFonts w:hint="default" w:ascii="Arial" w:hAnsi="Arial" w:cs="Arial"/>
          <w:sz w:val="22"/>
          <w:szCs w:val="22"/>
          <w:lang w:val="pt-PT"/>
        </w:rPr>
        <w:tab/>
      </w:r>
      <w:r>
        <w:rPr>
          <w:rFonts w:hint="default" w:ascii="Arial" w:hAnsi="Arial" w:cs="Arial"/>
          <w:b/>
          <w:bCs/>
          <w:sz w:val="22"/>
          <w:szCs w:val="22"/>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val="0"/>
          <w:bCs w:val="0"/>
          <w:sz w:val="22"/>
          <w:szCs w:val="22"/>
          <w:lang w:val="pt-PT"/>
        </w:rPr>
        <w:t xml:space="preserve">A filtragem das tecnologias, de acordo com os critérios de inclusão e exclusão, aconteceu de acordo com três etapas, conforme mostrado na Figura 04. </w:t>
      </w:r>
      <w:r>
        <w:rPr>
          <w:rFonts w:hint="default" w:ascii="Arial" w:hAnsi="Arial" w:cs="Arial"/>
          <w:b w:val="0"/>
          <w:bCs w:val="0"/>
          <w:sz w:val="24"/>
          <w:szCs w:val="24"/>
          <w:lang w:val="pt-PT"/>
        </w:rPr>
        <w:t>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06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06: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Segue abaixo a Tabela 07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Conversão de minúsculas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Derivação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 ou árvore de sintaxe</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07: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Sendo assim, segue abaixo a Tabela 08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5"/>
        <w:gridCol w:w="1612"/>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Colocação</w:t>
            </w:r>
          </w:p>
        </w:tc>
        <w:tc>
          <w:tcPr>
            <w:tcW w:w="161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5"/>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5"/>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5"/>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5"/>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5"/>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5"/>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5"/>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5"/>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5"/>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5"/>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宋体" w:cs="Arial"/>
                <w:i w:val="0"/>
                <w:caps w:val="0"/>
                <w:color w:val="202124"/>
                <w:spacing w:val="0"/>
                <w:kern w:val="0"/>
                <w:sz w:val="15"/>
                <w:szCs w:val="15"/>
                <w:shd w:val="clear" w:fill="FFFFFF"/>
                <w:lang w:val="en-US" w:eastAsia="zh-CN" w:bidi="ar"/>
              </w:rPr>
            </w:pPr>
            <w:r>
              <w:rPr>
                <w:rFonts w:hint="default" w:ascii="Arial" w:hAnsi="Arial" w:eastAsia="宋体" w:cs="Arial"/>
                <w:i w:val="0"/>
                <w:caps w:val="0"/>
                <w:color w:val="202124"/>
                <w:spacing w:val="0"/>
                <w:kern w:val="0"/>
                <w:sz w:val="15"/>
                <w:szCs w:val="15"/>
                <w:shd w:val="clear" w:fill="FFFFFF"/>
                <w:lang w:val="en-US" w:eastAsia="zh-CN" w:bidi="ar"/>
              </w:rPr>
              <w:fldChar w:fldCharType="begin"/>
            </w:r>
            <w:r>
              <w:rPr>
                <w:rFonts w:hint="default" w:ascii="Arial" w:hAnsi="Arial" w:eastAsia="宋体"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宋体" w:cs="Arial"/>
                <w:i w:val="0"/>
                <w:caps w:val="0"/>
                <w:color w:val="202124"/>
                <w:spacing w:val="0"/>
                <w:kern w:val="0"/>
                <w:sz w:val="15"/>
                <w:szCs w:val="15"/>
                <w:shd w:val="clear" w:fill="FFFFFF"/>
                <w:lang w:val="en-US" w:eastAsia="zh-CN" w:bidi="ar"/>
              </w:rPr>
              <w:fldChar w:fldCharType="separate"/>
            </w:r>
            <w:r>
              <w:rPr>
                <w:rStyle w:val="5"/>
                <w:rFonts w:hint="default" w:ascii="Arial" w:hAnsi="Arial" w:eastAsia="宋体" w:cs="Arial"/>
                <w:i w:val="0"/>
                <w:caps w:val="0"/>
                <w:spacing w:val="0"/>
                <w:kern w:val="0"/>
                <w:sz w:val="15"/>
                <w:szCs w:val="15"/>
                <w:shd w:val="clear" w:fill="FFFFFF"/>
                <w:lang w:val="en-US" w:eastAsia="zh-CN" w:bidi="ar"/>
              </w:rPr>
              <w:t>https://www.ucla.edu/</w:t>
            </w:r>
            <w:r>
              <w:rPr>
                <w:rFonts w:hint="default" w:ascii="Arial" w:hAnsi="Arial" w:eastAsia="宋体"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5"/>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宋体"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5"/>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5"/>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Javascrip</w:t>
            </w:r>
            <w:r>
              <w:rPr>
                <w:rFonts w:hint="default" w:ascii="Arial" w:hAnsi="Arial" w:eastAsia="宋体" w:cs="Arial"/>
                <w:color w:val="auto"/>
                <w:kern w:val="0"/>
                <w:sz w:val="18"/>
                <w:szCs w:val="18"/>
                <w:lang w:val="pt-PT" w:eastAsia="zh-CN" w:bidi="ar"/>
              </w:rPr>
              <w:t>t</w:t>
            </w:r>
            <w:r>
              <w:rPr>
                <w:rFonts w:hint="default" w:ascii="Arial" w:hAnsi="Arial" w:eastAsia="宋体"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5"/>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5"/>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5"/>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suppressAutoHyphens/>
        <w:overflowPunct w:val="0"/>
        <w:bidi w:val="0"/>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DESENVOLVIMENTO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Neste trabalho será desenvolvido dois protótipos voltados à avaliação de histórias de usuário. Esses protótipos serão desenvolvidos utilizando as duas tecnologias que mais se destacaram no estudo comparativo realizado anteriormente: NLTK e spaCy.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Lucassen, et. al. (2016)  em seu estudo expõe 13 critérios de qualidade para avaliação de histórias de usuário divididos em 3 grupos: sintáticas, semânticas e pragmáticas. Em ambos os protótipos que serão desenvolvidos, serão avaliados apenas os três critérios correspondentes ao grupo de critérios de qualidades sintáticas, ou seja:</w:t>
      </w:r>
    </w:p>
    <w:p>
      <w:pPr>
        <w:keepNext w:val="0"/>
        <w:keepLines w:val="0"/>
        <w:pageBreakBefore w:val="0"/>
        <w:widowControl/>
        <w:numPr>
          <w:ilvl w:val="0"/>
          <w:numId w:val="2"/>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Bem-formada: a história de usuário possui apenas uma funcionalidade com um propósito</w:t>
      </w:r>
    </w:p>
    <w:p>
      <w:pPr>
        <w:keepNext w:val="0"/>
        <w:keepLines w:val="0"/>
        <w:pageBreakBefore w:val="0"/>
        <w:widowControl/>
        <w:numPr>
          <w:ilvl w:val="0"/>
          <w:numId w:val="2"/>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Atômica: a história de usuário representa um requisito para exatamente um recurso</w:t>
      </w:r>
    </w:p>
    <w:p>
      <w:pPr>
        <w:keepNext w:val="0"/>
        <w:keepLines w:val="0"/>
        <w:pageBreakBefore w:val="0"/>
        <w:widowControl/>
        <w:numPr>
          <w:ilvl w:val="0"/>
          <w:numId w:val="2"/>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Mínima:  a história de usuário contem nada mais que uma função, um meio e um fim.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4.1 Requisitos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Os requisitos de um sistema são as descrições do que um sistema deve fazer, os serviços que ele oferece e as restrições do seu funcionamento. Os requisitos são frequentemente classificados como requisitos funcionais e não funcionais (</w:t>
      </w:r>
      <w:r>
        <w:rPr>
          <w:rFonts w:ascii="Arial" w:hAnsi="Arial" w:cs="Arial"/>
          <w:b w:val="0"/>
          <w:bCs w:val="0"/>
          <w:sz w:val="24"/>
          <w:szCs w:val="24"/>
          <w:lang w:val="pt-PT"/>
        </w:rPr>
        <w:t>SOMMERVILLE</w:t>
      </w:r>
      <w:r>
        <w:rPr>
          <w:rFonts w:hint="default" w:ascii="Arial" w:hAnsi="Arial" w:cs="Arial"/>
          <w:b w:val="0"/>
          <w:bCs w:val="0"/>
          <w:sz w:val="24"/>
          <w:szCs w:val="24"/>
          <w:lang w:val="pt-PT"/>
        </w:rPr>
        <w:t>, 2011).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Segundo Sommerville (2011), os requisitos funcionais descrevem o que o sistema deve fazer, já os requisitos não funcionais não estão diretamente relacionados com o que deve ser feito, mas sim com as propriedades emergentes que o sistema possa ter, como por exemplo as características de desempenho, segurança e disponibilidade.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
      </w:r>
      <w:r>
        <w:rPr>
          <w:rFonts w:hint="default" w:ascii="Arial" w:hAnsi="Arial" w:cs="Arial"/>
          <w:b w:val="0"/>
          <w:bCs w:val="0"/>
          <w:sz w:val="24"/>
          <w:szCs w:val="24"/>
          <w:lang w:val="pt-PT"/>
        </w:rPr>
        <w:tab/>
      </w:r>
      <w:r>
        <w:rPr>
          <w:rFonts w:hint="default" w:ascii="Arial" w:hAnsi="Arial" w:cs="Arial"/>
          <w:b/>
          <w:bCs/>
          <w:sz w:val="24"/>
          <w:szCs w:val="24"/>
          <w:lang w:val="pt-PT"/>
        </w:rPr>
        <w:t>4.1.1 Requisitos funcionais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permitir que o usuário insira um texto a ser processado/analisado</w:t>
      </w: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ser capaz de identificar o ator da história de usuário</w:t>
      </w: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ser capaz de identificar a ação da história de usuário</w:t>
      </w: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ser capaz de identificar a finalidade da história de usuário</w:t>
      </w: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ser capaz de analisar se a história de usuário segue os critérios de qualidades sintáticas (LUCASSEN,  2016)</w:t>
      </w:r>
    </w:p>
    <w:p>
      <w:pPr>
        <w:keepNext w:val="0"/>
        <w:keepLines w:val="0"/>
        <w:pageBreakBefore w:val="0"/>
        <w:widowControl/>
        <w:numPr>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r>
        <w:rPr>
          <w:rFonts w:hint="default" w:ascii="Arial" w:hAnsi="Arial" w:cs="Arial"/>
          <w:b/>
          <w:bCs/>
          <w:sz w:val="24"/>
          <w:szCs w:val="24"/>
          <w:lang w:val="pt-PT"/>
        </w:rPr>
        <w:t>4.1.2 Requisitos não funcionais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ser capaz de cronometrar e exibir o tempo de processamento ao analisar uma história de usuário</w:t>
      </w:r>
    </w:p>
    <w:p>
      <w:pPr>
        <w:keepNext w:val="0"/>
        <w:keepLines w:val="0"/>
        <w:pageBreakBefore w:val="0"/>
        <w:widowControl/>
        <w:numPr>
          <w:ilvl w:val="0"/>
          <w:numId w:val="2"/>
        </w:numPr>
        <w:tabs>
          <w:tab w:val="left" w:pos="0"/>
          <w:tab w:val="clear" w:pos="420"/>
        </w:tabs>
        <w:suppressAutoHyphens/>
        <w:overflowPunct w:val="0"/>
        <w:bidi w:val="0"/>
        <w:snapToGrid/>
        <w:spacing w:line="360" w:lineRule="auto"/>
        <w:ind w:left="42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sistema deve ser ser capaz de processar histórias de usuário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2"/>
          <w:szCs w:val="22"/>
          <w:lang w:val="pt-PT"/>
        </w:rPr>
      </w:pPr>
    </w:p>
    <w:p>
      <w:pPr>
        <w:keepNext w:val="0"/>
        <w:keepLines w:val="0"/>
        <w:pageBreakBefore w:val="0"/>
        <w:widowControl/>
        <w:numPr>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2"/>
          <w:szCs w:val="22"/>
          <w:lang w:val="pt-PT"/>
        </w:rPr>
      </w:pPr>
      <w:r>
        <w:rPr>
          <w:rFonts w:hint="default" w:ascii="Arial" w:hAnsi="Arial" w:cs="Arial"/>
          <w:b/>
          <w:bCs/>
          <w:sz w:val="22"/>
          <w:szCs w:val="22"/>
          <w:lang w:val="pt-PT"/>
        </w:rPr>
        <w:tab/>
        <w:t>4.2 Design da interface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bookmarkStart w:id="0" w:name="_GoBack"/>
      <w:bookmarkEnd w:id="0"/>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drawing>
          <wp:inline distT="0" distB="0" distL="114300" distR="114300">
            <wp:extent cx="5269230" cy="3500755"/>
            <wp:effectExtent l="0" t="0" r="7620" b="444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11"/>
                    <a:stretch>
                      <a:fillRect/>
                    </a:stretch>
                  </pic:blipFill>
                  <pic:spPr>
                    <a:xfrm>
                      <a:off x="0" y="0"/>
                      <a:ext cx="5269230" cy="350075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fldChar w:fldCharType="begin"/>
      </w:r>
      <w:r>
        <w:rPr>
          <w:rFonts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ascii="Arial" w:hAnsi="Arial" w:cs="Arial"/>
          <w:b w:val="0"/>
          <w:bCs w:val="0"/>
          <w:sz w:val="24"/>
          <w:szCs w:val="24"/>
          <w:lang w:val="pt-PT"/>
        </w:rPr>
        <w:fldChar w:fldCharType="separate"/>
      </w:r>
      <w:r>
        <w:rPr>
          <w:rStyle w:val="5"/>
          <w:rFonts w:ascii="Arial" w:hAnsi="Arial" w:cs="Arial"/>
          <w:b w:val="0"/>
          <w:bCs w:val="0"/>
          <w:sz w:val="24"/>
          <w:szCs w:val="24"/>
          <w:lang w:val="pt-PT"/>
        </w:rPr>
        <w:t>https://www.bestbuy.com/site/cyberpowerpc-gamer-xtreme-gaming-desktop-intel-core-5-12600kf-16gb-memory-nvidia-geforce-rtx-3050-500gb-ssd-black/6500510.p?skuId=6500510</w:t>
      </w:r>
      <w:r>
        <w:rPr>
          <w:rFonts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Wingdings">
    <w:panose1 w:val="05000000000000000000"/>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
    <w:nsid w:val="FAF7160B"/>
    <w:multiLevelType w:val="singleLevel"/>
    <w:tmpl w:val="FAF716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360FD2"/>
    <w:rsid w:val="179D1D8E"/>
    <w:rsid w:val="17FE93A9"/>
    <w:rsid w:val="1B6D5D80"/>
    <w:rsid w:val="1CBDA3F9"/>
    <w:rsid w:val="1CEB92A0"/>
    <w:rsid w:val="1E6F6F11"/>
    <w:rsid w:val="21FFC362"/>
    <w:rsid w:val="27EDE09A"/>
    <w:rsid w:val="27FAE7FE"/>
    <w:rsid w:val="29BA7B62"/>
    <w:rsid w:val="29BF7438"/>
    <w:rsid w:val="2BDF39E6"/>
    <w:rsid w:val="2BEFE7C0"/>
    <w:rsid w:val="2D3EAE0D"/>
    <w:rsid w:val="2DB5595E"/>
    <w:rsid w:val="2EFDFBE1"/>
    <w:rsid w:val="2F5F9329"/>
    <w:rsid w:val="2FFFFB20"/>
    <w:rsid w:val="35FF7DE5"/>
    <w:rsid w:val="36C7D0BB"/>
    <w:rsid w:val="371F943B"/>
    <w:rsid w:val="37E458B9"/>
    <w:rsid w:val="393FC469"/>
    <w:rsid w:val="39BA4AF7"/>
    <w:rsid w:val="3AD94B39"/>
    <w:rsid w:val="3ADD9E94"/>
    <w:rsid w:val="3AFF271B"/>
    <w:rsid w:val="3BA9DB40"/>
    <w:rsid w:val="3C7BE0E1"/>
    <w:rsid w:val="3D1DC8EC"/>
    <w:rsid w:val="3DFF6BD7"/>
    <w:rsid w:val="3E7C22AA"/>
    <w:rsid w:val="3EBDF007"/>
    <w:rsid w:val="3EBF50DE"/>
    <w:rsid w:val="3EFEBA26"/>
    <w:rsid w:val="3EFEC05E"/>
    <w:rsid w:val="3F32C3B1"/>
    <w:rsid w:val="3FA731BA"/>
    <w:rsid w:val="3FAD1F43"/>
    <w:rsid w:val="3FC785EB"/>
    <w:rsid w:val="3FFCE471"/>
    <w:rsid w:val="3FFFAEEB"/>
    <w:rsid w:val="43EFECD8"/>
    <w:rsid w:val="45FA3B76"/>
    <w:rsid w:val="474B1756"/>
    <w:rsid w:val="47EB64EC"/>
    <w:rsid w:val="48AFD13D"/>
    <w:rsid w:val="4B75B20F"/>
    <w:rsid w:val="4BFF91B8"/>
    <w:rsid w:val="4CF54C7E"/>
    <w:rsid w:val="4DCE7C3A"/>
    <w:rsid w:val="4DEE7869"/>
    <w:rsid w:val="4DFA4DB1"/>
    <w:rsid w:val="4E77921F"/>
    <w:rsid w:val="4FFA2966"/>
    <w:rsid w:val="4FFA9592"/>
    <w:rsid w:val="526C35F9"/>
    <w:rsid w:val="537BB259"/>
    <w:rsid w:val="55FEB14F"/>
    <w:rsid w:val="560B7449"/>
    <w:rsid w:val="567994C4"/>
    <w:rsid w:val="57F87EE9"/>
    <w:rsid w:val="59E77E1E"/>
    <w:rsid w:val="5ADF7B14"/>
    <w:rsid w:val="5AF78554"/>
    <w:rsid w:val="5B3E1313"/>
    <w:rsid w:val="5B6DBF76"/>
    <w:rsid w:val="5BF98B88"/>
    <w:rsid w:val="5D9F74AF"/>
    <w:rsid w:val="5DCA2794"/>
    <w:rsid w:val="5DCA9FB8"/>
    <w:rsid w:val="5DE7767E"/>
    <w:rsid w:val="5E7461A1"/>
    <w:rsid w:val="5EBFFA5F"/>
    <w:rsid w:val="5EFE569A"/>
    <w:rsid w:val="5EFFCDBB"/>
    <w:rsid w:val="5F3F4745"/>
    <w:rsid w:val="5F7D6E17"/>
    <w:rsid w:val="5FAFE2B0"/>
    <w:rsid w:val="5FBF827C"/>
    <w:rsid w:val="5FD64E4D"/>
    <w:rsid w:val="5FED6792"/>
    <w:rsid w:val="5FEE3DAC"/>
    <w:rsid w:val="5FFB65E8"/>
    <w:rsid w:val="5FFEC02B"/>
    <w:rsid w:val="5FFF66EA"/>
    <w:rsid w:val="614F33D6"/>
    <w:rsid w:val="633D52ED"/>
    <w:rsid w:val="65EC30DB"/>
    <w:rsid w:val="66E703A9"/>
    <w:rsid w:val="66FF0F2F"/>
    <w:rsid w:val="673EC51F"/>
    <w:rsid w:val="67F72060"/>
    <w:rsid w:val="697393C3"/>
    <w:rsid w:val="69B8DEA9"/>
    <w:rsid w:val="6BF798FD"/>
    <w:rsid w:val="6BFCD415"/>
    <w:rsid w:val="6BFE72BB"/>
    <w:rsid w:val="6DB1D366"/>
    <w:rsid w:val="6DBB71E0"/>
    <w:rsid w:val="6DDBBCB3"/>
    <w:rsid w:val="6DE52B46"/>
    <w:rsid w:val="6E0FBB34"/>
    <w:rsid w:val="6E6F2DED"/>
    <w:rsid w:val="6E7B1EC6"/>
    <w:rsid w:val="6EAFE8E3"/>
    <w:rsid w:val="6EC96BB8"/>
    <w:rsid w:val="6F442077"/>
    <w:rsid w:val="6F5BBF9B"/>
    <w:rsid w:val="6F7FA169"/>
    <w:rsid w:val="6F8FED59"/>
    <w:rsid w:val="6FBF1797"/>
    <w:rsid w:val="6FF7FB62"/>
    <w:rsid w:val="6FFF1B97"/>
    <w:rsid w:val="717F2B45"/>
    <w:rsid w:val="72F3EE6A"/>
    <w:rsid w:val="72FF6F10"/>
    <w:rsid w:val="735B08D8"/>
    <w:rsid w:val="73EAB1C4"/>
    <w:rsid w:val="743FCEAD"/>
    <w:rsid w:val="7477E344"/>
    <w:rsid w:val="74FB616C"/>
    <w:rsid w:val="767CAF6B"/>
    <w:rsid w:val="774E195C"/>
    <w:rsid w:val="7753E5F9"/>
    <w:rsid w:val="777D07CC"/>
    <w:rsid w:val="77D60EE3"/>
    <w:rsid w:val="77EFFC17"/>
    <w:rsid w:val="77EFFE9C"/>
    <w:rsid w:val="77F79145"/>
    <w:rsid w:val="78684BE5"/>
    <w:rsid w:val="79FEE7D3"/>
    <w:rsid w:val="7A4EE33E"/>
    <w:rsid w:val="7AF5C099"/>
    <w:rsid w:val="7AFED0FA"/>
    <w:rsid w:val="7B3F076D"/>
    <w:rsid w:val="7B6E052B"/>
    <w:rsid w:val="7BB6EB00"/>
    <w:rsid w:val="7BBF53E5"/>
    <w:rsid w:val="7BDD502C"/>
    <w:rsid w:val="7BDE33ED"/>
    <w:rsid w:val="7BE36669"/>
    <w:rsid w:val="7BEBF37B"/>
    <w:rsid w:val="7BFDF21C"/>
    <w:rsid w:val="7BFF95B1"/>
    <w:rsid w:val="7CDDF027"/>
    <w:rsid w:val="7DAB983E"/>
    <w:rsid w:val="7DCB0080"/>
    <w:rsid w:val="7DDC2E3E"/>
    <w:rsid w:val="7DF88A08"/>
    <w:rsid w:val="7DFB722E"/>
    <w:rsid w:val="7E2B1FF9"/>
    <w:rsid w:val="7E7CBE78"/>
    <w:rsid w:val="7E7F0B8A"/>
    <w:rsid w:val="7EE083BB"/>
    <w:rsid w:val="7EFD90D2"/>
    <w:rsid w:val="7EFDA52C"/>
    <w:rsid w:val="7F3CB227"/>
    <w:rsid w:val="7F5D3AE9"/>
    <w:rsid w:val="7F5DBF3B"/>
    <w:rsid w:val="7F6ACC98"/>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FE19D0"/>
    <w:rsid w:val="7FFE2FCA"/>
    <w:rsid w:val="7FFF93F0"/>
    <w:rsid w:val="7FFFB7EE"/>
    <w:rsid w:val="87DF8811"/>
    <w:rsid w:val="89BF3902"/>
    <w:rsid w:val="8A2FC10B"/>
    <w:rsid w:val="8BFF55CC"/>
    <w:rsid w:val="8EDF7CC8"/>
    <w:rsid w:val="94DFD3A3"/>
    <w:rsid w:val="982FDDDF"/>
    <w:rsid w:val="9B247D36"/>
    <w:rsid w:val="9B69B934"/>
    <w:rsid w:val="9B8F52BC"/>
    <w:rsid w:val="9DFFF448"/>
    <w:rsid w:val="9FE546BE"/>
    <w:rsid w:val="9FF615A7"/>
    <w:rsid w:val="A3FB3A69"/>
    <w:rsid w:val="A5FC4150"/>
    <w:rsid w:val="A9DEDE6F"/>
    <w:rsid w:val="AB3DE1A5"/>
    <w:rsid w:val="AB63CC6F"/>
    <w:rsid w:val="AF7A8B5D"/>
    <w:rsid w:val="AF9DDAE3"/>
    <w:rsid w:val="AFB1CD8E"/>
    <w:rsid w:val="AFEDD6CF"/>
    <w:rsid w:val="B2EFCE74"/>
    <w:rsid w:val="B3EFEB79"/>
    <w:rsid w:val="B66EC502"/>
    <w:rsid w:val="B773AE2E"/>
    <w:rsid w:val="B776EA21"/>
    <w:rsid w:val="B77D8542"/>
    <w:rsid w:val="B797295C"/>
    <w:rsid w:val="B7F5421F"/>
    <w:rsid w:val="BB7EFBFF"/>
    <w:rsid w:val="BBBF9850"/>
    <w:rsid w:val="BBDBBDD9"/>
    <w:rsid w:val="BBFFB61D"/>
    <w:rsid w:val="BC9FE04F"/>
    <w:rsid w:val="BCDF168C"/>
    <w:rsid w:val="BD1BFF99"/>
    <w:rsid w:val="BD9F28FC"/>
    <w:rsid w:val="BDF9D270"/>
    <w:rsid w:val="BDFF9A23"/>
    <w:rsid w:val="BDFF9BEE"/>
    <w:rsid w:val="BE1F537A"/>
    <w:rsid w:val="BEDF2B36"/>
    <w:rsid w:val="BF79CB2F"/>
    <w:rsid w:val="BFC851AD"/>
    <w:rsid w:val="BFEDCD33"/>
    <w:rsid w:val="BFEF4579"/>
    <w:rsid w:val="BFFDA203"/>
    <w:rsid w:val="BFFF1685"/>
    <w:rsid w:val="BFFF44B8"/>
    <w:rsid w:val="BFFF640E"/>
    <w:rsid w:val="BFFFEE72"/>
    <w:rsid w:val="C3EFC31C"/>
    <w:rsid w:val="C6D38706"/>
    <w:rsid w:val="C7CF5665"/>
    <w:rsid w:val="CBBF1FFE"/>
    <w:rsid w:val="CEF60B20"/>
    <w:rsid w:val="CFFBD3A3"/>
    <w:rsid w:val="D3F3E912"/>
    <w:rsid w:val="D5F2C785"/>
    <w:rsid w:val="DA50B742"/>
    <w:rsid w:val="DA9FAF70"/>
    <w:rsid w:val="DBDF356D"/>
    <w:rsid w:val="DCFF7761"/>
    <w:rsid w:val="DD9DBF7E"/>
    <w:rsid w:val="DDAEDD58"/>
    <w:rsid w:val="DDF1FE9E"/>
    <w:rsid w:val="DDF763B8"/>
    <w:rsid w:val="DEDF392C"/>
    <w:rsid w:val="DEFD19A8"/>
    <w:rsid w:val="DF5F3C47"/>
    <w:rsid w:val="DFBE9AD1"/>
    <w:rsid w:val="DFDE31CA"/>
    <w:rsid w:val="DFE9AD32"/>
    <w:rsid w:val="DFEDF162"/>
    <w:rsid w:val="DFF654E6"/>
    <w:rsid w:val="DFF93BAF"/>
    <w:rsid w:val="DFFB64C6"/>
    <w:rsid w:val="DFFC6F8B"/>
    <w:rsid w:val="DFFD4084"/>
    <w:rsid w:val="DFFD6310"/>
    <w:rsid w:val="DFFDC5E5"/>
    <w:rsid w:val="DFFED4E3"/>
    <w:rsid w:val="DFFF28EA"/>
    <w:rsid w:val="DFFF4FF0"/>
    <w:rsid w:val="E2F70324"/>
    <w:rsid w:val="E39D8126"/>
    <w:rsid w:val="E6FD078D"/>
    <w:rsid w:val="E7F5D6B7"/>
    <w:rsid w:val="E7FE621A"/>
    <w:rsid w:val="EA1F6B78"/>
    <w:rsid w:val="EAFF8685"/>
    <w:rsid w:val="EAFFF2A8"/>
    <w:rsid w:val="EBF6F1D3"/>
    <w:rsid w:val="ECD71B61"/>
    <w:rsid w:val="EDEA5796"/>
    <w:rsid w:val="EE4D17FB"/>
    <w:rsid w:val="EEBF36EC"/>
    <w:rsid w:val="EEDC6276"/>
    <w:rsid w:val="EEEF4FAF"/>
    <w:rsid w:val="EEFB24EB"/>
    <w:rsid w:val="EEFE491F"/>
    <w:rsid w:val="EF1850D8"/>
    <w:rsid w:val="EF3BBF8E"/>
    <w:rsid w:val="EF7FD0FC"/>
    <w:rsid w:val="EF99764E"/>
    <w:rsid w:val="EFBF1DE1"/>
    <w:rsid w:val="EFED839E"/>
    <w:rsid w:val="EFEFEC02"/>
    <w:rsid w:val="EFF83152"/>
    <w:rsid w:val="EFFA99FF"/>
    <w:rsid w:val="F0CFAFC2"/>
    <w:rsid w:val="F2FAF0D5"/>
    <w:rsid w:val="F3FFCFF2"/>
    <w:rsid w:val="F57601C9"/>
    <w:rsid w:val="F5DADC69"/>
    <w:rsid w:val="F5FB765B"/>
    <w:rsid w:val="F5FFE40B"/>
    <w:rsid w:val="F6C32A0E"/>
    <w:rsid w:val="F6EFBD7B"/>
    <w:rsid w:val="F75FF2C4"/>
    <w:rsid w:val="F77B6519"/>
    <w:rsid w:val="F797DCBF"/>
    <w:rsid w:val="F7AE110F"/>
    <w:rsid w:val="F7CF0BCD"/>
    <w:rsid w:val="F7FE925D"/>
    <w:rsid w:val="F7FEAE61"/>
    <w:rsid w:val="F97DD158"/>
    <w:rsid w:val="FAF6E9E8"/>
    <w:rsid w:val="FB8AD7FF"/>
    <w:rsid w:val="FBB5EF1E"/>
    <w:rsid w:val="FBB75CDF"/>
    <w:rsid w:val="FBDB3F3F"/>
    <w:rsid w:val="FBE4D194"/>
    <w:rsid w:val="FBE50DD8"/>
    <w:rsid w:val="FBF61EA9"/>
    <w:rsid w:val="FBF76839"/>
    <w:rsid w:val="FBFC6FD2"/>
    <w:rsid w:val="FC3F7632"/>
    <w:rsid w:val="FD33C82D"/>
    <w:rsid w:val="FD5DA4A4"/>
    <w:rsid w:val="FD8FC1B3"/>
    <w:rsid w:val="FDF1B3C5"/>
    <w:rsid w:val="FDFD47E2"/>
    <w:rsid w:val="FDFD730E"/>
    <w:rsid w:val="FDFFD4EC"/>
    <w:rsid w:val="FEA7E840"/>
    <w:rsid w:val="FEB39DCB"/>
    <w:rsid w:val="FEF72390"/>
    <w:rsid w:val="FEFDC0A0"/>
    <w:rsid w:val="FEFF1030"/>
    <w:rsid w:val="FEFF78DD"/>
    <w:rsid w:val="FF45703F"/>
    <w:rsid w:val="FF4F5B70"/>
    <w:rsid w:val="FF5AA7C3"/>
    <w:rsid w:val="FF76EDB0"/>
    <w:rsid w:val="FF7CAAFB"/>
    <w:rsid w:val="FF7F0475"/>
    <w:rsid w:val="FF7FFE17"/>
    <w:rsid w:val="FFAD4393"/>
    <w:rsid w:val="FFAF41A9"/>
    <w:rsid w:val="FFB71444"/>
    <w:rsid w:val="FFBF3B37"/>
    <w:rsid w:val="FFD5AAEE"/>
    <w:rsid w:val="FFD62C74"/>
    <w:rsid w:val="FFDD5ED7"/>
    <w:rsid w:val="FFDFB28D"/>
    <w:rsid w:val="FFEE0636"/>
    <w:rsid w:val="FFF6B1EE"/>
    <w:rsid w:val="FFF72E91"/>
    <w:rsid w:val="FFF9403F"/>
    <w:rsid w:val="FFF99214"/>
    <w:rsid w:val="FFFB6BEC"/>
    <w:rsid w:val="FFFE1221"/>
    <w:rsid w:val="FFFF0D2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6776</Words>
  <Characters>38855</Characters>
  <Paragraphs>195</Paragraphs>
  <TotalTime>65</TotalTime>
  <ScaleCrop>false</ScaleCrop>
  <LinksUpToDate>false</LinksUpToDate>
  <CharactersWithSpaces>45200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2022-02-22T11:28:00Z</dcterms:created>
  <dc:creator>alan</dc:creator>
  <cp:lastModifiedBy>alan</cp:lastModifiedBy>
  <dcterms:modified xsi:type="dcterms:W3CDTF">2022-07-20T20:13:55Z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