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nos protótipos</w:t>
      </w:r>
      <w:r>
        <w:rPr>
          <w:rFonts w:hint="default" w:ascii="Arial" w:hAnsi="Arial" w:cs="Arial"/>
          <w:b w:val="0"/>
          <w:bCs w:val="0"/>
          <w:sz w:val="24"/>
          <w:szCs w:val="24"/>
          <w:lang w:val="pt-PT"/>
        </w:rPr>
        <w:t xml:space="preserve">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04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2.3.2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highlight w:val="yellow"/>
          <w:lang w:val="pt-PT"/>
        </w:rPr>
        <w:t>(Os dois textos abaixo estão em stand-by onde definiremos futuramente se o trabalho vai se basear ou não na abordagem estatística - definido na reunião do dia 12/05)</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lang w:val="pt-PT"/>
        </w:rPr>
        <w:t xml:space="preserve">datasets </w:t>
      </w:r>
      <w:r>
        <w:rPr>
          <w:rFonts w:hint="default" w:ascii="Arial" w:hAnsi="Arial" w:cs="Arial"/>
          <w:b w:val="0"/>
          <w:bCs w:val="0"/>
          <w:i w:val="0"/>
          <w:iCs w:val="0"/>
          <w:sz w:val="24"/>
          <w:szCs w:val="24"/>
          <w:lang w:val="pt-PT"/>
        </w:rPr>
        <w:t>e</w:t>
      </w:r>
      <w:r>
        <w:rPr>
          <w:rFonts w:hint="default" w:ascii="Arial" w:hAnsi="Arial" w:cs="Arial"/>
          <w:b w:val="0"/>
          <w:bCs w:val="0"/>
          <w:sz w:val="24"/>
          <w:szCs w:val="24"/>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Tendo em vista a falta de estudos relacionados a avaliação de histórias de usuário utilizando PLN, será realizado um estudo comparativo entre algumas tecnologias. Para que isso seja possível, serão levantadas informações utilizando algumas diretrizes de um mapeamento sistemático. Um mapeamento sistemático tem como objetivo representar uma área de pesquisa, descrevendo tópicos que serão abordados no estudo (BUDGEN et. al. 2008).</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não é levantar todas as tecnologias presentes no mercado de PLN, mas sim as mais utilizadas e que atendam as questões relacionadas 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questões de pesquisa que auxiliará no processo de busca de tecnologias de PLN. Os objetivos consistem em encontrar tecnologias que atendam a avaliação de histórias de usuário em português e inglês.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val="0"/>
          <w:bCs w:val="0"/>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A tecnologia possui suporte para os idiomas português e inglês?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Tem como objetivo verificar se a tecnologia poderá processar histórias de usuário nos idiomas português e inglês.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A tecnologia possui documentação?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se a tecnologia possui documentação para facilitar no desenvolvimento dos protótipos.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A tecnologia se mantém atualizada?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se a tecnologia possui atualizações periódicas a fim de corrigir eventuais </w:t>
      </w:r>
      <w:r>
        <w:rPr>
          <w:rFonts w:hint="default" w:ascii="Arial" w:hAnsi="Arial" w:cs="Arial"/>
          <w:b w:val="0"/>
          <w:bCs w:val="0"/>
          <w:i/>
          <w:iCs/>
          <w:sz w:val="24"/>
          <w:szCs w:val="24"/>
          <w:lang w:val="pt-PT"/>
        </w:rPr>
        <w:t xml:space="preserve">bugs </w:t>
      </w:r>
      <w:r>
        <w:rPr>
          <w:rFonts w:hint="default" w:ascii="Arial" w:hAnsi="Arial" w:cs="Arial"/>
          <w:b w:val="0"/>
          <w:bCs w:val="0"/>
          <w:i w:val="0"/>
          <w:iCs w:val="0"/>
          <w:sz w:val="24"/>
          <w:szCs w:val="24"/>
          <w:lang w:val="pt-PT"/>
        </w:rPr>
        <w:t>ou até mesmo incluir novas funcionalidades.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foram realizadas buscas no Google e no Github na data de </w:t>
      </w:r>
      <w:r>
        <w:rPr>
          <w:rFonts w:hint="default" w:ascii="Arial" w:hAnsi="Arial" w:cs="Arial"/>
          <w:b w:val="0"/>
          <w:bCs w:val="0"/>
          <w:sz w:val="24"/>
          <w:szCs w:val="24"/>
          <w:highlight w:val="yellow"/>
          <w:lang w:val="pt-PT"/>
        </w:rPr>
        <w:t>XX de XXXXX de 2022</w:t>
      </w:r>
      <w:r>
        <w:rPr>
          <w:rFonts w:hint="default" w:ascii="Arial" w:hAnsi="Arial" w:cs="Arial"/>
          <w:b w:val="0"/>
          <w:bCs w:val="0"/>
          <w:sz w:val="24"/>
          <w:szCs w:val="24"/>
          <w:highlight w:val="none"/>
          <w:lang w:val="pt-PT"/>
        </w:rPr>
        <w:t xml:space="preserve">.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“NLP Open Source Tools” </w:t>
      </w:r>
      <w:r>
        <w:rPr>
          <w:rFonts w:hint="default" w:ascii="Arial" w:hAnsi="Arial" w:cs="Arial"/>
          <w:b/>
          <w:bCs/>
          <w:i w:val="0"/>
          <w:iCs w:val="0"/>
          <w:sz w:val="24"/>
          <w:szCs w:val="24"/>
          <w:highlight w:val="none"/>
          <w:lang w:val="pt-PT"/>
        </w:rPr>
        <w:t>OR</w:t>
      </w:r>
      <w:r>
        <w:rPr>
          <w:rFonts w:hint="default" w:ascii="Arial" w:hAnsi="Arial" w:cs="Arial"/>
          <w:b w:val="0"/>
          <w:bCs w:val="0"/>
          <w:i w:val="0"/>
          <w:iCs w:val="0"/>
          <w:sz w:val="24"/>
          <w:szCs w:val="24"/>
          <w:highlight w:val="none"/>
          <w:lang w:val="pt-PT"/>
        </w:rPr>
        <w:t xml:space="preserve"> </w:t>
      </w:r>
      <w:r>
        <w:rPr>
          <w:rFonts w:hint="default" w:ascii="Arial" w:hAnsi="Arial" w:cs="Arial"/>
          <w:b w:val="0"/>
          <w:bCs w:val="0"/>
          <w:i/>
          <w:iCs/>
          <w:sz w:val="24"/>
          <w:szCs w:val="24"/>
          <w:highlight w:val="none"/>
          <w:lang w:val="pt-PT"/>
        </w:rPr>
        <w:t>“Ferramentas para PLN Open Source”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bookmarkStart w:id="0" w:name="_GoBack"/>
      <w:r>
        <w:rPr>
          <w:rFonts w:hint="default" w:ascii="Arial" w:hAnsi="Arial" w:cs="Arial"/>
          <w:b w:val="0"/>
          <w:bCs w:val="0"/>
          <w:i/>
          <w:iCs/>
          <w:sz w:val="24"/>
          <w:szCs w:val="24"/>
          <w:highlight w:val="none"/>
          <w:lang w:val="pt-PT"/>
        </w:rPr>
        <w:t>open source</w:t>
      </w:r>
      <w:bookmarkEnd w:id="0"/>
      <w:r>
        <w:rPr>
          <w:rFonts w:hint="default" w:ascii="Arial" w:hAnsi="Arial" w:cs="Arial"/>
          <w:b w:val="0"/>
          <w:bCs w:val="0"/>
          <w:sz w:val="24"/>
          <w:szCs w:val="24"/>
          <w:highlight w:val="none"/>
          <w:lang w:val="pt-PT"/>
        </w:rPr>
        <w:t xml:space="preserve"> para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Resultados</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79D1D8E"/>
    <w:rsid w:val="17FE93A9"/>
    <w:rsid w:val="1B6D5D80"/>
    <w:rsid w:val="1CBDA3F9"/>
    <w:rsid w:val="1CEB92A0"/>
    <w:rsid w:val="27EDE09A"/>
    <w:rsid w:val="29BA7B62"/>
    <w:rsid w:val="2D3EAE0D"/>
    <w:rsid w:val="2EFDFBE1"/>
    <w:rsid w:val="2F5F9329"/>
    <w:rsid w:val="37E458B9"/>
    <w:rsid w:val="39BA4AF7"/>
    <w:rsid w:val="3AD94B39"/>
    <w:rsid w:val="3C7BE0E1"/>
    <w:rsid w:val="3DFF6BD7"/>
    <w:rsid w:val="3EBDF007"/>
    <w:rsid w:val="3EBF50DE"/>
    <w:rsid w:val="3EFEC05E"/>
    <w:rsid w:val="3F32C3B1"/>
    <w:rsid w:val="3FA731BA"/>
    <w:rsid w:val="3FC785EB"/>
    <w:rsid w:val="43EFECD8"/>
    <w:rsid w:val="45FA3B76"/>
    <w:rsid w:val="48AFD13D"/>
    <w:rsid w:val="4BFF91B8"/>
    <w:rsid w:val="4CF54C7E"/>
    <w:rsid w:val="4DCE7C3A"/>
    <w:rsid w:val="4DFA4DB1"/>
    <w:rsid w:val="4E77921F"/>
    <w:rsid w:val="4FFA9592"/>
    <w:rsid w:val="537BB259"/>
    <w:rsid w:val="567994C4"/>
    <w:rsid w:val="57F87EE9"/>
    <w:rsid w:val="5ADF7B14"/>
    <w:rsid w:val="5B6DBF76"/>
    <w:rsid w:val="5DCA2794"/>
    <w:rsid w:val="5DCA9FB8"/>
    <w:rsid w:val="5DE7767E"/>
    <w:rsid w:val="5EBFFA5F"/>
    <w:rsid w:val="5EFFCDBB"/>
    <w:rsid w:val="5F3F4745"/>
    <w:rsid w:val="5FEE3DAC"/>
    <w:rsid w:val="5FFB65E8"/>
    <w:rsid w:val="633D52ED"/>
    <w:rsid w:val="65EC30DB"/>
    <w:rsid w:val="673EC51F"/>
    <w:rsid w:val="67F72060"/>
    <w:rsid w:val="6BFE72BB"/>
    <w:rsid w:val="6DB1D366"/>
    <w:rsid w:val="6DDBBCB3"/>
    <w:rsid w:val="6DE52B46"/>
    <w:rsid w:val="6E0FBB34"/>
    <w:rsid w:val="6E6F2DED"/>
    <w:rsid w:val="6EAFE8E3"/>
    <w:rsid w:val="6EC96BB8"/>
    <w:rsid w:val="6F442077"/>
    <w:rsid w:val="6F5BBF9B"/>
    <w:rsid w:val="6FF7FB62"/>
    <w:rsid w:val="717F2B45"/>
    <w:rsid w:val="72F3EE6A"/>
    <w:rsid w:val="72FF6F10"/>
    <w:rsid w:val="7477E344"/>
    <w:rsid w:val="767CAF6B"/>
    <w:rsid w:val="774E195C"/>
    <w:rsid w:val="777D07CC"/>
    <w:rsid w:val="77D60EE3"/>
    <w:rsid w:val="77EFFE9C"/>
    <w:rsid w:val="77F79145"/>
    <w:rsid w:val="78684BE5"/>
    <w:rsid w:val="7A4EE33E"/>
    <w:rsid w:val="7AF5C099"/>
    <w:rsid w:val="7B6E052B"/>
    <w:rsid w:val="7BB6EB00"/>
    <w:rsid w:val="7BBF53E5"/>
    <w:rsid w:val="7BDE33ED"/>
    <w:rsid w:val="7BE36669"/>
    <w:rsid w:val="7BEBF37B"/>
    <w:rsid w:val="7BFF95B1"/>
    <w:rsid w:val="7DAB983E"/>
    <w:rsid w:val="7DDC2E3E"/>
    <w:rsid w:val="7DF88A08"/>
    <w:rsid w:val="7DFB722E"/>
    <w:rsid w:val="7E7CBE78"/>
    <w:rsid w:val="7EFD90D2"/>
    <w:rsid w:val="7F3CB227"/>
    <w:rsid w:val="7F6F3345"/>
    <w:rsid w:val="7F7FB186"/>
    <w:rsid w:val="7F7FB7D7"/>
    <w:rsid w:val="7F7FF197"/>
    <w:rsid w:val="7FAF37D8"/>
    <w:rsid w:val="7FB70477"/>
    <w:rsid w:val="7FBBDC03"/>
    <w:rsid w:val="7FBF16F4"/>
    <w:rsid w:val="7FC244DC"/>
    <w:rsid w:val="7FCD4920"/>
    <w:rsid w:val="7FDDBD72"/>
    <w:rsid w:val="7FE15C75"/>
    <w:rsid w:val="7FFE19D0"/>
    <w:rsid w:val="7FFE2FCA"/>
    <w:rsid w:val="7FFF93F0"/>
    <w:rsid w:val="7FFFB7EE"/>
    <w:rsid w:val="87DF8811"/>
    <w:rsid w:val="8A2FC10B"/>
    <w:rsid w:val="94DFD3A3"/>
    <w:rsid w:val="982FDDDF"/>
    <w:rsid w:val="9B247D36"/>
    <w:rsid w:val="9B69B934"/>
    <w:rsid w:val="9DFFF448"/>
    <w:rsid w:val="9FF615A7"/>
    <w:rsid w:val="A3FB3A69"/>
    <w:rsid w:val="A5FC4150"/>
    <w:rsid w:val="A9DEDE6F"/>
    <w:rsid w:val="AB63CC6F"/>
    <w:rsid w:val="AF9DDAE3"/>
    <w:rsid w:val="AFB1CD8E"/>
    <w:rsid w:val="B3EFEB79"/>
    <w:rsid w:val="B66EC502"/>
    <w:rsid w:val="B7F5421F"/>
    <w:rsid w:val="BB7EFBFF"/>
    <w:rsid w:val="BBDBBDD9"/>
    <w:rsid w:val="BC9FE04F"/>
    <w:rsid w:val="BCDF168C"/>
    <w:rsid w:val="BD1BFF99"/>
    <w:rsid w:val="BD9F28FC"/>
    <w:rsid w:val="BDF9D270"/>
    <w:rsid w:val="BDFF9A23"/>
    <w:rsid w:val="BDFF9BEE"/>
    <w:rsid w:val="BE1F537A"/>
    <w:rsid w:val="BFEF4579"/>
    <w:rsid w:val="BFFF1685"/>
    <w:rsid w:val="BFFF640E"/>
    <w:rsid w:val="BFFFEE72"/>
    <w:rsid w:val="C3EFC31C"/>
    <w:rsid w:val="C7CF5665"/>
    <w:rsid w:val="CBBF1FFE"/>
    <w:rsid w:val="CFFBD3A3"/>
    <w:rsid w:val="D3F3E912"/>
    <w:rsid w:val="D5F2C785"/>
    <w:rsid w:val="DA9FAF70"/>
    <w:rsid w:val="DBDF356D"/>
    <w:rsid w:val="DEDF392C"/>
    <w:rsid w:val="DF5F3C47"/>
    <w:rsid w:val="DFBE9AD1"/>
    <w:rsid w:val="DFDE31CA"/>
    <w:rsid w:val="DFE9AD32"/>
    <w:rsid w:val="DFF654E6"/>
    <w:rsid w:val="DFFD4084"/>
    <w:rsid w:val="DFFED4E3"/>
    <w:rsid w:val="E2F70324"/>
    <w:rsid w:val="E39D8126"/>
    <w:rsid w:val="E6FD078D"/>
    <w:rsid w:val="E7FE621A"/>
    <w:rsid w:val="EAFF8685"/>
    <w:rsid w:val="EE4D17FB"/>
    <w:rsid w:val="EEBF36EC"/>
    <w:rsid w:val="EEEF4FAF"/>
    <w:rsid w:val="EEFB24EB"/>
    <w:rsid w:val="EF1850D8"/>
    <w:rsid w:val="EF3BBF8E"/>
    <w:rsid w:val="EF7FD0FC"/>
    <w:rsid w:val="EFBF1DE1"/>
    <w:rsid w:val="EFED839E"/>
    <w:rsid w:val="EFEFEC02"/>
    <w:rsid w:val="EFF83152"/>
    <w:rsid w:val="F5DADC69"/>
    <w:rsid w:val="F6C32A0E"/>
    <w:rsid w:val="F6EFBD7B"/>
    <w:rsid w:val="F75FF2C4"/>
    <w:rsid w:val="F77B6519"/>
    <w:rsid w:val="F7AE110F"/>
    <w:rsid w:val="F7CF0BCD"/>
    <w:rsid w:val="F7FE925D"/>
    <w:rsid w:val="F7FEAE61"/>
    <w:rsid w:val="F97DD158"/>
    <w:rsid w:val="FB8AD7FF"/>
    <w:rsid w:val="FBB5EF1E"/>
    <w:rsid w:val="FBB75CDF"/>
    <w:rsid w:val="FBDB3F3F"/>
    <w:rsid w:val="FBE4D194"/>
    <w:rsid w:val="FD33C82D"/>
    <w:rsid w:val="FD5DA4A4"/>
    <w:rsid w:val="FDF1B3C5"/>
    <w:rsid w:val="FDFD47E2"/>
    <w:rsid w:val="FDFD730E"/>
    <w:rsid w:val="FEB39DCB"/>
    <w:rsid w:val="FEFF78DD"/>
    <w:rsid w:val="FF45703F"/>
    <w:rsid w:val="FF4F5B70"/>
    <w:rsid w:val="FF5AA7C3"/>
    <w:rsid w:val="FF76EDB0"/>
    <w:rsid w:val="FF7CAAFB"/>
    <w:rsid w:val="FF7F0475"/>
    <w:rsid w:val="FFAD4393"/>
    <w:rsid w:val="FFAF41A9"/>
    <w:rsid w:val="FFB71444"/>
    <w:rsid w:val="FFD62C74"/>
    <w:rsid w:val="FFDD5ED7"/>
    <w:rsid w:val="FFEE0636"/>
    <w:rsid w:val="FFF72E91"/>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6550</Words>
  <Characters>37485</Characters>
  <Paragraphs>195</Paragraphs>
  <TotalTime>37</TotalTime>
  <ScaleCrop>false</ScaleCrop>
  <LinksUpToDate>false</LinksUpToDate>
  <CharactersWithSpaces>43602</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2022-02-21T18:28:00Z</dcterms:created>
  <dc:creator>alan</dc:creator>
  <cp:lastModifiedBy>alan</cp:lastModifiedBy>
  <dcterms:modified xsi:type="dcterms:W3CDTF">2022-05-25T15:53:22Z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