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t>UNIVERSIDAD / INSTITUCIÓN: UNICOMFACAUCA</w:t>
      </w:r>
    </w:p>
    <w:p>
      <w:pPr>
        <w:jc w:val="center"/>
      </w:pPr>
      <w:r>
        <w:t>FACULTAD DE INGENIERÍA</w:t>
      </w:r>
    </w:p>
    <w:p>
      <w:pPr>
        <w:jc w:val="center"/>
      </w:pPr>
      <w:r>
        <w:t>PROGRAMAS DE INGENIERÍA DE SISTEMAS E INGENIERÍA MECATRÓNICA</w:t>
      </w:r>
    </w:p>
    <w:p>
      <w:r/>
    </w:p>
    <w:p>
      <w:r/>
    </w:p>
    <w:p>
      <w:r/>
    </w:p>
    <w:p>
      <w:pPr>
        <w:jc w:val="center"/>
      </w:pPr>
      <w:r>
        <w:rPr>
          <w:b/>
          <w:sz w:val="32"/>
        </w:rPr>
        <w:t>PROPUESTA DE PROYECTO ACADÉMICO</w:t>
      </w:r>
    </w:p>
    <w:p>
      <w:pPr>
        <w:jc w:val="center"/>
      </w:pPr>
      <w:r>
        <w:rPr>
          <w:b/>
          <w:sz w:val="28"/>
        </w:rPr>
        <w:t>Sistema de analítica predictiva para apoyar decisiones de abastecimiento eléctrico y evaluar alternativas de resiliencia energética en el departamento del Cauca</w:t>
      </w:r>
    </w:p>
    <w:p>
      <w:r/>
    </w:p>
    <w:p>
      <w:r/>
    </w:p>
    <w:p>
      <w:r/>
    </w:p>
    <w:p>
      <w:pPr>
        <w:jc w:val="center"/>
      </w:pPr>
      <w:r>
        <w:t>Diplomado en Energía Circular Inteligente 5.0</w:t>
      </w:r>
    </w:p>
    <w:p>
      <w:pPr>
        <w:jc w:val="center"/>
      </w:pPr>
      <w:r>
        <w:t>Transición energética, inteligencia artificial local y tecnologías generativas</w:t>
      </w:r>
    </w:p>
    <w:p>
      <w:r/>
    </w:p>
    <w:p>
      <w:r/>
    </w:p>
    <w:p>
      <w:r/>
    </w:p>
    <w:p>
      <w:pPr>
        <w:jc w:val="center"/>
      </w:pPr>
      <w:r>
        <w:t>Autor(a): [Nombre del estudiante]</w:t>
      </w:r>
    </w:p>
    <w:p>
      <w:pPr>
        <w:jc w:val="center"/>
      </w:pPr>
      <w:r>
        <w:t>Director(a) o asesor(a): [Nombre, si corresponde]</w:t>
      </w:r>
    </w:p>
    <w:p>
      <w:pPr>
        <w:jc w:val="center"/>
      </w:pPr>
      <w:r>
        <w:t>Popayán, Cauca</w:t>
      </w:r>
    </w:p>
    <w:p>
      <w:pPr>
        <w:jc w:val="center"/>
      </w:pPr>
      <w:r>
        <w:t>2026</w:t>
      </w:r>
    </w:p>
    <w:p>
      <w:r>
        <w:br w:type="page"/>
      </w:r>
    </w:p>
    <w:p>
      <w:pPr>
        <w:pStyle w:val="Heading1"/>
      </w:pPr>
      <w:r>
        <w:t>Nota sobre presentación académica</w:t>
      </w:r>
    </w:p>
    <w:p>
      <w:r>
        <w:t>Este documento es una propuesta académica preliminar. Se emplea el sistema de citación autor-fecha de APA, séptima edición, como criterio de citación y elaboración de referencias. APA 7 no impone por sí sola una tabla de contenido para todos los trabajos estudiantiles; en esta propuesta se incluye por utilidad estructural. Antes de radicarla, deben verificarse el formato institucional vigente de Unicomfacauca, los requisitos del programa académico y las indicaciones del asesor. Los formatos institucionales localizados de 2016 no se asumen automáticamente como vigentes.</w:t>
      </w:r>
    </w:p>
    <w:p>
      <w:r>
        <w:t>Las normas legales se presentan como marco de referencia inicial y no sustituyen la verificación de vigencia, modificaciones, reglamentación técnica y aplicabilidad al caso concreto. No se presupone que la empresa, el tipo de usuario, la modalidad de contratación ni la capacidad de generación estén definidos; estos aspectos forman parte de la delimitación pendiente del estudio.</w:t>
      </w:r>
    </w:p>
    <w:p>
      <w:pPr>
        <w:pStyle w:val="Heading1"/>
      </w:pPr>
      <w:r>
        <w:t>Tabla de contenido</w:t>
      </w:r>
    </w:p>
    <w:p>
      <w:r>
        <w:t>Para actualizar la tabla de contenido automática en Microsoft Word: haga clic sobre ella y seleccione “Actualizar tabla” o “Actualizar campos” después de revisar los títulos y la paginación.</w:t>
      </w:r>
    </w:p>
    <w:p>
      <w:fldChar w:fldCharType="begin"/>
      <w:instrText xml:space="preserve"> TOC \o "1-3" \h \z \u </w:instrText>
      <w:fldChar w:fldCharType="separate">
        <w:t>Abra el documento en Word y actualice la tabla de contenido.</w:t>
      </w:fldChar>
      <w:fldChar w:fldCharType="end"/>
    </w:p>
    <w:p>
      <w:r>
        <w:br w:type="page"/>
      </w:r>
    </w:p>
    <w:p>
      <w:pPr>
        <w:pStyle w:val="Heading1"/>
      </w:pPr>
      <w:r>
        <w:t>Resumen</w:t>
      </w:r>
    </w:p>
    <w:p>
      <w:r>
        <w:t>La presente propuesta plantea el desarrollo de un sistema de analítica predictiva que estime el comportamiento futuro del precio de la energía eléctrica en bolsa en Colombia y genere información de apoyo para planificar decisiones de abastecimiento en el departamento del Cauca. El proyecto parte de la distinción entre el riesgo económico asociado con la volatilidad del precio y el riesgo operativo derivado de una interrupción física del suministro. Por esta razón, además del componente predictivo, se propone comparar alternativas de mitigación, entre ellas contratación de energía, eficiencia energética, gestión de la demanda, generación solar fotovoltaica, almacenamiento mediante baterías y, cuando las condiciones locales lo justifiquen, biomasa o biogás, pequeña hidroeléctrica, energía eólica y generación de respaldo con combustibles. La metodología contempla caracterización de la demanda, construcción de una línea base, recopilación y validación de datos, selección y evaluación de modelos, simulación retrospectiva y comparación técnico-económica de escenarios. La recomendación tecnológica final dependerá de la información real de una organización que deberá definirse como caso de estudio. El sistema no pretende garantizar precios futuros ni asegurar ahorros; busca apoyar decisiones mediante estimaciones, escenarios y métricas de incertidumbre.</w:t>
      </w:r>
    </w:p>
    <w:p>
      <w:r>
        <w:t>Palabras clave: analítica predictiva, precio de bolsa, mercado de energía mayorista, resiliencia energética, Cauca, almacenamiento, transición energética.</w:t>
      </w:r>
    </w:p>
    <w:p>
      <w:pPr>
        <w:pStyle w:val="Heading1"/>
      </w:pPr>
      <w:r>
        <w:t>Abstract</w:t>
      </w:r>
    </w:p>
    <w:p>
      <w:r>
        <w:t>This preliminary proposal aims to develop a predictive analytics system to estimate the future behavior of Colombia’s electricity spot-market price and support electricity procurement planning in the department of Cauca. It distinguishes economic exposure to price volatility from operational risk caused by physical supply interruptions. In addition to forecasting, the project will compare mitigation alternatives such as energy contracts, efficiency, demand management, solar photovoltaic generation, battery storage, and—where local conditions justify them—biomass or biogas, small hydropower, wind power, and fuel-based backup generation. The methodology includes demand characterization, an energy baseline, data collection and validation, model assessment, backtesting, and techno-economic comparison of scenarios. The final technology recommendation will depend on actual data from an organization to be selected as the case study. The system will not guarantee future prices or savings; it will provide estimates and decision-support scenarios.</w:t>
      </w:r>
    </w:p>
    <w:p>
      <w:r>
        <w:t>Keywords: predictive analytics, electricity spot price, wholesale electricity market, energy resilience, Cauca, storage, energy transition.</w:t>
      </w:r>
    </w:p>
    <w:p>
      <w:pPr>
        <w:pStyle w:val="Heading1"/>
      </w:pPr>
      <w:r>
        <w:t>1. Introducción</w:t>
      </w:r>
    </w:p>
    <w:p>
      <w:r>
        <w:t>La transformación del sector energético requiere combinar seguridad del abastecimiento, eficiencia, incorporación de nuevas tecnologías, gestión de información y reducción de impactos ambientales. En Colombia, la Ley 697 de 2001 promueve el uso racional y eficiente de la energía; la Ley 1715 de 2014 establece un marco para integrar fuentes no convencionales de energía, y la Ley 2099 de 2021 introduce medidas para impulsar la transición energética y dinamizar el mercado energético. Estas disposiciones ofrecen un marco para estudiar opciones de abastecimiento y gestión energética, sin que su sola existencia demuestre la viabilidad de una tecnología particular.</w:t>
      </w:r>
    </w:p>
    <w:p>
      <w:r>
        <w:t>El precio de bolsa es una señal económica del mercado mayorista, pero no equivale a una predicción de fallas físicas de red. Por tanto, el proyecto considera dos problemas diferenciados: la exposición financiera a variaciones del precio y la continuidad operativa cuando se interrumpe el suministro. La respuesta al primero puede incluir contratación, autogeneración, almacenamiento y desplazamiento de consumo; la respuesta al segundo requiere evaluar cargas críticas, autonomía, protecciones y sistemas de respaldo.</w:t>
      </w:r>
    </w:p>
    <w:p>
      <w:r>
        <w:t>La investigación se sitúa en el departamento del Cauca, considerando que las soluciones deben adaptarse a las características de la organización y de su localización. La solar fotovoltaica puede ser una alternativa de evaluación inicial; otras tecnologías, como la biomasa, el biogás, la pequeña hidroeléctrica y la eólica, deben incorporarse únicamente cuando exista evidencia suficiente de disponibilidad del recurso, viabilidad técnica, económica y ambiental.</w:t>
      </w:r>
    </w:p>
    <w:p>
      <w:r>
        <w:t>La propuesta se articula con el Diplomado en Energía Circular Inteligente 5.0 mediante el uso de datos, eficiencia energética, energías renovables, almacenamiento, economía circular, inteligencia artificial y un proyecto integrador. Si se exige el Plan Estratégico de Desarrollo Sostenible y Marketing como producto de certificación, este deberá incorporarse como componente estratégico adicional.</w:t>
      </w:r>
    </w:p>
    <w:p>
      <w:pPr>
        <w:pStyle w:val="Heading1"/>
      </w:pPr>
      <w:r>
        <w:t>2. Planteamiento del problema</w:t>
      </w:r>
    </w:p>
    <w:p>
      <w:pPr>
        <w:pStyle w:val="Heading2"/>
      </w:pPr>
      <w:r>
        <w:t>2.1. Descripción del problema</w:t>
      </w:r>
    </w:p>
    <w:p>
      <w:r>
        <w:t>Una organización que compra electricidad puede estar expuesta a variaciones del precio de bolsa según su modalidad de contratación, perfil de consumo y condiciones comerciales. Cuando los precios aumentan, la organización puede enfrentar mayores costos o incertidumbre presupuestal. Por otra parte, una interrupción de la red puede afectar procesos productivos o servicios esenciales aun cuando el precio de mercado no sea elevado.</w:t>
      </w:r>
    </w:p>
    <w:p>
      <w:r>
        <w:t>La dificultad que aborda esta propuesta es la ausencia, dentro del alcance que se definirá para el caso de estudio, de un mecanismo integrado que combine estimación del precio futuro, identificación de escenarios de alto costo y evaluación de opciones de abastecimiento y continuidad. La existencia y magnitud de esta brecha deberá verificarse mediante el diagnóstico inicial, sin asumir anticipadamente que la organización carece de sistemas o contratos adecuados.</w:t>
      </w:r>
    </w:p>
    <w:p>
      <w:pPr>
        <w:pStyle w:val="Heading2"/>
      </w:pPr>
      <w:r>
        <w:t>2.2. Delimitación territorial y del sistema</w:t>
      </w:r>
    </w:p>
    <w:p>
      <w:r>
        <w:t>El territorio de aplicación es el departamento del Cauca, con posibilidad de focalizar el caso en Popayán, Santander de Quilichao u otro municipio, una vez se seleccione la organización. La formación del precio de bolsa ocurre en el mercado eléctrico colombiano; por ello, el sistema estudiado tiene una dimensión territorial de aplicación y una dimensión nacional de mercado. Los actores y fuentes de información pertinentes pueden incluir el Ministerio de Minas y Energía, la Unidad de Planeación Minero Energética (UPME), la Comisión de Regulación de Energía y Gas (CREG), XM y la organización participante.</w:t>
      </w:r>
    </w:p>
    <w:p>
      <w:r>
        <w:t>La delimitación final deberá precisar: (a) organización y actividad económica; (b) tipo de usuario y modalidad de contratación; (c) periodo histórico disponible; (d) frecuencia de los datos; (e) horizonte de pronóstico; (f) variables accesibles; y (g) cargas críticas y autonomía deseada, si se evalúa respaldo físico.</w:t>
      </w:r>
    </w:p>
    <w:p>
      <w:pPr>
        <w:pStyle w:val="Heading2"/>
      </w:pPr>
      <w:r>
        <w:t>2.3. Pregunta de investigación</w:t>
      </w:r>
    </w:p>
    <w:p>
      <w:r>
        <w:t>¿Cómo desarrollar y evaluar un sistema de analítica predictiva que, mediante el procesamiento de variables históricas y relevantes del Mercado de Energía Mayorista colombiano, estime el comportamiento futuro del precio de la energía eléctrica en bolsa e identifique escenarios de alto costo, con el propósito de apoyar la planificación del abastecimiento y la comparación de alternativas de resiliencia energética para una organización del departamento del Cauca?</w:t>
      </w:r>
    </w:p>
    <w:p>
      <w:pPr>
        <w:pStyle w:val="Heading2"/>
      </w:pPr>
      <w:r>
        <w:t>2.4. Preguntas específicas</w:t>
      </w:r>
    </w:p>
    <w:p>
      <w:pPr>
        <w:pStyle w:val="ListNumber"/>
        <w:spacing w:line="360" w:lineRule="auto"/>
      </w:pPr>
      <w:r>
        <w:t>¿Qué variables históricas y operativas disponibles resultan pertinentes para estimar el comportamiento del precio de bolsa?</w:t>
      </w:r>
    </w:p>
    <w:p>
      <w:pPr>
        <w:pStyle w:val="ListNumber"/>
        <w:spacing w:line="360" w:lineRule="auto"/>
      </w:pPr>
      <w:r>
        <w:t>¿Qué técnicas de pronóstico ofrecen un desempeño adecuado frente a modelos de referencia sencillos?</w:t>
      </w:r>
    </w:p>
    <w:p>
      <w:pPr>
        <w:pStyle w:val="ListNumber"/>
        <w:spacing w:line="360" w:lineRule="auto"/>
      </w:pPr>
      <w:r>
        <w:t>¿Cómo pueden identificarse y comunicarse escenarios de precios elevados sin presentar el pronóstico como una certeza?</w:t>
      </w:r>
    </w:p>
    <w:p>
      <w:pPr>
        <w:pStyle w:val="ListNumber"/>
        <w:spacing w:line="360" w:lineRule="auto"/>
      </w:pPr>
      <w:r>
        <w:t>¿Qué alternativas de contratación, eficiencia, autogeneración, almacenamiento y respaldo son pertinentes para el perfil de consumo de la organización seleccionada?</w:t>
      </w:r>
    </w:p>
    <w:p>
      <w:pPr>
        <w:pStyle w:val="ListNumber"/>
        <w:spacing w:line="360" w:lineRule="auto"/>
      </w:pPr>
      <w:r>
        <w:t>¿Cómo se comparan los escenarios mediante indicadores técnicos, económicos y ambientales, con supuestos explícitos?</w:t>
      </w:r>
    </w:p>
    <w:p>
      <w:pPr>
        <w:pStyle w:val="ListNumber"/>
        <w:spacing w:line="360" w:lineRule="auto"/>
      </w:pPr>
      <w:r>
        <w:t>¿Qué limitaciones regulatorias, de datos, de operación y de incertidumbre deben declararse para el uso del sistema?</w:t>
      </w:r>
    </w:p>
    <w:p>
      <w:pPr>
        <w:pStyle w:val="Heading1"/>
      </w:pPr>
      <w:r>
        <w:t>3. Objetivos</w:t>
      </w:r>
    </w:p>
    <w:p>
      <w:pPr>
        <w:pStyle w:val="Heading2"/>
      </w:pPr>
      <w:r>
        <w:t>3.1. Objetivo general</w:t>
      </w:r>
    </w:p>
    <w:p>
      <w:r>
        <w:t>Desarrollar y evaluar un sistema de analítica predictiva que estime el comportamiento futuro del precio de la energía eléctrica en bolsa en Colombia e identifique escenarios de alto costo, para apoyar la planificación del abastecimiento y la evaluación de alternativas de resiliencia energética de una organización del departamento del Cauca.</w:t>
      </w:r>
    </w:p>
    <w:p>
      <w:pPr>
        <w:pStyle w:val="Heading2"/>
      </w:pPr>
      <w:r>
        <w:t>3.2. Objetivos específicos</w:t>
      </w:r>
    </w:p>
    <w:p>
      <w:pPr>
        <w:pStyle w:val="ListNumber"/>
        <w:spacing w:line="360" w:lineRule="auto"/>
      </w:pPr>
      <w:r>
        <w:t>Caracterizar el contexto energético, el perfil de consumo, la modalidad de abastecimiento y las necesidades operativas de la organización seleccionada.</w:t>
      </w:r>
    </w:p>
    <w:p>
      <w:pPr>
        <w:pStyle w:val="ListNumber"/>
        <w:spacing w:line="360" w:lineRule="auto"/>
      </w:pPr>
      <w:r>
        <w:t>Construir una base de datos documentada con variables de precio y otras variables relevantes que estén disponibles, verificando su procedencia, calidad, periodicidad y restricciones de uso.</w:t>
      </w:r>
    </w:p>
    <w:p>
      <w:pPr>
        <w:pStyle w:val="ListNumber"/>
        <w:spacing w:line="360" w:lineRule="auto"/>
      </w:pPr>
      <w:r>
        <w:t>Implementar y comparar modelos predictivos con métodos de referencia, utilizando particiones temporales apropiadas y métricas de evaluación pertinentes.</w:t>
      </w:r>
    </w:p>
    <w:p>
      <w:pPr>
        <w:pStyle w:val="ListNumber"/>
        <w:spacing w:line="360" w:lineRule="auto"/>
      </w:pPr>
      <w:r>
        <w:t>Definir un procedimiento para identificar escenarios de alto precio y comunicar los resultados con sus márgenes de incertidumbre y limitaciones.</w:t>
      </w:r>
    </w:p>
    <w:p>
      <w:pPr>
        <w:pStyle w:val="ListNumber"/>
        <w:spacing w:line="360" w:lineRule="auto"/>
      </w:pPr>
      <w:r>
        <w:t>Evaluar de forma preliminar alternativas de gestión comercial, eficiencia energética, gestión de la demanda, autogeneración, almacenamiento y respaldo, según la información del caso.</w:t>
      </w:r>
    </w:p>
    <w:p>
      <w:pPr>
        <w:pStyle w:val="ListNumber"/>
        <w:spacing w:line="360" w:lineRule="auto"/>
      </w:pPr>
      <w:r>
        <w:t>Comparar escenarios de abastecimiento mediante indicadores técnicos y económicos y formular recomendaciones condicionadas a los datos, los requisitos normativos y la viabilidad del caso.</w:t>
      </w:r>
    </w:p>
    <w:p>
      <w:pPr>
        <w:pStyle w:val="Heading1"/>
      </w:pPr>
      <w:r>
        <w:t>4. Justificación</w:t>
      </w:r>
    </w:p>
    <w:p>
      <w:pPr>
        <w:pStyle w:val="Heading2"/>
      </w:pPr>
      <w:r>
        <w:t>4.1. Justificación técnica</w:t>
      </w:r>
    </w:p>
    <w:p>
      <w:r>
        <w:t>El proyecto integra análisis de series temporales, preparación de datos, evaluación de modelos y comparación de escenarios energéticos. Su aporte técnico consiste en conectar el pronóstico del precio con una estructura de apoyo a decisiones, sin confundir predicción con optimización ni asumir que una estimación correcta garantiza una decisión rentable.</w:t>
      </w:r>
    </w:p>
    <w:p>
      <w:pPr>
        <w:pStyle w:val="Heading2"/>
      </w:pPr>
      <w:r>
        <w:t>4.2. Justificación económica</w:t>
      </w:r>
    </w:p>
    <w:p>
      <w:r>
        <w:t>La variación del precio puede afectar el costo de la energía de acuerdo con la exposición contractual de la organización. La evaluación de estrategias de contratación, eficiencia, generación propia y almacenamiento puede ayudar a estimar costos y riesgos bajo escenarios alternativos. Los beneficios deberán cuantificarse con datos reales, incluyendo inversión, operación, mantenimiento, reposición, combustible, degradación de baterías y costos contractuales cuando corresponda.</w:t>
      </w:r>
    </w:p>
    <w:p>
      <w:pPr>
        <w:pStyle w:val="Heading2"/>
      </w:pPr>
      <w:r>
        <w:t>4.3. Justificación ambiental y de economía circular</w:t>
      </w:r>
    </w:p>
    <w:p>
      <w:r>
        <w:t>Las alternativas de generación renovable, el uso eficiente de la energía y la valorización de residuos orgánicos pueden contribuir a objetivos de sostenibilidad cuando su evaluación de ciclo de vida y sus condiciones locales lo sustenten. La propuesta no presupone que toda tecnología renovable sea automáticamente la de menor impacto; los resultados ambientales dependerán de la tecnología, materiales, operación, mantenimiento y disposición final.</w:t>
      </w:r>
    </w:p>
    <w:p>
      <w:pPr>
        <w:pStyle w:val="Heading2"/>
      </w:pPr>
      <w:r>
        <w:t>4.4. Justificación territorial y académica</w:t>
      </w:r>
    </w:p>
    <w:p>
      <w:r>
        <w:t>El proyecto ofrece un marco para aplicar ingeniería de sistemas, análisis de datos y tecnologías energéticas a una necesidad empresarial localizada en el Cauca. Su utilidad regional dependerá de la selección de un caso real y del acceso a datos verificables. Se alinea con los componentes del Diplomado en Energía Circular Inteligente 5.0 relacionados con transición energética, medición, energías renovables, almacenamiento, circularidad e inteligencia artificial.</w:t>
      </w:r>
    </w:p>
    <w:p>
      <w:pPr>
        <w:pStyle w:val="Heading1"/>
      </w:pPr>
      <w:r>
        <w:t>5. Marco referencial</w:t>
      </w:r>
    </w:p>
    <w:p>
      <w:pPr>
        <w:pStyle w:val="Heading2"/>
      </w:pPr>
      <w:r>
        <w:t>5.1. Mercado de Energía Mayorista y precio de bolsa</w:t>
      </w:r>
    </w:p>
    <w:p>
      <w:r>
        <w:t>El Mercado de Energía Mayorista colombiano opera bajo reglas regulatorias y comerciales específicas. El precio de bolsa debe analizarse como una variable de mercado, no como una tarifa idéntica para todos los usuarios. La exposición efectiva de una empresa depende de su modalidad de contratación y de otras condiciones comerciales. Antes de implementar el modelo se deberán consultar fuentes oficiales, en particular XM y la regulación aplicable de la CREG, para documentar las variables, definiciones y periodos de los datos.</w:t>
      </w:r>
    </w:p>
    <w:p>
      <w:pPr>
        <w:pStyle w:val="Heading2"/>
      </w:pPr>
      <w:r>
        <w:t>5.2. Analítica predictiva y evaluación</w:t>
      </w:r>
    </w:p>
    <w:p>
      <w:r>
        <w:t>La analítica predictiva utiliza datos históricos para estimar valores o comportamientos futuros. La evaluación debe respetar la secuencia temporal: los datos usados para entrenar el modelo deben preceder a los usados para evaluarlo. Se recomienda comparar modelos candidatos con un pronóstico ingenuo o de referencia y utilizar métricas como MAE y RMSE para el error, junto con métricas adicionales si el objetivo incluye clasificar escenarios de alto precio. Las métricas, el horizonte y los umbrales deben definirse antes de interpretar resultados.</w:t>
      </w:r>
    </w:p>
    <w:p>
      <w:pPr>
        <w:pStyle w:val="Heading2"/>
      </w:pPr>
      <w:r>
        <w:t>5.3. Pronóstico y decisión de abastecimiento</w:t>
      </w:r>
    </w:p>
    <w:p>
      <w:r>
        <w:t>Pronosticar el precio no equivale a decidir cuándo comprar. Una decisión de abastecimiento requiere comparar el pronóstico con el costo contractual, la exposición a bolsa, las restricciones de operación, el perfil de demanda, los costos de autogeneración y almacenamiento, y la tolerancia al riesgo. En consecuencia, el sistema deberá producir señales de apoyo, no órdenes automáticas ni garantías de ahorro.</w:t>
      </w:r>
    </w:p>
    <w:p>
      <w:pPr>
        <w:pStyle w:val="Heading2"/>
      </w:pPr>
      <w:r>
        <w:t>5.4. Resiliencia y continuidad operativa</w:t>
      </w:r>
    </w:p>
    <w:p>
      <w:r>
        <w:t>La continuidad ante una falla física exige identificar cargas críticas y estimar la potencia y energía necesarias para mantenerlas durante un periodo definido. Un sistema fotovoltaico conectado a la red puede apagarse durante una interrupción por requisitos de seguridad, a menos que disponga de una configuración diseñada para respaldo. Las baterías ofrecen autonomía limitada por su capacidad útil; los generadores dependen de combustible y mantenimiento. El diseño debe incorporar protecciones, transferencia y cumplimiento técnico.</w:t>
      </w:r>
    </w:p>
    <w:p>
      <w:pPr>
        <w:pStyle w:val="Heading2"/>
      </w:pPr>
      <w:r>
        <w:t>5.5. Alternativas de abastecimiento</w:t>
      </w:r>
    </w:p>
    <w:p>
      <w:pPr>
        <w:pStyle w:val="Heading3"/>
      </w:pPr>
      <w:r>
        <w:t>5.5.1. Solar fotovoltaica</w:t>
      </w:r>
    </w:p>
    <w:p>
      <w:r>
        <w:t>Puede reducir parte de la electricidad comprada durante las horas de generación. Su viabilidad depende del recurso solar, espacio, sombras, perfil horario y conexión. Para respaldo se requiere una configuración específica que permita alimentar cargas seleccionadas durante la falla.</w:t>
      </w:r>
    </w:p>
    <w:p>
      <w:pPr>
        <w:pStyle w:val="Heading3"/>
      </w:pPr>
      <w:r>
        <w:t>5.5.2. Almacenamiento mediante baterías</w:t>
      </w:r>
    </w:p>
    <w:p>
      <w:r>
        <w:t>Permite desplazar el uso de energía entre periodos y respaldar cargas dentro de límites de potencia y autonomía. El análisis debe incluir eficiencia, degradación, seguridad, inversión, reemplazo y estrategia de operación.</w:t>
      </w:r>
    </w:p>
    <w:p>
      <w:pPr>
        <w:pStyle w:val="Heading3"/>
      </w:pPr>
      <w:r>
        <w:t>5.5.3. Biomasa y biogás</w:t>
      </w:r>
    </w:p>
    <w:p>
      <w:r>
        <w:t>Pueden estudiarse en organizaciones con flujos suficientes y constantes de residuos orgánicos aptos. Se requiere caracterización de materia prima, balance de masa y energía, logística, tratamiento de subproductos y análisis de emisiones.</w:t>
      </w:r>
    </w:p>
    <w:p>
      <w:pPr>
        <w:pStyle w:val="Heading3"/>
      </w:pPr>
      <w:r>
        <w:t>5.5.4. Pequeña hidroeléctrica</w:t>
      </w:r>
    </w:p>
    <w:p>
      <w:r>
        <w:t>Solo debe considerarse cuando el sitio disponga de caudal y desnivel aprovechables y los estudios hidráulicos, ambientales, económicos y regulatorios sean favorables.</w:t>
      </w:r>
    </w:p>
    <w:p>
      <w:pPr>
        <w:pStyle w:val="Heading3"/>
      </w:pPr>
      <w:r>
        <w:t>5.5.5. Energía eólica</w:t>
      </w:r>
    </w:p>
    <w:p>
      <w:r>
        <w:t>Su pertinencia debe establecerse mediante datos del recurso eólico y estudios del emplazamiento. No se debe inferir la viabilidad de un proyecto a partir de información regional general.</w:t>
      </w:r>
    </w:p>
    <w:p>
      <w:pPr>
        <w:pStyle w:val="Heading3"/>
      </w:pPr>
      <w:r>
        <w:t>5.5.6. Generación de respaldo con combustibles</w:t>
      </w:r>
    </w:p>
    <w:p>
      <w:r>
        <w:t>Puede mantener cargas críticas durante interrupciones si está correctamente dimensionada, instalada y mantenida. Deben considerarse combustible, emisiones, ruido, costos operativos y requisitos de seguridad.</w:t>
      </w:r>
    </w:p>
    <w:p>
      <w:pPr>
        <w:pStyle w:val="Heading3"/>
      </w:pPr>
      <w:r>
        <w:t>5.5.7. Contratos y eficiencia energética</w:t>
      </w:r>
    </w:p>
    <w:p>
      <w:r>
        <w:t>La contratación puede disminuir la exposición al precio de bolsa según los términos pactados, pero no reemplaza el respaldo físico. La eficiencia y gestión de la demanda reducen la energía requerida y pueden disminuir el tamaño de los sistemas de generación y respaldo.</w:t>
      </w:r>
    </w:p>
    <w:p>
      <w:pPr>
        <w:pStyle w:val="Heading1"/>
      </w:pPr>
      <w:r>
        <w:t>6. Marco normativo y técnico</w:t>
      </w:r>
    </w:p>
    <w:p>
      <w:r>
        <w:t>La siguiente matriz es preliminar. Antes de la entrega formal o de una implementación se debe verificar el texto oficial vigente, las modificaciones, la reglamentación técnica y su aplicabilidad al caso seleccionado.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after="0"/>
            </w:pPr>
            <w:r/>
            <w:r>
              <w:rPr>
                <w:rFonts w:ascii="Times New Roman" w:hAnsi="Times New Roman"/>
                <w:b/>
                <w:sz w:val="18"/>
              </w:rPr>
              <w:t>Norma o referente</w:t>
            </w:r>
          </w:p>
        </w:tc>
        <w:tc>
          <w:tcPr>
            <w:tcW w:type="dxa" w:w="3120"/>
            <w:vAlign w:val="center"/>
          </w:tcPr>
          <w:p>
            <w:pPr>
              <w:spacing w:line="240" w:lineRule="auto" w:after="0"/>
            </w:pPr>
            <w:r/>
            <w:r>
              <w:rPr>
                <w:rFonts w:ascii="Times New Roman" w:hAnsi="Times New Roman"/>
                <w:b/>
                <w:sz w:val="18"/>
              </w:rPr>
              <w:t>Relación con el proyecto</w:t>
            </w:r>
          </w:p>
        </w:tc>
        <w:tc>
          <w:tcPr>
            <w:tcW w:type="dxa" w:w="3120"/>
            <w:vAlign w:val="center"/>
          </w:tcPr>
          <w:p>
            <w:pPr>
              <w:spacing w:line="240" w:lineRule="auto" w:after="0"/>
            </w:pPr>
            <w:r/>
            <w:r>
              <w:rPr>
                <w:rFonts w:ascii="Times New Roman" w:hAnsi="Times New Roman"/>
                <w:b/>
                <w:sz w:val="18"/>
              </w:rPr>
              <w:t>Verificación necesaria</w:t>
            </w:r>
          </w:p>
        </w:tc>
      </w:tr>
      <w:tr>
        <w:tc>
          <w:tcPr>
            <w:tcW w:type="dxa" w:w="3120"/>
            <w:vAlign w:val="center"/>
          </w:tcPr>
          <w:p>
            <w:pPr>
              <w:spacing w:line="240" w:lineRule="auto" w:after="0"/>
            </w:pPr>
            <w:r/>
            <w:r>
              <w:rPr>
                <w:rFonts w:ascii="Times New Roman" w:hAnsi="Times New Roman"/>
                <w:b w:val="0"/>
                <w:sz w:val="18"/>
              </w:rPr>
              <w:t>Ley 697 de 2001</w:t>
            </w:r>
          </w:p>
        </w:tc>
        <w:tc>
          <w:tcPr>
            <w:tcW w:type="dxa" w:w="3120"/>
            <w:vAlign w:val="center"/>
          </w:tcPr>
          <w:p>
            <w:pPr>
              <w:spacing w:line="240" w:lineRule="auto" w:after="0"/>
            </w:pPr>
            <w:r/>
            <w:r>
              <w:rPr>
                <w:rFonts w:ascii="Times New Roman" w:hAnsi="Times New Roman"/>
                <w:b w:val="0"/>
                <w:sz w:val="18"/>
              </w:rPr>
              <w:t>Uso racional y eficiente de la energía.</w:t>
            </w:r>
          </w:p>
        </w:tc>
        <w:tc>
          <w:tcPr>
            <w:tcW w:type="dxa" w:w="3120"/>
            <w:vAlign w:val="center"/>
          </w:tcPr>
          <w:p>
            <w:pPr>
              <w:spacing w:line="240" w:lineRule="auto" w:after="0"/>
            </w:pPr>
            <w:r/>
            <w:r>
              <w:rPr>
                <w:rFonts w:ascii="Times New Roman" w:hAnsi="Times New Roman"/>
                <w:b w:val="0"/>
                <w:sz w:val="18"/>
              </w:rPr>
              <w:t>Consultar texto oficial y disposiciones reglamentarias aplicables.</w:t>
            </w:r>
          </w:p>
        </w:tc>
      </w:tr>
      <w:tr>
        <w:tc>
          <w:tcPr>
            <w:tcW w:type="dxa" w:w="3120"/>
            <w:vAlign w:val="center"/>
          </w:tcPr>
          <w:p>
            <w:pPr>
              <w:spacing w:line="240" w:lineRule="auto" w:after="0"/>
            </w:pPr>
            <w:r/>
            <w:r>
              <w:rPr>
                <w:rFonts w:ascii="Times New Roman" w:hAnsi="Times New Roman"/>
                <w:b w:val="0"/>
                <w:sz w:val="18"/>
              </w:rPr>
              <w:t>Ley 1715 de 2014</w:t>
            </w:r>
          </w:p>
        </w:tc>
        <w:tc>
          <w:tcPr>
            <w:tcW w:type="dxa" w:w="3120"/>
            <w:vAlign w:val="center"/>
          </w:tcPr>
          <w:p>
            <w:pPr>
              <w:spacing w:line="240" w:lineRule="auto" w:after="0"/>
            </w:pPr>
            <w:r/>
            <w:r>
              <w:rPr>
                <w:rFonts w:ascii="Times New Roman" w:hAnsi="Times New Roman"/>
                <w:b w:val="0"/>
                <w:sz w:val="18"/>
              </w:rPr>
              <w:t>Integración de fuentes no convencionales de energía.</w:t>
            </w:r>
          </w:p>
        </w:tc>
        <w:tc>
          <w:tcPr>
            <w:tcW w:type="dxa" w:w="3120"/>
            <w:vAlign w:val="center"/>
          </w:tcPr>
          <w:p>
            <w:pPr>
              <w:spacing w:line="240" w:lineRule="auto" w:after="0"/>
            </w:pPr>
            <w:r/>
            <w:r>
              <w:rPr>
                <w:rFonts w:ascii="Times New Roman" w:hAnsi="Times New Roman"/>
                <w:b w:val="0"/>
                <w:sz w:val="18"/>
              </w:rPr>
              <w:t>Leer junto con sus modificaciones y regulación vigente.</w:t>
            </w:r>
          </w:p>
        </w:tc>
      </w:tr>
      <w:tr>
        <w:tc>
          <w:tcPr>
            <w:tcW w:type="dxa" w:w="3120"/>
            <w:vAlign w:val="center"/>
          </w:tcPr>
          <w:p>
            <w:pPr>
              <w:spacing w:line="240" w:lineRule="auto" w:after="0"/>
            </w:pPr>
            <w:r/>
            <w:r>
              <w:rPr>
                <w:rFonts w:ascii="Times New Roman" w:hAnsi="Times New Roman"/>
                <w:b w:val="0"/>
                <w:sz w:val="18"/>
              </w:rPr>
              <w:t>Ley 2099 de 2021</w:t>
            </w:r>
          </w:p>
        </w:tc>
        <w:tc>
          <w:tcPr>
            <w:tcW w:type="dxa" w:w="3120"/>
            <w:vAlign w:val="center"/>
          </w:tcPr>
          <w:p>
            <w:pPr>
              <w:spacing w:line="240" w:lineRule="auto" w:after="0"/>
            </w:pPr>
            <w:r/>
            <w:r>
              <w:rPr>
                <w:rFonts w:ascii="Times New Roman" w:hAnsi="Times New Roman"/>
                <w:b w:val="0"/>
                <w:sz w:val="18"/>
              </w:rPr>
              <w:t>Transición energética, dinamización del mercado y medidas relacionadas con energía.</w:t>
            </w:r>
          </w:p>
        </w:tc>
        <w:tc>
          <w:tcPr>
            <w:tcW w:type="dxa" w:w="3120"/>
            <w:vAlign w:val="center"/>
          </w:tcPr>
          <w:p>
            <w:pPr>
              <w:spacing w:line="240" w:lineRule="auto" w:after="0"/>
            </w:pPr>
            <w:r/>
            <w:r>
              <w:rPr>
                <w:rFonts w:ascii="Times New Roman" w:hAnsi="Times New Roman"/>
                <w:b w:val="0"/>
                <w:sz w:val="18"/>
              </w:rPr>
              <w:t>Determinar artículos pertinentes al alcance tecnológico y comercial.</w:t>
            </w:r>
          </w:p>
        </w:tc>
      </w:tr>
      <w:tr>
        <w:tc>
          <w:tcPr>
            <w:tcW w:type="dxa" w:w="3120"/>
            <w:vAlign w:val="center"/>
          </w:tcPr>
          <w:p>
            <w:pPr>
              <w:spacing w:line="240" w:lineRule="auto" w:after="0"/>
            </w:pPr>
            <w:r/>
            <w:r>
              <w:rPr>
                <w:rFonts w:ascii="Times New Roman" w:hAnsi="Times New Roman"/>
                <w:b w:val="0"/>
                <w:sz w:val="18"/>
              </w:rPr>
              <w:t>Ley 2169 de 2021</w:t>
            </w:r>
          </w:p>
        </w:tc>
        <w:tc>
          <w:tcPr>
            <w:tcW w:type="dxa" w:w="3120"/>
            <w:vAlign w:val="center"/>
          </w:tcPr>
          <w:p>
            <w:pPr>
              <w:spacing w:line="240" w:lineRule="auto" w:after="0"/>
            </w:pPr>
            <w:r/>
            <w:r>
              <w:rPr>
                <w:rFonts w:ascii="Times New Roman" w:hAnsi="Times New Roman"/>
                <w:b w:val="0"/>
                <w:sz w:val="18"/>
              </w:rPr>
              <w:t>Metas y medidas de acción climática.</w:t>
            </w:r>
          </w:p>
        </w:tc>
        <w:tc>
          <w:tcPr>
            <w:tcW w:type="dxa" w:w="3120"/>
            <w:vAlign w:val="center"/>
          </w:tcPr>
          <w:p>
            <w:pPr>
              <w:spacing w:line="240" w:lineRule="auto" w:after="0"/>
            </w:pPr>
            <w:r/>
            <w:r>
              <w:rPr>
                <w:rFonts w:ascii="Times New Roman" w:hAnsi="Times New Roman"/>
                <w:b w:val="0"/>
                <w:sz w:val="18"/>
              </w:rPr>
              <w:t>Vincular únicamente indicadores ambientales que puedan justificarse.</w:t>
            </w:r>
          </w:p>
        </w:tc>
      </w:tr>
      <w:tr>
        <w:tc>
          <w:tcPr>
            <w:tcW w:type="dxa" w:w="3120"/>
            <w:vAlign w:val="center"/>
          </w:tcPr>
          <w:p>
            <w:pPr>
              <w:spacing w:line="240" w:lineRule="auto" w:after="0"/>
            </w:pPr>
            <w:r/>
            <w:r>
              <w:rPr>
                <w:rFonts w:ascii="Times New Roman" w:hAnsi="Times New Roman"/>
                <w:b w:val="0"/>
                <w:sz w:val="18"/>
              </w:rPr>
              <w:t>Decreto 1073 de 2015 y modificaciones</w:t>
            </w:r>
          </w:p>
        </w:tc>
        <w:tc>
          <w:tcPr>
            <w:tcW w:type="dxa" w:w="3120"/>
            <w:vAlign w:val="center"/>
          </w:tcPr>
          <w:p>
            <w:pPr>
              <w:spacing w:line="240" w:lineRule="auto" w:after="0"/>
            </w:pPr>
            <w:r/>
            <w:r>
              <w:rPr>
                <w:rFonts w:ascii="Times New Roman" w:hAnsi="Times New Roman"/>
                <w:b w:val="0"/>
                <w:sz w:val="18"/>
              </w:rPr>
              <w:t>Marco reglamentario del sector Minas y Energía.</w:t>
            </w:r>
          </w:p>
        </w:tc>
        <w:tc>
          <w:tcPr>
            <w:tcW w:type="dxa" w:w="3120"/>
            <w:vAlign w:val="center"/>
          </w:tcPr>
          <w:p>
            <w:pPr>
              <w:spacing w:line="240" w:lineRule="auto" w:after="0"/>
            </w:pPr>
            <w:r/>
            <w:r>
              <w:rPr>
                <w:rFonts w:ascii="Times New Roman" w:hAnsi="Times New Roman"/>
                <w:b w:val="0"/>
                <w:sz w:val="18"/>
              </w:rPr>
              <w:t>Verificar disposiciones actuales aplicables a autogeneración, generación distribuida y conexión.</w:t>
            </w:r>
          </w:p>
        </w:tc>
      </w:tr>
      <w:tr>
        <w:tc>
          <w:tcPr>
            <w:tcW w:type="dxa" w:w="3120"/>
            <w:vAlign w:val="center"/>
          </w:tcPr>
          <w:p>
            <w:pPr>
              <w:spacing w:line="240" w:lineRule="auto" w:after="0"/>
            </w:pPr>
            <w:r/>
            <w:r>
              <w:rPr>
                <w:rFonts w:ascii="Times New Roman" w:hAnsi="Times New Roman"/>
                <w:b w:val="0"/>
                <w:sz w:val="18"/>
              </w:rPr>
              <w:t>Decreto 2236 de 2023</w:t>
            </w:r>
          </w:p>
        </w:tc>
        <w:tc>
          <w:tcPr>
            <w:tcW w:type="dxa" w:w="3120"/>
            <w:vAlign w:val="center"/>
          </w:tcPr>
          <w:p>
            <w:pPr>
              <w:spacing w:line="240" w:lineRule="auto" w:after="0"/>
            </w:pPr>
            <w:r/>
            <w:r>
              <w:rPr>
                <w:rFonts w:ascii="Times New Roman" w:hAnsi="Times New Roman"/>
                <w:b w:val="0"/>
                <w:sz w:val="18"/>
              </w:rPr>
              <w:t>Reglamentación de comunidades energéticas.</w:t>
            </w:r>
          </w:p>
        </w:tc>
        <w:tc>
          <w:tcPr>
            <w:tcW w:type="dxa" w:w="3120"/>
            <w:vAlign w:val="center"/>
          </w:tcPr>
          <w:p>
            <w:pPr>
              <w:spacing w:line="240" w:lineRule="auto" w:after="0"/>
            </w:pPr>
            <w:r/>
            <w:r>
              <w:rPr>
                <w:rFonts w:ascii="Times New Roman" w:hAnsi="Times New Roman"/>
                <w:b w:val="0"/>
                <w:sz w:val="18"/>
              </w:rPr>
              <w:t>Aplicar solo si el proyecto incorpora una configuración comunitaria pertinente.</w:t>
            </w:r>
          </w:p>
        </w:tc>
      </w:tr>
      <w:tr>
        <w:tc>
          <w:tcPr>
            <w:tcW w:type="dxa" w:w="3120"/>
            <w:vAlign w:val="center"/>
          </w:tcPr>
          <w:p>
            <w:pPr>
              <w:spacing w:line="240" w:lineRule="auto" w:after="0"/>
            </w:pPr>
            <w:r/>
            <w:r>
              <w:rPr>
                <w:rFonts w:ascii="Times New Roman" w:hAnsi="Times New Roman"/>
                <w:b w:val="0"/>
                <w:sz w:val="18"/>
              </w:rPr>
              <w:t>RETIE vigente</w:t>
            </w:r>
          </w:p>
        </w:tc>
        <w:tc>
          <w:tcPr>
            <w:tcW w:type="dxa" w:w="3120"/>
            <w:vAlign w:val="center"/>
          </w:tcPr>
          <w:p>
            <w:pPr>
              <w:spacing w:line="240" w:lineRule="auto" w:after="0"/>
            </w:pPr>
            <w:r/>
            <w:r>
              <w:rPr>
                <w:rFonts w:ascii="Times New Roman" w:hAnsi="Times New Roman"/>
                <w:b w:val="0"/>
                <w:sz w:val="18"/>
              </w:rPr>
              <w:t>Seguridad técnica de instalaciones eléctricas dentro de su ámbito.</w:t>
            </w:r>
          </w:p>
        </w:tc>
        <w:tc>
          <w:tcPr>
            <w:tcW w:type="dxa" w:w="3120"/>
            <w:vAlign w:val="center"/>
          </w:tcPr>
          <w:p>
            <w:pPr>
              <w:spacing w:line="240" w:lineRule="auto" w:after="0"/>
            </w:pPr>
            <w:r/>
            <w:r>
              <w:rPr>
                <w:rFonts w:ascii="Times New Roman" w:hAnsi="Times New Roman"/>
                <w:b w:val="0"/>
                <w:sz w:val="18"/>
              </w:rPr>
              <w:t>Confirmar versión, alcance, requisitos de diseño, inspección y puesta en servicio.</w:t>
            </w:r>
          </w:p>
        </w:tc>
      </w:tr>
      <w:tr>
        <w:tc>
          <w:tcPr>
            <w:tcW w:type="dxa" w:w="3120"/>
            <w:vAlign w:val="center"/>
          </w:tcPr>
          <w:p>
            <w:pPr>
              <w:spacing w:line="240" w:lineRule="auto" w:after="0"/>
            </w:pPr>
            <w:r/>
            <w:r>
              <w:rPr>
                <w:rFonts w:ascii="Times New Roman" w:hAnsi="Times New Roman"/>
                <w:b w:val="0"/>
                <w:sz w:val="18"/>
              </w:rPr>
              <w:t>Regulación CREG vigente</w:t>
            </w:r>
          </w:p>
        </w:tc>
        <w:tc>
          <w:tcPr>
            <w:tcW w:type="dxa" w:w="3120"/>
            <w:vAlign w:val="center"/>
          </w:tcPr>
          <w:p>
            <w:pPr>
              <w:spacing w:line="240" w:lineRule="auto" w:after="0"/>
            </w:pPr>
            <w:r/>
            <w:r>
              <w:rPr>
                <w:rFonts w:ascii="Times New Roman" w:hAnsi="Times New Roman"/>
                <w:b w:val="0"/>
                <w:sz w:val="18"/>
              </w:rPr>
              <w:t>Conexión, medición, excedentes, participación y condiciones del mercado.</w:t>
            </w:r>
          </w:p>
        </w:tc>
        <w:tc>
          <w:tcPr>
            <w:tcW w:type="dxa" w:w="3120"/>
            <w:vAlign w:val="center"/>
          </w:tcPr>
          <w:p>
            <w:pPr>
              <w:spacing w:line="240" w:lineRule="auto" w:after="0"/>
            </w:pPr>
            <w:r/>
            <w:r>
              <w:rPr>
                <w:rFonts w:ascii="Times New Roman" w:hAnsi="Times New Roman"/>
                <w:b w:val="0"/>
                <w:sz w:val="18"/>
              </w:rPr>
              <w:t>Identificar resoluciones aplicables a la capacidad y modalidad elegidas.</w:t>
            </w:r>
          </w:p>
        </w:tc>
      </w:tr>
      <w:tr>
        <w:tc>
          <w:tcPr>
            <w:tcW w:type="dxa" w:w="3120"/>
            <w:vAlign w:val="center"/>
          </w:tcPr>
          <w:p>
            <w:pPr>
              <w:spacing w:line="240" w:lineRule="auto" w:after="0"/>
            </w:pPr>
            <w:r/>
            <w:r>
              <w:rPr>
                <w:rFonts w:ascii="Times New Roman" w:hAnsi="Times New Roman"/>
                <w:b w:val="0"/>
                <w:sz w:val="18"/>
              </w:rPr>
              <w:t>ISO 50001:2018</w:t>
            </w:r>
          </w:p>
        </w:tc>
        <w:tc>
          <w:tcPr>
            <w:tcW w:type="dxa" w:w="3120"/>
            <w:vAlign w:val="center"/>
          </w:tcPr>
          <w:p>
            <w:pPr>
              <w:spacing w:line="240" w:lineRule="auto" w:after="0"/>
            </w:pPr>
            <w:r/>
            <w:r>
              <w:rPr>
                <w:rFonts w:ascii="Times New Roman" w:hAnsi="Times New Roman"/>
                <w:b w:val="0"/>
                <w:sz w:val="18"/>
              </w:rPr>
              <w:t>Sistema de gestión de energía, línea base e indicadores.</w:t>
            </w:r>
          </w:p>
        </w:tc>
        <w:tc>
          <w:tcPr>
            <w:tcW w:type="dxa" w:w="3120"/>
            <w:vAlign w:val="center"/>
          </w:tcPr>
          <w:p>
            <w:pPr>
              <w:spacing w:line="240" w:lineRule="auto" w:after="0"/>
            </w:pPr>
            <w:r/>
            <w:r>
              <w:rPr>
                <w:rFonts w:ascii="Times New Roman" w:hAnsi="Times New Roman"/>
                <w:b w:val="0"/>
                <w:sz w:val="18"/>
              </w:rPr>
              <w:t>Usar como referencia técnica; no asumir obligatoriedad universal.</w:t>
            </w:r>
          </w:p>
        </w:tc>
      </w:tr>
      <w:tr>
        <w:tc>
          <w:tcPr>
            <w:tcW w:type="dxa" w:w="3120"/>
            <w:vAlign w:val="center"/>
          </w:tcPr>
          <w:p>
            <w:pPr>
              <w:spacing w:line="240" w:lineRule="auto" w:after="0"/>
            </w:pPr>
            <w:r/>
            <w:r>
              <w:rPr>
                <w:rFonts w:ascii="Times New Roman" w:hAnsi="Times New Roman"/>
                <w:b w:val="0"/>
                <w:sz w:val="18"/>
              </w:rPr>
              <w:t>APA 7.ª edición</w:t>
            </w:r>
          </w:p>
        </w:tc>
        <w:tc>
          <w:tcPr>
            <w:tcW w:type="dxa" w:w="3120"/>
            <w:vAlign w:val="center"/>
          </w:tcPr>
          <w:p>
            <w:pPr>
              <w:spacing w:line="240" w:lineRule="auto" w:after="0"/>
            </w:pPr>
            <w:r/>
            <w:r>
              <w:rPr>
                <w:rFonts w:ascii="Times New Roman" w:hAnsi="Times New Roman"/>
                <w:b w:val="0"/>
                <w:sz w:val="18"/>
              </w:rPr>
              <w:t>Citación, referencias y organización académica.</w:t>
            </w:r>
          </w:p>
        </w:tc>
        <w:tc>
          <w:tcPr>
            <w:tcW w:type="dxa" w:w="3120"/>
            <w:vAlign w:val="center"/>
          </w:tcPr>
          <w:p>
            <w:pPr>
              <w:spacing w:line="240" w:lineRule="auto" w:after="0"/>
            </w:pPr>
            <w:r/>
            <w:r>
              <w:rPr>
                <w:rFonts w:ascii="Times New Roman" w:hAnsi="Times New Roman"/>
                <w:b w:val="0"/>
                <w:sz w:val="18"/>
              </w:rPr>
              <w:t>Confirmar instrucciones institucionales actuales y formato del programa.</w:t>
            </w:r>
          </w:p>
        </w:tc>
      </w:tr>
    </w:tbl>
    <w:p>
      <w:r>
        <w:t>Nota. La inclusión de una norma en esta matriz no significa que todos sus artículos sean aplicables al proyecto ni que el documento constituya un concepto jurídico. La aplicabilidad depende de la tecnología, potencia, conexión, tipo de usuario y alcance del caso.</w:t>
      </w:r>
    </w:p>
    <w:p>
      <w:pPr>
        <w:pStyle w:val="Heading1"/>
      </w:pPr>
      <w:r>
        <w:t>7. Metodología</w:t>
      </w:r>
    </w:p>
    <w:p>
      <w:pPr>
        <w:pStyle w:val="Heading2"/>
      </w:pPr>
      <w:r>
        <w:t>7.1. Enfoque y tipo de estudio</w:t>
      </w:r>
    </w:p>
    <w:p>
      <w:r>
        <w:t>Se propone un estudio aplicado, de enfoque cuantitativo y carácter descriptivo-predictivo, complementado con una evaluación técnica y económica de escenarios. El diseño definitivo se ajustará a la disponibilidad y calidad de datos de la organización seleccionada.</w:t>
      </w:r>
    </w:p>
    <w:p>
      <w:pPr>
        <w:pStyle w:val="Heading2"/>
      </w:pPr>
      <w:r>
        <w:t>7.2. Fases metodológicas</w:t>
      </w:r>
    </w:p>
    <w:p>
      <w:pPr>
        <w:pStyle w:val="ListNumber"/>
        <w:spacing w:line="360" w:lineRule="auto"/>
      </w:pPr>
      <w:r>
        <w:t>Fase 1. Delimitación del caso: selección de organización, descripción del proceso, identificación de responsables y definición del alcance.</w:t>
      </w:r>
    </w:p>
    <w:p>
      <w:pPr>
        <w:pStyle w:val="ListNumber"/>
        <w:spacing w:line="360" w:lineRule="auto"/>
      </w:pPr>
      <w:r>
        <w:t>Fase 2. Diagnóstico energético: recopilación de facturas, mediciones, perfil de demanda, potencia máxima, contratos y cargas críticas.</w:t>
      </w:r>
    </w:p>
    <w:p>
      <w:pPr>
        <w:pStyle w:val="ListNumber"/>
        <w:spacing w:line="360" w:lineRule="auto"/>
      </w:pPr>
      <w:r>
        <w:t>Fase 3. Datos del mercado: identificación de fuentes oficiales, variables disponibles, periodicidad, unidades, reglas de limpieza y trazabilidad.</w:t>
      </w:r>
    </w:p>
    <w:p>
      <w:pPr>
        <w:pStyle w:val="ListNumber"/>
        <w:spacing w:line="360" w:lineRule="auto"/>
      </w:pPr>
      <w:r>
        <w:t>Fase 4. Preparación de datos: tratamiento de valores faltantes, detección de inconsistencias, análisis exploratorio y documentación de transformaciones.</w:t>
      </w:r>
    </w:p>
    <w:p>
      <w:pPr>
        <w:pStyle w:val="ListNumber"/>
        <w:spacing w:line="360" w:lineRule="auto"/>
      </w:pPr>
      <w:r>
        <w:t>Fase 5. Modelado: establecimiento de modelos de referencia, selección de modelos candidatos y definición de horizontes de pronóstico.</w:t>
      </w:r>
    </w:p>
    <w:p>
      <w:pPr>
        <w:pStyle w:val="ListNumber"/>
        <w:spacing w:line="360" w:lineRule="auto"/>
      </w:pPr>
      <w:r>
        <w:t>Fase 6. Validación: separación temporal de entrenamiento y prueba, evaluación retrospectiva, comparación de métricas y análisis de errores.</w:t>
      </w:r>
    </w:p>
    <w:p>
      <w:pPr>
        <w:pStyle w:val="ListNumber"/>
        <w:spacing w:line="360" w:lineRule="auto"/>
      </w:pPr>
      <w:r>
        <w:t>Fase 7. Escenarios de abastecimiento: definición de supuestos de precio, consumo, contratos, generación, almacenamiento y respaldo.</w:t>
      </w:r>
    </w:p>
    <w:p>
      <w:pPr>
        <w:pStyle w:val="ListNumber"/>
        <w:spacing w:line="360" w:lineRule="auto"/>
      </w:pPr>
      <w:r>
        <w:t>Fase 8. Evaluación multicriterio: comparación de costo, continuidad, emisiones, complejidad operativa, riesgos y requisitos regulatorios.</w:t>
      </w:r>
    </w:p>
    <w:p>
      <w:pPr>
        <w:pStyle w:val="ListNumber"/>
        <w:spacing w:line="360" w:lineRule="auto"/>
      </w:pPr>
      <w:r>
        <w:t>Fase 9. Prototipo: desarrollo de un tablero o interfaz para mostrar pronósticos, escenarios, indicadores y limitaciones.</w:t>
      </w:r>
    </w:p>
    <w:p>
      <w:pPr>
        <w:pStyle w:val="ListNumber"/>
        <w:spacing w:line="360" w:lineRule="auto"/>
      </w:pPr>
      <w:r>
        <w:t>Fase 10. Informe y validación: presentación de resultados, recomendaciones, limitaciones, repositorio documentado y plan de implementación.</w:t>
      </w:r>
    </w:p>
    <w:p>
      <w:pPr>
        <w:pStyle w:val="Heading2"/>
      </w:pPr>
      <w:r>
        <w:t>7.3. Variables e indicadores iniciales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pPr>
              <w:spacing w:line="240" w:lineRule="auto" w:after="0"/>
            </w:pPr>
            <w:r/>
            <w:r>
              <w:rPr>
                <w:rFonts w:ascii="Times New Roman" w:hAnsi="Times New Roman"/>
                <w:b/>
                <w:sz w:val="18"/>
              </w:rPr>
              <w:t>Variable/indicador</w:t>
            </w:r>
          </w:p>
        </w:tc>
        <w:tc>
          <w:tcPr>
            <w:tcW w:type="dxa" w:w="3120"/>
            <w:vAlign w:val="center"/>
          </w:tcPr>
          <w:p>
            <w:pPr>
              <w:spacing w:line="240" w:lineRule="auto" w:after="0"/>
            </w:pPr>
            <w:r/>
            <w:r>
              <w:rPr>
                <w:rFonts w:ascii="Times New Roman" w:hAnsi="Times New Roman"/>
                <w:b/>
                <w:sz w:val="18"/>
              </w:rPr>
              <w:t>Uso previsto</w:t>
            </w:r>
          </w:p>
        </w:tc>
        <w:tc>
          <w:tcPr>
            <w:tcW w:type="dxa" w:w="3120"/>
            <w:vAlign w:val="center"/>
          </w:tcPr>
          <w:p>
            <w:pPr>
              <w:spacing w:line="240" w:lineRule="auto" w:after="0"/>
            </w:pPr>
            <w:r/>
            <w:r>
              <w:rPr>
                <w:rFonts w:ascii="Times New Roman" w:hAnsi="Times New Roman"/>
                <w:b/>
                <w:sz w:val="18"/>
              </w:rPr>
              <w:t>Unidad o criterio</w:t>
            </w:r>
          </w:p>
        </w:tc>
      </w:tr>
      <w:tr>
        <w:tc>
          <w:tcPr>
            <w:tcW w:type="dxa" w:w="3120"/>
            <w:vAlign w:val="center"/>
          </w:tcPr>
          <w:p>
            <w:pPr>
              <w:spacing w:line="240" w:lineRule="auto" w:after="0"/>
            </w:pPr>
            <w:r/>
            <w:r>
              <w:rPr>
                <w:rFonts w:ascii="Times New Roman" w:hAnsi="Times New Roman"/>
                <w:b w:val="0"/>
                <w:sz w:val="18"/>
              </w:rPr>
              <w:t>Precio de bolsa</w:t>
            </w:r>
          </w:p>
        </w:tc>
        <w:tc>
          <w:tcPr>
            <w:tcW w:type="dxa" w:w="3120"/>
            <w:vAlign w:val="center"/>
          </w:tcPr>
          <w:p>
            <w:pPr>
              <w:spacing w:line="240" w:lineRule="auto" w:after="0"/>
            </w:pPr>
            <w:r/>
            <w:r>
              <w:rPr>
                <w:rFonts w:ascii="Times New Roman" w:hAnsi="Times New Roman"/>
                <w:b w:val="0"/>
                <w:sz w:val="18"/>
              </w:rPr>
              <w:t>Variable objetivo del pronóstico.</w:t>
            </w:r>
          </w:p>
        </w:tc>
        <w:tc>
          <w:tcPr>
            <w:tcW w:type="dxa" w:w="3120"/>
            <w:vAlign w:val="center"/>
          </w:tcPr>
          <w:p>
            <w:pPr>
              <w:spacing w:line="240" w:lineRule="auto" w:after="0"/>
            </w:pPr>
            <w:r/>
            <w:r>
              <w:rPr>
                <w:rFonts w:ascii="Times New Roman" w:hAnsi="Times New Roman"/>
                <w:b w:val="0"/>
                <w:sz w:val="18"/>
              </w:rPr>
              <w:t>Unidad y frecuencia según fuente oficial.</w:t>
            </w:r>
          </w:p>
        </w:tc>
      </w:tr>
      <w:tr>
        <w:tc>
          <w:tcPr>
            <w:tcW w:type="dxa" w:w="3120"/>
            <w:vAlign w:val="center"/>
          </w:tcPr>
          <w:p>
            <w:pPr>
              <w:spacing w:line="240" w:lineRule="auto" w:after="0"/>
            </w:pPr>
            <w:r/>
            <w:r>
              <w:rPr>
                <w:rFonts w:ascii="Times New Roman" w:hAnsi="Times New Roman"/>
                <w:b w:val="0"/>
                <w:sz w:val="18"/>
              </w:rPr>
              <w:t>Consumo eléctrico</w:t>
            </w:r>
          </w:p>
        </w:tc>
        <w:tc>
          <w:tcPr>
            <w:tcW w:type="dxa" w:w="3120"/>
            <w:vAlign w:val="center"/>
          </w:tcPr>
          <w:p>
            <w:pPr>
              <w:spacing w:line="240" w:lineRule="auto" w:after="0"/>
            </w:pPr>
            <w:r/>
            <w:r>
              <w:rPr>
                <w:rFonts w:ascii="Times New Roman" w:hAnsi="Times New Roman"/>
                <w:b w:val="0"/>
                <w:sz w:val="18"/>
              </w:rPr>
              <w:t>Caracterizar demanda y simular alternativas.</w:t>
            </w:r>
          </w:p>
        </w:tc>
        <w:tc>
          <w:tcPr>
            <w:tcW w:type="dxa" w:w="3120"/>
            <w:vAlign w:val="center"/>
          </w:tcPr>
          <w:p>
            <w:pPr>
              <w:spacing w:line="240" w:lineRule="auto" w:after="0"/>
            </w:pPr>
            <w:r/>
            <w:r>
              <w:rPr>
                <w:rFonts w:ascii="Times New Roman" w:hAnsi="Times New Roman"/>
                <w:b w:val="0"/>
                <w:sz w:val="18"/>
              </w:rPr>
              <w:t>kWh por periodo; curva horaria si existe.</w:t>
            </w:r>
          </w:p>
        </w:tc>
      </w:tr>
      <w:tr>
        <w:tc>
          <w:tcPr>
            <w:tcW w:type="dxa" w:w="3120"/>
            <w:vAlign w:val="center"/>
          </w:tcPr>
          <w:p>
            <w:pPr>
              <w:spacing w:line="240" w:lineRule="auto" w:after="0"/>
            </w:pPr>
            <w:r/>
            <w:r>
              <w:rPr>
                <w:rFonts w:ascii="Times New Roman" w:hAnsi="Times New Roman"/>
                <w:b w:val="0"/>
                <w:sz w:val="18"/>
              </w:rPr>
              <w:t>Error absoluto medio (MAE)</w:t>
            </w:r>
          </w:p>
        </w:tc>
        <w:tc>
          <w:tcPr>
            <w:tcW w:type="dxa" w:w="3120"/>
            <w:vAlign w:val="center"/>
          </w:tcPr>
          <w:p>
            <w:pPr>
              <w:spacing w:line="240" w:lineRule="auto" w:after="0"/>
            </w:pPr>
            <w:r/>
            <w:r>
              <w:rPr>
                <w:rFonts w:ascii="Times New Roman" w:hAnsi="Times New Roman"/>
                <w:b w:val="0"/>
                <w:sz w:val="18"/>
              </w:rPr>
              <w:t>Medir error medio de pronóstico.</w:t>
            </w:r>
          </w:p>
        </w:tc>
        <w:tc>
          <w:tcPr>
            <w:tcW w:type="dxa" w:w="3120"/>
            <w:vAlign w:val="center"/>
          </w:tcPr>
          <w:p>
            <w:pPr>
              <w:spacing w:line="240" w:lineRule="auto" w:after="0"/>
            </w:pPr>
            <w:r/>
            <w:r>
              <w:rPr>
                <w:rFonts w:ascii="Times New Roman" w:hAnsi="Times New Roman"/>
                <w:b w:val="0"/>
                <w:sz w:val="18"/>
              </w:rPr>
              <w:t>Unidad de la variable pronosticada.</w:t>
            </w:r>
          </w:p>
        </w:tc>
      </w:tr>
      <w:tr>
        <w:tc>
          <w:tcPr>
            <w:tcW w:type="dxa" w:w="3120"/>
            <w:vAlign w:val="center"/>
          </w:tcPr>
          <w:p>
            <w:pPr>
              <w:spacing w:line="240" w:lineRule="auto" w:after="0"/>
            </w:pPr>
            <w:r/>
            <w:r>
              <w:rPr>
                <w:rFonts w:ascii="Times New Roman" w:hAnsi="Times New Roman"/>
                <w:b w:val="0"/>
                <w:sz w:val="18"/>
              </w:rPr>
              <w:t>Raíz del error cuadrático medio (RMSE)</w:t>
            </w:r>
          </w:p>
        </w:tc>
        <w:tc>
          <w:tcPr>
            <w:tcW w:type="dxa" w:w="3120"/>
            <w:vAlign w:val="center"/>
          </w:tcPr>
          <w:p>
            <w:pPr>
              <w:spacing w:line="240" w:lineRule="auto" w:after="0"/>
            </w:pPr>
            <w:r/>
            <w:r>
              <w:rPr>
                <w:rFonts w:ascii="Times New Roman" w:hAnsi="Times New Roman"/>
                <w:b w:val="0"/>
                <w:sz w:val="18"/>
              </w:rPr>
              <w:t>Penalizar errores grandes.</w:t>
            </w:r>
          </w:p>
        </w:tc>
        <w:tc>
          <w:tcPr>
            <w:tcW w:type="dxa" w:w="3120"/>
            <w:vAlign w:val="center"/>
          </w:tcPr>
          <w:p>
            <w:pPr>
              <w:spacing w:line="240" w:lineRule="auto" w:after="0"/>
            </w:pPr>
            <w:r/>
            <w:r>
              <w:rPr>
                <w:rFonts w:ascii="Times New Roman" w:hAnsi="Times New Roman"/>
                <w:b w:val="0"/>
                <w:sz w:val="18"/>
              </w:rPr>
              <w:t>Unidad de la variable pronosticada.</w:t>
            </w:r>
          </w:p>
        </w:tc>
      </w:tr>
      <w:tr>
        <w:tc>
          <w:tcPr>
            <w:tcW w:type="dxa" w:w="3120"/>
            <w:vAlign w:val="center"/>
          </w:tcPr>
          <w:p>
            <w:pPr>
              <w:spacing w:line="240" w:lineRule="auto" w:after="0"/>
            </w:pPr>
            <w:r/>
            <w:r>
              <w:rPr>
                <w:rFonts w:ascii="Times New Roman" w:hAnsi="Times New Roman"/>
                <w:b w:val="0"/>
                <w:sz w:val="18"/>
              </w:rPr>
              <w:t>Costo total estimado</w:t>
            </w:r>
          </w:p>
        </w:tc>
        <w:tc>
          <w:tcPr>
            <w:tcW w:type="dxa" w:w="3120"/>
            <w:vAlign w:val="center"/>
          </w:tcPr>
          <w:p>
            <w:pPr>
              <w:spacing w:line="240" w:lineRule="auto" w:after="0"/>
            </w:pPr>
            <w:r/>
            <w:r>
              <w:rPr>
                <w:rFonts w:ascii="Times New Roman" w:hAnsi="Times New Roman"/>
                <w:b w:val="0"/>
                <w:sz w:val="18"/>
              </w:rPr>
              <w:t>Comparar escenarios de abastecimiento.</w:t>
            </w:r>
          </w:p>
        </w:tc>
        <w:tc>
          <w:tcPr>
            <w:tcW w:type="dxa" w:w="3120"/>
            <w:vAlign w:val="center"/>
          </w:tcPr>
          <w:p>
            <w:pPr>
              <w:spacing w:line="240" w:lineRule="auto" w:after="0"/>
            </w:pPr>
            <w:r/>
            <w:r>
              <w:rPr>
                <w:rFonts w:ascii="Times New Roman" w:hAnsi="Times New Roman"/>
                <w:b w:val="0"/>
                <w:sz w:val="18"/>
              </w:rPr>
              <w:t>COP para un periodo definido.</w:t>
            </w:r>
          </w:p>
        </w:tc>
      </w:tr>
      <w:tr>
        <w:tc>
          <w:tcPr>
            <w:tcW w:type="dxa" w:w="3120"/>
            <w:vAlign w:val="center"/>
          </w:tcPr>
          <w:p>
            <w:pPr>
              <w:spacing w:line="240" w:lineRule="auto" w:after="0"/>
            </w:pPr>
            <w:r/>
            <w:r>
              <w:rPr>
                <w:rFonts w:ascii="Times New Roman" w:hAnsi="Times New Roman"/>
                <w:b w:val="0"/>
                <w:sz w:val="18"/>
              </w:rPr>
              <w:t>Costo del ciclo de vida</w:t>
            </w:r>
          </w:p>
        </w:tc>
        <w:tc>
          <w:tcPr>
            <w:tcW w:type="dxa" w:w="3120"/>
            <w:vAlign w:val="center"/>
          </w:tcPr>
          <w:p>
            <w:pPr>
              <w:spacing w:line="240" w:lineRule="auto" w:after="0"/>
            </w:pPr>
            <w:r/>
            <w:r>
              <w:rPr>
                <w:rFonts w:ascii="Times New Roman" w:hAnsi="Times New Roman"/>
                <w:b w:val="0"/>
                <w:sz w:val="18"/>
              </w:rPr>
              <w:t>Comparar costos de inversión y operación.</w:t>
            </w:r>
          </w:p>
        </w:tc>
        <w:tc>
          <w:tcPr>
            <w:tcW w:type="dxa" w:w="3120"/>
            <w:vAlign w:val="center"/>
          </w:tcPr>
          <w:p>
            <w:pPr>
              <w:spacing w:line="240" w:lineRule="auto" w:after="0"/>
            </w:pPr>
            <w:r/>
            <w:r>
              <w:rPr>
                <w:rFonts w:ascii="Times New Roman" w:hAnsi="Times New Roman"/>
                <w:b w:val="0"/>
                <w:sz w:val="18"/>
              </w:rPr>
              <w:t>COP y horizonte explícito.</w:t>
            </w:r>
          </w:p>
        </w:tc>
      </w:tr>
      <w:tr>
        <w:tc>
          <w:tcPr>
            <w:tcW w:type="dxa" w:w="3120"/>
            <w:vAlign w:val="center"/>
          </w:tcPr>
          <w:p>
            <w:pPr>
              <w:spacing w:line="240" w:lineRule="auto" w:after="0"/>
            </w:pPr>
            <w:r/>
            <w:r>
              <w:rPr>
                <w:rFonts w:ascii="Times New Roman" w:hAnsi="Times New Roman"/>
                <w:b w:val="0"/>
                <w:sz w:val="18"/>
              </w:rPr>
              <w:t>Autonomía de respaldo</w:t>
            </w:r>
          </w:p>
        </w:tc>
        <w:tc>
          <w:tcPr>
            <w:tcW w:type="dxa" w:w="3120"/>
            <w:vAlign w:val="center"/>
          </w:tcPr>
          <w:p>
            <w:pPr>
              <w:spacing w:line="240" w:lineRule="auto" w:after="0"/>
            </w:pPr>
            <w:r/>
            <w:r>
              <w:rPr>
                <w:rFonts w:ascii="Times New Roman" w:hAnsi="Times New Roman"/>
                <w:b w:val="0"/>
                <w:sz w:val="18"/>
              </w:rPr>
              <w:t>Estimar duración de cargas críticas.</w:t>
            </w:r>
          </w:p>
        </w:tc>
        <w:tc>
          <w:tcPr>
            <w:tcW w:type="dxa" w:w="3120"/>
            <w:vAlign w:val="center"/>
          </w:tcPr>
          <w:p>
            <w:pPr>
              <w:spacing w:line="240" w:lineRule="auto" w:after="0"/>
            </w:pPr>
            <w:r/>
            <w:r>
              <w:rPr>
                <w:rFonts w:ascii="Times New Roman" w:hAnsi="Times New Roman"/>
                <w:b w:val="0"/>
                <w:sz w:val="18"/>
              </w:rPr>
              <w:t>Horas, bajo supuestos de carga y capacidad.</w:t>
            </w:r>
          </w:p>
        </w:tc>
      </w:tr>
      <w:tr>
        <w:tc>
          <w:tcPr>
            <w:tcW w:type="dxa" w:w="3120"/>
            <w:vAlign w:val="center"/>
          </w:tcPr>
          <w:p>
            <w:pPr>
              <w:spacing w:line="240" w:lineRule="auto" w:after="0"/>
            </w:pPr>
            <w:r/>
            <w:r>
              <w:rPr>
                <w:rFonts w:ascii="Times New Roman" w:hAnsi="Times New Roman"/>
                <w:b w:val="0"/>
                <w:sz w:val="18"/>
              </w:rPr>
              <w:t>Porcentaje de carga crítica cubierta</w:t>
            </w:r>
          </w:p>
        </w:tc>
        <w:tc>
          <w:tcPr>
            <w:tcW w:type="dxa" w:w="3120"/>
            <w:vAlign w:val="center"/>
          </w:tcPr>
          <w:p>
            <w:pPr>
              <w:spacing w:line="240" w:lineRule="auto" w:after="0"/>
            </w:pPr>
            <w:r/>
            <w:r>
              <w:rPr>
                <w:rFonts w:ascii="Times New Roman" w:hAnsi="Times New Roman"/>
                <w:b w:val="0"/>
                <w:sz w:val="18"/>
              </w:rPr>
              <w:t>Medir cobertura del respaldo.</w:t>
            </w:r>
          </w:p>
        </w:tc>
        <w:tc>
          <w:tcPr>
            <w:tcW w:type="dxa" w:w="3120"/>
            <w:vAlign w:val="center"/>
          </w:tcPr>
          <w:p>
            <w:pPr>
              <w:spacing w:line="240" w:lineRule="auto" w:after="0"/>
            </w:pPr>
            <w:r/>
            <w:r>
              <w:rPr>
                <w:rFonts w:ascii="Times New Roman" w:hAnsi="Times New Roman"/>
                <w:b w:val="0"/>
                <w:sz w:val="18"/>
              </w:rPr>
              <w:t>Porcentaje de la demanda crítica definida.</w:t>
            </w:r>
          </w:p>
        </w:tc>
      </w:tr>
      <w:tr>
        <w:tc>
          <w:tcPr>
            <w:tcW w:type="dxa" w:w="3120"/>
            <w:vAlign w:val="center"/>
          </w:tcPr>
          <w:p>
            <w:pPr>
              <w:spacing w:line="240" w:lineRule="auto" w:after="0"/>
            </w:pPr>
            <w:r/>
            <w:r>
              <w:rPr>
                <w:rFonts w:ascii="Times New Roman" w:hAnsi="Times New Roman"/>
                <w:b w:val="0"/>
                <w:sz w:val="18"/>
              </w:rPr>
              <w:t>Emisiones estimadas</w:t>
            </w:r>
          </w:p>
        </w:tc>
        <w:tc>
          <w:tcPr>
            <w:tcW w:type="dxa" w:w="3120"/>
            <w:vAlign w:val="center"/>
          </w:tcPr>
          <w:p>
            <w:pPr>
              <w:spacing w:line="240" w:lineRule="auto" w:after="0"/>
            </w:pPr>
            <w:r/>
            <w:r>
              <w:rPr>
                <w:rFonts w:ascii="Times New Roman" w:hAnsi="Times New Roman"/>
                <w:b w:val="0"/>
                <w:sz w:val="18"/>
              </w:rPr>
              <w:t>Comparación ambiental cuando existan factores adecuados.</w:t>
            </w:r>
          </w:p>
        </w:tc>
        <w:tc>
          <w:tcPr>
            <w:tcW w:type="dxa" w:w="3120"/>
            <w:vAlign w:val="center"/>
          </w:tcPr>
          <w:p>
            <w:pPr>
              <w:spacing w:line="240" w:lineRule="auto" w:after="0"/>
            </w:pPr>
            <w:r/>
            <w:r>
              <w:rPr>
                <w:rFonts w:ascii="Times New Roman" w:hAnsi="Times New Roman"/>
                <w:b w:val="0"/>
                <w:sz w:val="18"/>
              </w:rPr>
              <w:t>Unidad de CO2 equivalente y límites declarados.</w:t>
            </w:r>
          </w:p>
        </w:tc>
      </w:tr>
    </w:tbl>
    <w:p>
      <w:pPr>
        <w:pStyle w:val="Heading1"/>
      </w:pPr>
      <w:r>
        <w:t>8. Evaluación de escenarios y alternativas</w:t>
      </w:r>
    </w:p>
    <w:p>
      <w:r>
        <w:t>Se compararán como mínimo tres escenarios conceptuales, ajustados a los datos reales:</w:t>
      </w:r>
    </w:p>
    <w:p>
      <w:pPr>
        <w:pStyle w:val="Heading2"/>
      </w:pPr>
      <w:r>
        <w:t>8.1. Escenario base</w:t>
      </w:r>
    </w:p>
    <w:p>
      <w:r>
        <w:t>Representa la modalidad actual de abastecimiento y el consumo observado. Sirve como referencia para medir cambios en costo, exposición al precio y continuidad.</w:t>
      </w:r>
    </w:p>
    <w:p>
      <w:pPr>
        <w:pStyle w:val="Heading2"/>
      </w:pPr>
      <w:r>
        <w:t>8.2. Escenario de optimización</w:t>
      </w:r>
    </w:p>
    <w:p>
      <w:r>
        <w:t>Incluye medidas de eficiencia energética, gestión de demanda y análisis de contratación, sin asumir instalación de nueva generación.</w:t>
      </w:r>
    </w:p>
    <w:p>
      <w:pPr>
        <w:pStyle w:val="Heading2"/>
      </w:pPr>
      <w:r>
        <w:t>8.3. Escenario de resiliencia</w:t>
      </w:r>
    </w:p>
    <w:p>
      <w:r>
        <w:t>Añade una alternativa de autogeneración y, si el diagnóstico lo justifica, almacenamiento o respaldo para cargas críticas. La combinación se seleccionará según el perfil de demanda, el recurso local y la evaluación económica.</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pPr>
            <w:r/>
            <w:r>
              <w:rPr>
                <w:rFonts w:ascii="Times New Roman" w:hAnsi="Times New Roman"/>
                <w:b/>
                <w:sz w:val="18"/>
              </w:rPr>
              <w:t>Alternativa</w:t>
            </w:r>
          </w:p>
        </w:tc>
        <w:tc>
          <w:tcPr>
            <w:tcW w:type="dxa" w:w="2340"/>
            <w:vAlign w:val="center"/>
          </w:tcPr>
          <w:p>
            <w:pPr>
              <w:spacing w:line="240" w:lineRule="auto" w:after="0"/>
            </w:pPr>
            <w:r/>
            <w:r>
              <w:rPr>
                <w:rFonts w:ascii="Times New Roman" w:hAnsi="Times New Roman"/>
                <w:b/>
                <w:sz w:val="18"/>
              </w:rPr>
              <w:t>Reduce exposición a precios</w:t>
            </w:r>
          </w:p>
        </w:tc>
        <w:tc>
          <w:tcPr>
            <w:tcW w:type="dxa" w:w="2340"/>
            <w:vAlign w:val="center"/>
          </w:tcPr>
          <w:p>
            <w:pPr>
              <w:spacing w:line="240" w:lineRule="auto" w:after="0"/>
            </w:pPr>
            <w:r/>
            <w:r>
              <w:rPr>
                <w:rFonts w:ascii="Times New Roman" w:hAnsi="Times New Roman"/>
                <w:b/>
                <w:sz w:val="18"/>
              </w:rPr>
              <w:t>Respaldo ante falla física</w:t>
            </w:r>
          </w:p>
        </w:tc>
        <w:tc>
          <w:tcPr>
            <w:tcW w:type="dxa" w:w="2340"/>
            <w:vAlign w:val="center"/>
          </w:tcPr>
          <w:p>
            <w:pPr>
              <w:spacing w:line="240" w:lineRule="auto" w:after="0"/>
            </w:pPr>
            <w:r/>
            <w:r>
              <w:rPr>
                <w:rFonts w:ascii="Times New Roman" w:hAnsi="Times New Roman"/>
                <w:b/>
                <w:sz w:val="18"/>
              </w:rPr>
              <w:t>Condición clave</w:t>
            </w:r>
          </w:p>
        </w:tc>
      </w:tr>
      <w:tr>
        <w:tc>
          <w:tcPr>
            <w:tcW w:type="dxa" w:w="2340"/>
            <w:vAlign w:val="center"/>
          </w:tcPr>
          <w:p>
            <w:pPr>
              <w:spacing w:line="240" w:lineRule="auto" w:after="0"/>
            </w:pPr>
            <w:r/>
            <w:r>
              <w:rPr>
                <w:rFonts w:ascii="Times New Roman" w:hAnsi="Times New Roman"/>
                <w:b w:val="0"/>
                <w:sz w:val="18"/>
              </w:rPr>
              <w:t>Solar fotovoltaica</w:t>
            </w:r>
          </w:p>
        </w:tc>
        <w:tc>
          <w:tcPr>
            <w:tcW w:type="dxa" w:w="2340"/>
            <w:vAlign w:val="center"/>
          </w:tcPr>
          <w:p>
            <w:pPr>
              <w:spacing w:line="240" w:lineRule="auto" w:after="0"/>
            </w:pPr>
            <w:r/>
            <w:r>
              <w:rPr>
                <w:rFonts w:ascii="Times New Roman" w:hAnsi="Times New Roman"/>
                <w:b w:val="0"/>
                <w:sz w:val="18"/>
              </w:rPr>
              <w:t>Sí, según coincidencia entre generación y consumo.</w:t>
            </w:r>
          </w:p>
        </w:tc>
        <w:tc>
          <w:tcPr>
            <w:tcW w:type="dxa" w:w="2340"/>
            <w:vAlign w:val="center"/>
          </w:tcPr>
          <w:p>
            <w:pPr>
              <w:spacing w:line="240" w:lineRule="auto" w:after="0"/>
            </w:pPr>
            <w:r/>
            <w:r>
              <w:rPr>
                <w:rFonts w:ascii="Times New Roman" w:hAnsi="Times New Roman"/>
                <w:b w:val="0"/>
                <w:sz w:val="18"/>
              </w:rPr>
              <w:t>Solo con configuración diseñada para respaldo.</w:t>
            </w:r>
          </w:p>
        </w:tc>
        <w:tc>
          <w:tcPr>
            <w:tcW w:type="dxa" w:w="2340"/>
            <w:vAlign w:val="center"/>
          </w:tcPr>
          <w:p>
            <w:pPr>
              <w:spacing w:line="240" w:lineRule="auto" w:after="0"/>
            </w:pPr>
            <w:r/>
            <w:r>
              <w:rPr>
                <w:rFonts w:ascii="Times New Roman" w:hAnsi="Times New Roman"/>
                <w:b w:val="0"/>
                <w:sz w:val="18"/>
              </w:rPr>
              <w:t>Recurso solar, área y conexión.</w:t>
            </w:r>
          </w:p>
        </w:tc>
      </w:tr>
      <w:tr>
        <w:tc>
          <w:tcPr>
            <w:tcW w:type="dxa" w:w="2340"/>
            <w:vAlign w:val="center"/>
          </w:tcPr>
          <w:p>
            <w:pPr>
              <w:spacing w:line="240" w:lineRule="auto" w:after="0"/>
            </w:pPr>
            <w:r/>
            <w:r>
              <w:rPr>
                <w:rFonts w:ascii="Times New Roman" w:hAnsi="Times New Roman"/>
                <w:b w:val="0"/>
                <w:sz w:val="18"/>
              </w:rPr>
              <w:t>Baterías</w:t>
            </w:r>
          </w:p>
        </w:tc>
        <w:tc>
          <w:tcPr>
            <w:tcW w:type="dxa" w:w="2340"/>
            <w:vAlign w:val="center"/>
          </w:tcPr>
          <w:p>
            <w:pPr>
              <w:spacing w:line="240" w:lineRule="auto" w:after="0"/>
            </w:pPr>
            <w:r/>
            <w:r>
              <w:rPr>
                <w:rFonts w:ascii="Times New Roman" w:hAnsi="Times New Roman"/>
                <w:b w:val="0"/>
                <w:sz w:val="18"/>
              </w:rPr>
              <w:t>Puede desplazar consumo entre periodos.</w:t>
            </w:r>
          </w:p>
        </w:tc>
        <w:tc>
          <w:tcPr>
            <w:tcW w:type="dxa" w:w="2340"/>
            <w:vAlign w:val="center"/>
          </w:tcPr>
          <w:p>
            <w:pPr>
              <w:spacing w:line="240" w:lineRule="auto" w:after="0"/>
            </w:pPr>
            <w:r/>
            <w:r>
              <w:rPr>
                <w:rFonts w:ascii="Times New Roman" w:hAnsi="Times New Roman"/>
                <w:b w:val="0"/>
                <w:sz w:val="18"/>
              </w:rPr>
              <w:t>Sí, dentro de su potencia y autonomía.</w:t>
            </w:r>
          </w:p>
        </w:tc>
        <w:tc>
          <w:tcPr>
            <w:tcW w:type="dxa" w:w="2340"/>
            <w:vAlign w:val="center"/>
          </w:tcPr>
          <w:p>
            <w:pPr>
              <w:spacing w:line="240" w:lineRule="auto" w:after="0"/>
            </w:pPr>
            <w:r/>
            <w:r>
              <w:rPr>
                <w:rFonts w:ascii="Times New Roman" w:hAnsi="Times New Roman"/>
                <w:b w:val="0"/>
                <w:sz w:val="18"/>
              </w:rPr>
              <w:t>Capacidad útil, seguridad y costo.</w:t>
            </w:r>
          </w:p>
        </w:tc>
      </w:tr>
      <w:tr>
        <w:tc>
          <w:tcPr>
            <w:tcW w:type="dxa" w:w="2340"/>
            <w:vAlign w:val="center"/>
          </w:tcPr>
          <w:p>
            <w:pPr>
              <w:spacing w:line="240" w:lineRule="auto" w:after="0"/>
            </w:pPr>
            <w:r/>
            <w:r>
              <w:rPr>
                <w:rFonts w:ascii="Times New Roman" w:hAnsi="Times New Roman"/>
                <w:b w:val="0"/>
                <w:sz w:val="18"/>
              </w:rPr>
              <w:t>Biomasa/biogás</w:t>
            </w:r>
          </w:p>
        </w:tc>
        <w:tc>
          <w:tcPr>
            <w:tcW w:type="dxa" w:w="2340"/>
            <w:vAlign w:val="center"/>
          </w:tcPr>
          <w:p>
            <w:pPr>
              <w:spacing w:line="240" w:lineRule="auto" w:after="0"/>
            </w:pPr>
            <w:r/>
            <w:r>
              <w:rPr>
                <w:rFonts w:ascii="Times New Roman" w:hAnsi="Times New Roman"/>
                <w:b w:val="0"/>
                <w:sz w:val="18"/>
              </w:rPr>
              <w:t>Puede aportar generación propia.</w:t>
            </w:r>
          </w:p>
        </w:tc>
        <w:tc>
          <w:tcPr>
            <w:tcW w:type="dxa" w:w="2340"/>
            <w:vAlign w:val="center"/>
          </w:tcPr>
          <w:p>
            <w:pPr>
              <w:spacing w:line="240" w:lineRule="auto" w:after="0"/>
            </w:pPr>
            <w:r/>
            <w:r>
              <w:rPr>
                <w:rFonts w:ascii="Times New Roman" w:hAnsi="Times New Roman"/>
                <w:b w:val="0"/>
                <w:sz w:val="18"/>
              </w:rPr>
              <w:t>Potencialmente, con diseño apropiado.</w:t>
            </w:r>
          </w:p>
        </w:tc>
        <w:tc>
          <w:tcPr>
            <w:tcW w:type="dxa" w:w="2340"/>
            <w:vAlign w:val="center"/>
          </w:tcPr>
          <w:p>
            <w:pPr>
              <w:spacing w:line="240" w:lineRule="auto" w:after="0"/>
            </w:pPr>
            <w:r/>
            <w:r>
              <w:rPr>
                <w:rFonts w:ascii="Times New Roman" w:hAnsi="Times New Roman"/>
                <w:b w:val="0"/>
                <w:sz w:val="18"/>
              </w:rPr>
              <w:t>Residuos aptos y suministro constante.</w:t>
            </w:r>
          </w:p>
        </w:tc>
      </w:tr>
      <w:tr>
        <w:tc>
          <w:tcPr>
            <w:tcW w:type="dxa" w:w="2340"/>
            <w:vAlign w:val="center"/>
          </w:tcPr>
          <w:p>
            <w:pPr>
              <w:spacing w:line="240" w:lineRule="auto" w:after="0"/>
            </w:pPr>
            <w:r/>
            <w:r>
              <w:rPr>
                <w:rFonts w:ascii="Times New Roman" w:hAnsi="Times New Roman"/>
                <w:b w:val="0"/>
                <w:sz w:val="18"/>
              </w:rPr>
              <w:t>Pequeña hidroeléctrica</w:t>
            </w:r>
          </w:p>
        </w:tc>
        <w:tc>
          <w:tcPr>
            <w:tcW w:type="dxa" w:w="2340"/>
            <w:vAlign w:val="center"/>
          </w:tcPr>
          <w:p>
            <w:pPr>
              <w:spacing w:line="240" w:lineRule="auto" w:after="0"/>
            </w:pPr>
            <w:r/>
            <w:r>
              <w:rPr>
                <w:rFonts w:ascii="Times New Roman" w:hAnsi="Times New Roman"/>
                <w:b w:val="0"/>
                <w:sz w:val="18"/>
              </w:rPr>
              <w:t>Puede aportar generación propia.</w:t>
            </w:r>
          </w:p>
        </w:tc>
        <w:tc>
          <w:tcPr>
            <w:tcW w:type="dxa" w:w="2340"/>
            <w:vAlign w:val="center"/>
          </w:tcPr>
          <w:p>
            <w:pPr>
              <w:spacing w:line="240" w:lineRule="auto" w:after="0"/>
            </w:pPr>
            <w:r/>
            <w:r>
              <w:rPr>
                <w:rFonts w:ascii="Times New Roman" w:hAnsi="Times New Roman"/>
                <w:b w:val="0"/>
                <w:sz w:val="18"/>
              </w:rPr>
              <w:t>Potencialmente, según diseño.</w:t>
            </w:r>
          </w:p>
        </w:tc>
        <w:tc>
          <w:tcPr>
            <w:tcW w:type="dxa" w:w="2340"/>
            <w:vAlign w:val="center"/>
          </w:tcPr>
          <w:p>
            <w:pPr>
              <w:spacing w:line="240" w:lineRule="auto" w:after="0"/>
            </w:pPr>
            <w:r/>
            <w:r>
              <w:rPr>
                <w:rFonts w:ascii="Times New Roman" w:hAnsi="Times New Roman"/>
                <w:b w:val="0"/>
                <w:sz w:val="18"/>
              </w:rPr>
              <w:t>Caudal, desnivel, permisos y ambiente.</w:t>
            </w:r>
          </w:p>
        </w:tc>
      </w:tr>
      <w:tr>
        <w:tc>
          <w:tcPr>
            <w:tcW w:type="dxa" w:w="2340"/>
            <w:vAlign w:val="center"/>
          </w:tcPr>
          <w:p>
            <w:pPr>
              <w:spacing w:line="240" w:lineRule="auto" w:after="0"/>
            </w:pPr>
            <w:r/>
            <w:r>
              <w:rPr>
                <w:rFonts w:ascii="Times New Roman" w:hAnsi="Times New Roman"/>
                <w:b w:val="0"/>
                <w:sz w:val="18"/>
              </w:rPr>
              <w:t>Eólica</w:t>
            </w:r>
          </w:p>
        </w:tc>
        <w:tc>
          <w:tcPr>
            <w:tcW w:type="dxa" w:w="2340"/>
            <w:vAlign w:val="center"/>
          </w:tcPr>
          <w:p>
            <w:pPr>
              <w:spacing w:line="240" w:lineRule="auto" w:after="0"/>
            </w:pPr>
            <w:r/>
            <w:r>
              <w:rPr>
                <w:rFonts w:ascii="Times New Roman" w:hAnsi="Times New Roman"/>
                <w:b w:val="0"/>
                <w:sz w:val="18"/>
              </w:rPr>
              <w:t>Depende del recurso y del perfil.</w:t>
            </w:r>
          </w:p>
        </w:tc>
        <w:tc>
          <w:tcPr>
            <w:tcW w:type="dxa" w:w="2340"/>
            <w:vAlign w:val="center"/>
          </w:tcPr>
          <w:p>
            <w:pPr>
              <w:spacing w:line="240" w:lineRule="auto" w:after="0"/>
            </w:pPr>
            <w:r/>
            <w:r>
              <w:rPr>
                <w:rFonts w:ascii="Times New Roman" w:hAnsi="Times New Roman"/>
                <w:b w:val="0"/>
                <w:sz w:val="18"/>
              </w:rPr>
              <w:t>Potencialmente, con diseño adecuado.</w:t>
            </w:r>
          </w:p>
        </w:tc>
        <w:tc>
          <w:tcPr>
            <w:tcW w:type="dxa" w:w="2340"/>
            <w:vAlign w:val="center"/>
          </w:tcPr>
          <w:p>
            <w:pPr>
              <w:spacing w:line="240" w:lineRule="auto" w:after="0"/>
            </w:pPr>
            <w:r/>
            <w:r>
              <w:rPr>
                <w:rFonts w:ascii="Times New Roman" w:hAnsi="Times New Roman"/>
                <w:b w:val="0"/>
                <w:sz w:val="18"/>
              </w:rPr>
              <w:t>Medición del viento.</w:t>
            </w:r>
          </w:p>
        </w:tc>
      </w:tr>
      <w:tr>
        <w:tc>
          <w:tcPr>
            <w:tcW w:type="dxa" w:w="2340"/>
            <w:vAlign w:val="center"/>
          </w:tcPr>
          <w:p>
            <w:pPr>
              <w:spacing w:line="240" w:lineRule="auto" w:after="0"/>
            </w:pPr>
            <w:r/>
            <w:r>
              <w:rPr>
                <w:rFonts w:ascii="Times New Roman" w:hAnsi="Times New Roman"/>
                <w:b w:val="0"/>
                <w:sz w:val="18"/>
              </w:rPr>
              <w:t>Generador de combustible</w:t>
            </w:r>
          </w:p>
        </w:tc>
        <w:tc>
          <w:tcPr>
            <w:tcW w:type="dxa" w:w="2340"/>
            <w:vAlign w:val="center"/>
          </w:tcPr>
          <w:p>
            <w:pPr>
              <w:spacing w:line="240" w:lineRule="auto" w:after="0"/>
            </w:pPr>
            <w:r/>
            <w:r>
              <w:rPr>
                <w:rFonts w:ascii="Times New Roman" w:hAnsi="Times New Roman"/>
                <w:b w:val="0"/>
                <w:sz w:val="18"/>
              </w:rPr>
              <w:t>No suele ser la primera opción para reducir costos normales.</w:t>
            </w:r>
          </w:p>
        </w:tc>
        <w:tc>
          <w:tcPr>
            <w:tcW w:type="dxa" w:w="2340"/>
            <w:vAlign w:val="center"/>
          </w:tcPr>
          <w:p>
            <w:pPr>
              <w:spacing w:line="240" w:lineRule="auto" w:after="0"/>
            </w:pPr>
            <w:r/>
            <w:r>
              <w:rPr>
                <w:rFonts w:ascii="Times New Roman" w:hAnsi="Times New Roman"/>
                <w:b w:val="0"/>
                <w:sz w:val="18"/>
              </w:rPr>
              <w:t>Sí, si está operativo y abastecido.</w:t>
            </w:r>
          </w:p>
        </w:tc>
        <w:tc>
          <w:tcPr>
            <w:tcW w:type="dxa" w:w="2340"/>
            <w:vAlign w:val="center"/>
          </w:tcPr>
          <w:p>
            <w:pPr>
              <w:spacing w:line="240" w:lineRule="auto" w:after="0"/>
            </w:pPr>
            <w:r/>
            <w:r>
              <w:rPr>
                <w:rFonts w:ascii="Times New Roman" w:hAnsi="Times New Roman"/>
                <w:b w:val="0"/>
                <w:sz w:val="18"/>
              </w:rPr>
              <w:t>Combustible, mantenimiento y seguridad.</w:t>
            </w:r>
          </w:p>
        </w:tc>
      </w:tr>
      <w:tr>
        <w:tc>
          <w:tcPr>
            <w:tcW w:type="dxa" w:w="2340"/>
            <w:vAlign w:val="center"/>
          </w:tcPr>
          <w:p>
            <w:pPr>
              <w:spacing w:line="240" w:lineRule="auto" w:after="0"/>
            </w:pPr>
            <w:r/>
            <w:r>
              <w:rPr>
                <w:rFonts w:ascii="Times New Roman" w:hAnsi="Times New Roman"/>
                <w:b w:val="0"/>
                <w:sz w:val="18"/>
              </w:rPr>
              <w:t>Contrato de suministro</w:t>
            </w:r>
          </w:p>
        </w:tc>
        <w:tc>
          <w:tcPr>
            <w:tcW w:type="dxa" w:w="2340"/>
            <w:vAlign w:val="center"/>
          </w:tcPr>
          <w:p>
            <w:pPr>
              <w:spacing w:line="240" w:lineRule="auto" w:after="0"/>
            </w:pPr>
            <w:r/>
            <w:r>
              <w:rPr>
                <w:rFonts w:ascii="Times New Roman" w:hAnsi="Times New Roman"/>
                <w:b w:val="0"/>
                <w:sz w:val="18"/>
              </w:rPr>
              <w:t>Puede reducir exposición según términos.</w:t>
            </w:r>
          </w:p>
        </w:tc>
        <w:tc>
          <w:tcPr>
            <w:tcW w:type="dxa" w:w="2340"/>
            <w:vAlign w:val="center"/>
          </w:tcPr>
          <w:p>
            <w:pPr>
              <w:spacing w:line="240" w:lineRule="auto" w:after="0"/>
            </w:pPr>
            <w:r/>
            <w:r>
              <w:rPr>
                <w:rFonts w:ascii="Times New Roman" w:hAnsi="Times New Roman"/>
                <w:b w:val="0"/>
                <w:sz w:val="18"/>
              </w:rPr>
              <w:t>No sustituye respaldo físico.</w:t>
            </w:r>
          </w:p>
        </w:tc>
        <w:tc>
          <w:tcPr>
            <w:tcW w:type="dxa" w:w="2340"/>
            <w:vAlign w:val="center"/>
          </w:tcPr>
          <w:p>
            <w:pPr>
              <w:spacing w:line="240" w:lineRule="auto" w:after="0"/>
            </w:pPr>
            <w:r/>
            <w:r>
              <w:rPr>
                <w:rFonts w:ascii="Times New Roman" w:hAnsi="Times New Roman"/>
                <w:b w:val="0"/>
                <w:sz w:val="18"/>
              </w:rPr>
              <w:t>Condiciones contractuales y perfil de carga.</w:t>
            </w:r>
          </w:p>
        </w:tc>
      </w:tr>
      <w:tr>
        <w:tc>
          <w:tcPr>
            <w:tcW w:type="dxa" w:w="2340"/>
            <w:vAlign w:val="center"/>
          </w:tcPr>
          <w:p>
            <w:pPr>
              <w:spacing w:line="240" w:lineRule="auto" w:after="0"/>
            </w:pPr>
            <w:r/>
            <w:r>
              <w:rPr>
                <w:rFonts w:ascii="Times New Roman" w:hAnsi="Times New Roman"/>
                <w:b w:val="0"/>
                <w:sz w:val="18"/>
              </w:rPr>
              <w:t>Eficiencia y demanda</w:t>
            </w:r>
          </w:p>
        </w:tc>
        <w:tc>
          <w:tcPr>
            <w:tcW w:type="dxa" w:w="2340"/>
            <w:vAlign w:val="center"/>
          </w:tcPr>
          <w:p>
            <w:pPr>
              <w:spacing w:line="240" w:lineRule="auto" w:after="0"/>
            </w:pPr>
            <w:r/>
            <w:r>
              <w:rPr>
                <w:rFonts w:ascii="Times New Roman" w:hAnsi="Times New Roman"/>
                <w:b w:val="0"/>
                <w:sz w:val="18"/>
              </w:rPr>
              <w:t>Reduce o desplaza consumo.</w:t>
            </w:r>
          </w:p>
        </w:tc>
        <w:tc>
          <w:tcPr>
            <w:tcW w:type="dxa" w:w="2340"/>
            <w:vAlign w:val="center"/>
          </w:tcPr>
          <w:p>
            <w:pPr>
              <w:spacing w:line="240" w:lineRule="auto" w:after="0"/>
            </w:pPr>
            <w:r/>
            <w:r>
              <w:rPr>
                <w:rFonts w:ascii="Times New Roman" w:hAnsi="Times New Roman"/>
                <w:b w:val="0"/>
                <w:sz w:val="18"/>
              </w:rPr>
              <w:t>Disminuye cargas que deben respaldarse.</w:t>
            </w:r>
          </w:p>
        </w:tc>
        <w:tc>
          <w:tcPr>
            <w:tcW w:type="dxa" w:w="2340"/>
            <w:vAlign w:val="center"/>
          </w:tcPr>
          <w:p>
            <w:pPr>
              <w:spacing w:line="240" w:lineRule="auto" w:after="0"/>
            </w:pPr>
            <w:r/>
            <w:r>
              <w:rPr>
                <w:rFonts w:ascii="Times New Roman" w:hAnsi="Times New Roman"/>
                <w:b w:val="0"/>
                <w:sz w:val="18"/>
              </w:rPr>
              <w:t>Medición y control.</w:t>
            </w:r>
          </w:p>
        </w:tc>
      </w:tr>
    </w:tbl>
    <w:p>
      <w:pPr>
        <w:pStyle w:val="Heading1"/>
      </w:pPr>
      <w:r>
        <w:t>9. Resultados esperados</w:t>
      </w:r>
    </w:p>
    <w:p>
      <w:pPr>
        <w:pStyle w:val="ListBullet"/>
        <w:spacing w:line="360" w:lineRule="auto"/>
      </w:pPr>
      <w:r>
        <w:t>Diagnóstico del caso y línea base energética documentada.</w:t>
      </w:r>
    </w:p>
    <w:p>
      <w:pPr>
        <w:pStyle w:val="ListBullet"/>
        <w:spacing w:line="360" w:lineRule="auto"/>
      </w:pPr>
      <w:r>
        <w:t>Base de datos trazable de precios y variables utilizadas, respetando licencias y restricciones.</w:t>
      </w:r>
    </w:p>
    <w:p>
      <w:pPr>
        <w:pStyle w:val="ListBullet"/>
        <w:spacing w:line="360" w:lineRule="auto"/>
      </w:pPr>
      <w:r>
        <w:t>Modelos predictivos comparados contra referencias y evaluados temporalmente.</w:t>
      </w:r>
    </w:p>
    <w:p>
      <w:pPr>
        <w:pStyle w:val="ListBullet"/>
        <w:spacing w:line="360" w:lineRule="auto"/>
      </w:pPr>
      <w:r>
        <w:t>Procedimiento para identificar escenarios de alto precio con límites e incertidumbre explícitos.</w:t>
      </w:r>
    </w:p>
    <w:p>
      <w:pPr>
        <w:pStyle w:val="ListBullet"/>
        <w:spacing w:line="360" w:lineRule="auto"/>
      </w:pPr>
      <w:r>
        <w:t>Comparación preliminar de alternativas de abastecimiento y continuidad.</w:t>
      </w:r>
    </w:p>
    <w:p>
      <w:pPr>
        <w:pStyle w:val="ListBullet"/>
        <w:spacing w:line="360" w:lineRule="auto"/>
      </w:pPr>
      <w:r>
        <w:t>Prototipo de tablero para apoyar análisis de escenarios y comunicar resultados.</w:t>
      </w:r>
    </w:p>
    <w:p>
      <w:pPr>
        <w:pStyle w:val="ListBullet"/>
        <w:spacing w:line="360" w:lineRule="auto"/>
      </w:pPr>
      <w:r>
        <w:t>Informe técnico con supuestos, resultados, limitaciones y recomendaciones.</w:t>
      </w:r>
    </w:p>
    <w:p>
      <w:pPr>
        <w:pStyle w:val="ListBullet"/>
        <w:spacing w:line="360" w:lineRule="auto"/>
      </w:pPr>
      <w:r>
        <w:t>Repositorio de código y documentación reproducible, cuando las condiciones de datos y licencias lo permitan.</w:t>
      </w:r>
    </w:p>
    <w:p>
      <w:pPr>
        <w:pStyle w:val="ListBullet"/>
        <w:spacing w:line="360" w:lineRule="auto"/>
      </w:pPr>
      <w:r>
        <w:t>Si lo exige la certificación del diplomado, componente de Plan Estratégico de Desarrollo Sostenible y Marketing aplicado al caso.</w:t>
      </w:r>
    </w:p>
    <w:p>
      <w:pPr>
        <w:pStyle w:val="Heading1"/>
      </w:pPr>
      <w:r>
        <w:t>10. Alcance, limitaciones y riesgos</w:t>
      </w:r>
    </w:p>
    <w:p>
      <w:pPr>
        <w:pStyle w:val="Heading2"/>
      </w:pPr>
      <w:r>
        <w:t>10.1. Alcance</w:t>
      </w:r>
    </w:p>
    <w:p>
      <w:r>
        <w:t>El proyecto busca desarrollar y evaluar un prototipo de apoyo a decisiones y comparar alternativas a nivel preliminar. No incluye, salvo que se acuerde expresamente, ingeniería de detalle, compra de equipos, instalación eléctrica, trámite de conexión, negociación de contratos ni certificación de cumplimiento normativo.</w:t>
      </w:r>
    </w:p>
    <w:p>
      <w:pPr>
        <w:pStyle w:val="Heading2"/>
      </w:pPr>
      <w:r>
        <w:t>10.2. Limitaciones</w:t>
      </w:r>
    </w:p>
    <w:p>
      <w:pPr>
        <w:pStyle w:val="ListBullet"/>
        <w:spacing w:line="360" w:lineRule="auto"/>
      </w:pPr>
      <w:r>
        <w:t>La calidad del pronóstico dependerá de la disponibilidad, consistencia y representatividad de los datos.</w:t>
      </w:r>
    </w:p>
    <w:p>
      <w:pPr>
        <w:pStyle w:val="ListBullet"/>
        <w:spacing w:line="360" w:lineRule="auto"/>
      </w:pPr>
      <w:r>
        <w:t>Los precios futuros no pueden conocerse con certeza; el desempeño histórico no garantiza desempeño futuro.</w:t>
      </w:r>
    </w:p>
    <w:p>
      <w:pPr>
        <w:pStyle w:val="ListBullet"/>
        <w:spacing w:line="360" w:lineRule="auto"/>
      </w:pPr>
      <w:r>
        <w:t>El precio de bolsa no permite predecir por sí solo interrupciones físicas de red.</w:t>
      </w:r>
    </w:p>
    <w:p>
      <w:pPr>
        <w:pStyle w:val="ListBullet"/>
        <w:spacing w:line="360" w:lineRule="auto"/>
      </w:pPr>
      <w:r>
        <w:t>La viabilidad de cada tecnología depende del emplazamiento y de información técnica específica.</w:t>
      </w:r>
    </w:p>
    <w:p>
      <w:pPr>
        <w:pStyle w:val="ListBullet"/>
        <w:spacing w:line="360" w:lineRule="auto"/>
      </w:pPr>
      <w:r>
        <w:t>Los resultados económicos dependerán de los supuestos de inversión, operación, financiación, vida útil y costos de energía.</w:t>
      </w:r>
    </w:p>
    <w:p>
      <w:pPr>
        <w:pStyle w:val="ListBullet"/>
        <w:spacing w:line="360" w:lineRule="auto"/>
      </w:pPr>
      <w:r>
        <w:t>La normativa aplicable debe revisarse de nuevo antes de una implementación real.</w:t>
      </w:r>
    </w:p>
    <w:p>
      <w:pPr>
        <w:pStyle w:val="Heading2"/>
      </w:pPr>
      <w:r>
        <w:t>10.3. Riesgos y medidas de control</w:t>
      </w:r>
    </w:p>
    <w:p>
      <w:r>
        <w:t>Entre los riesgos se incluyen falta de datos, cambios regulatorios, sesgo de selección, sobreajuste del modelo, estimaciones de costo incompletas y confusión entre pronóstico y recomendación operativa. Para mitigarlos se documentarán las fuentes, se conservará un conjunto temporal de prueba, se compararán modelos de referencia, se explicitarán los supuestos y se someterán las recomendaciones a revisión técnica.</w:t>
      </w:r>
    </w:p>
    <w:p>
      <w:pPr>
        <w:pStyle w:val="Heading1"/>
      </w:pPr>
      <w:r>
        <w:t>11. Cronograma de trabajo propuesto</w:t>
      </w:r>
    </w:p>
    <w:p>
      <w:r>
        <w:t>El cronograma definitivo se elaborará después de confirmar la fecha de inicio, la fecha de entrega, la disponibilidad del caso y los requisitos del asesor. Como secuencia de trabajo se proponen las siguientes etapas:</w:t>
      </w:r>
    </w:p>
    <w:p>
      <w:pPr>
        <w:pStyle w:val="ListNumber"/>
        <w:spacing w:line="360" w:lineRule="auto"/>
      </w:pPr>
      <w:r>
        <w:t>Etapa 1: selección del caso y delimitación del problema.</w:t>
      </w:r>
    </w:p>
    <w:p>
      <w:pPr>
        <w:pStyle w:val="ListNumber"/>
        <w:spacing w:line="360" w:lineRule="auto"/>
      </w:pPr>
      <w:r>
        <w:t>Etapa 2: revisión bibliográfica, normativa y de fuentes de datos.</w:t>
      </w:r>
    </w:p>
    <w:p>
      <w:pPr>
        <w:pStyle w:val="ListNumber"/>
        <w:spacing w:line="360" w:lineRule="auto"/>
      </w:pPr>
      <w:r>
        <w:t>Etapa 3: diagnóstico energético y construcción de la base de datos.</w:t>
      </w:r>
    </w:p>
    <w:p>
      <w:pPr>
        <w:pStyle w:val="ListNumber"/>
        <w:spacing w:line="360" w:lineRule="auto"/>
      </w:pPr>
      <w:r>
        <w:t>Etapa 4: análisis exploratorio y desarrollo de modelos.</w:t>
      </w:r>
    </w:p>
    <w:p>
      <w:pPr>
        <w:pStyle w:val="ListNumber"/>
        <w:spacing w:line="360" w:lineRule="auto"/>
      </w:pPr>
      <w:r>
        <w:t>Etapa 5: validación retrospectiva y análisis de escenarios.</w:t>
      </w:r>
    </w:p>
    <w:p>
      <w:pPr>
        <w:pStyle w:val="ListNumber"/>
        <w:spacing w:line="360" w:lineRule="auto"/>
      </w:pPr>
      <w:r>
        <w:t>Etapa 6: comparación técnica-económica de alternativas.</w:t>
      </w:r>
    </w:p>
    <w:p>
      <w:pPr>
        <w:pStyle w:val="ListNumber"/>
        <w:spacing w:line="360" w:lineRule="auto"/>
      </w:pPr>
      <w:r>
        <w:t>Etapa 7: construcción del prototipo, documentación y revisión.</w:t>
      </w:r>
    </w:p>
    <w:p>
      <w:pPr>
        <w:pStyle w:val="ListNumber"/>
        <w:spacing w:line="360" w:lineRule="auto"/>
      </w:pPr>
      <w:r>
        <w:t>Etapa 8: ajustes, informe final y preparación de la sustentación.</w:t>
      </w:r>
    </w:p>
    <w:p>
      <w:pPr>
        <w:pStyle w:val="Heading1"/>
      </w:pPr>
      <w:r>
        <w:t>12. Conclusiones preliminares</w:t>
      </w:r>
    </w:p>
    <w:p>
      <w:r>
        <w:t>La propuesta plantea que la gestión del riesgo energético requiere integrar analítica predictiva, contratación, eficiencia, autogeneración y continuidad operativa. La solar fotovoltaica y la eficiencia energética constituyen opciones razonables para una evaluación inicial, mientras que baterías, biomasa, biogás, pequeña hidroeléctrica, eólica y generación con combustibles deben evaluarse según la necesidad y las condiciones del sitio.</w:t>
      </w:r>
    </w:p>
    <w:p>
      <w:r>
        <w:t>El sistema predictivo no debe prometer ahorros ni determinar de manera automática cuándo comprar energía. Su función será aportar estimaciones evaluadas y escenarios comparables para que las decisiones se adopten con base en costos, restricciones, contratos y tolerancia al riesgo.</w:t>
      </w:r>
    </w:p>
    <w:p>
      <w:r>
        <w:t>La principal tarea pendiente para convertir esta propuesta en un proyecto ejecutable es seleccionar una organización concreta del Cauca y obtener datos verificables sobre consumo, contratación, cargas críticas y ubicación. Sin esa información no es técnicamente responsable seleccionar una tecnología definitiva ni cuantificar beneficios.</w:t>
      </w:r>
    </w:p>
    <w:p>
      <w:pPr>
        <w:pStyle w:val="Heading1"/>
      </w:pPr>
      <w:r>
        <w:t>Glosario</w:t>
      </w:r>
    </w:p>
    <w:p>
      <w:pPr>
        <w:spacing w:line="360" w:lineRule="auto" w:after="80"/>
      </w:pPr>
      <w:r>
        <w:rPr>
          <w:b/>
        </w:rPr>
        <w:t xml:space="preserve">Analítica predictiva. </w:t>
      </w:r>
      <w:r>
        <w:t>Uso de datos y técnicas estadísticas o computacionales para estimar valores o comportamientos futuros.</w:t>
      </w:r>
    </w:p>
    <w:p>
      <w:pPr>
        <w:spacing w:line="360" w:lineRule="auto" w:after="80"/>
      </w:pPr>
      <w:r>
        <w:rPr>
          <w:b/>
        </w:rPr>
        <w:t xml:space="preserve">Autogeneración. </w:t>
      </w:r>
      <w:r>
        <w:t>Producción de energía eléctrica principalmente para atender necesidades propias, conforme a la definición regulatoria aplicable.</w:t>
      </w:r>
    </w:p>
    <w:p>
      <w:pPr>
        <w:spacing w:line="360" w:lineRule="auto" w:after="80"/>
      </w:pPr>
      <w:r>
        <w:rPr>
          <w:b/>
        </w:rPr>
        <w:t xml:space="preserve">Backtesting (validación retrospectiva). </w:t>
      </w:r>
      <w:r>
        <w:t>Evaluación de un modelo o estrategia mediante datos históricos no utilizados en el ajuste del modelo.</w:t>
      </w:r>
    </w:p>
    <w:p>
      <w:pPr>
        <w:spacing w:line="360" w:lineRule="auto" w:after="80"/>
      </w:pPr>
      <w:r>
        <w:rPr>
          <w:b/>
        </w:rPr>
        <w:t xml:space="preserve">Bolsa de energía. </w:t>
      </w:r>
      <w:r>
        <w:t>Mecanismo del mercado mayorista colombiano para transacciones de energía bajo las reglas vigentes.</w:t>
      </w:r>
    </w:p>
    <w:p>
      <w:pPr>
        <w:spacing w:line="360" w:lineRule="auto" w:after="80"/>
      </w:pPr>
      <w:r>
        <w:rPr>
          <w:b/>
        </w:rPr>
        <w:t xml:space="preserve">Carga crítica. </w:t>
      </w:r>
      <w:r>
        <w:t>Equipo o proceso cuya continuidad se considera prioritaria durante una interrupción.</w:t>
      </w:r>
    </w:p>
    <w:p>
      <w:pPr>
        <w:spacing w:line="360" w:lineRule="auto" w:after="80"/>
      </w:pPr>
      <w:r>
        <w:rPr>
          <w:b/>
        </w:rPr>
        <w:t xml:space="preserve">Costo del ciclo de vida. </w:t>
      </w:r>
      <w:r>
        <w:t>Estimación de costos de inversión, operación, mantenimiento, reposición y otros costos relevantes durante un horizonte definido.</w:t>
      </w:r>
    </w:p>
    <w:p>
      <w:pPr>
        <w:spacing w:line="360" w:lineRule="auto" w:after="80"/>
      </w:pPr>
      <w:r>
        <w:rPr>
          <w:b/>
        </w:rPr>
        <w:t xml:space="preserve">Demanda eléctrica. </w:t>
      </w:r>
      <w:r>
        <w:t>Potencia o energía requerida por una instalación en un momento o periodo determinado.</w:t>
      </w:r>
    </w:p>
    <w:p>
      <w:pPr>
        <w:spacing w:line="360" w:lineRule="auto" w:after="80"/>
      </w:pPr>
      <w:r>
        <w:rPr>
          <w:b/>
        </w:rPr>
        <w:t xml:space="preserve">Eficiencia energética. </w:t>
      </w:r>
      <w:r>
        <w:t>Relación entre el resultado útil obtenido y la energía empleada para obtenerlo.</w:t>
      </w:r>
    </w:p>
    <w:p>
      <w:pPr>
        <w:spacing w:line="360" w:lineRule="auto" w:after="80"/>
      </w:pPr>
      <w:r>
        <w:rPr>
          <w:b/>
        </w:rPr>
        <w:t xml:space="preserve">Energía renovable. </w:t>
      </w:r>
      <w:r>
        <w:t>Energía procedente de fuentes que se reponen mediante procesos naturales, como la solar, eólica y ciertas formas de energía hidráulica y biomasa.</w:t>
      </w:r>
    </w:p>
    <w:p>
      <w:pPr>
        <w:spacing w:line="360" w:lineRule="auto" w:after="80"/>
      </w:pPr>
      <w:r>
        <w:rPr>
          <w:b/>
        </w:rPr>
        <w:t xml:space="preserve">Escenario de alto precio. </w:t>
      </w:r>
      <w:r>
        <w:t>Condición definida mediante un umbral explícito para identificar valores elevados del precio respecto de un criterio de referencia.</w:t>
      </w:r>
    </w:p>
    <w:p>
      <w:pPr>
        <w:spacing w:line="360" w:lineRule="auto" w:after="80"/>
      </w:pPr>
      <w:r>
        <w:rPr>
          <w:b/>
        </w:rPr>
        <w:t xml:space="preserve">Generación distribuida. </w:t>
      </w:r>
      <w:r>
        <w:t>Generación conectada al sistema de distribución bajo las condiciones técnicas y regulatorias aplicables.</w:t>
      </w:r>
    </w:p>
    <w:p>
      <w:pPr>
        <w:spacing w:line="360" w:lineRule="auto" w:after="80"/>
      </w:pPr>
      <w:r>
        <w:rPr>
          <w:b/>
        </w:rPr>
        <w:t xml:space="preserve">Gestión de la demanda. </w:t>
      </w:r>
      <w:r>
        <w:t>Acciones para modificar o controlar patrones de consumo por razones técnicas, económicas u operativas.</w:t>
      </w:r>
    </w:p>
    <w:p>
      <w:pPr>
        <w:spacing w:line="360" w:lineRule="auto" w:after="80"/>
      </w:pPr>
      <w:r>
        <w:rPr>
          <w:b/>
        </w:rPr>
        <w:t xml:space="preserve">MEM. </w:t>
      </w:r>
      <w:r>
        <w:t>Mercado de Energía Mayorista colombiano.</w:t>
      </w:r>
    </w:p>
    <w:p>
      <w:pPr>
        <w:spacing w:line="360" w:lineRule="auto" w:after="80"/>
      </w:pPr>
      <w:r>
        <w:rPr>
          <w:b/>
        </w:rPr>
        <w:t xml:space="preserve">Modelo predictivo. </w:t>
      </w:r>
      <w:r>
        <w:t>Representación analítica construida a partir de datos para estimar una variable o comportamiento futuro.</w:t>
      </w:r>
    </w:p>
    <w:p>
      <w:pPr>
        <w:spacing w:line="360" w:lineRule="auto" w:after="80"/>
      </w:pPr>
      <w:r>
        <w:rPr>
          <w:b/>
        </w:rPr>
        <w:t xml:space="preserve">Precio de bolsa. </w:t>
      </w:r>
      <w:r>
        <w:t>Precio de energía determinado conforme a las reglas del mercado de bolsa colombiano.</w:t>
      </w:r>
    </w:p>
    <w:p>
      <w:pPr>
        <w:spacing w:line="360" w:lineRule="auto" w:after="80"/>
      </w:pPr>
      <w:r>
        <w:rPr>
          <w:b/>
        </w:rPr>
        <w:t xml:space="preserve">Resiliencia energética. </w:t>
      </w:r>
      <w:r>
        <w:t>Capacidad de una organización o sistema para prepararse, responder y recuperarse frente a perturbaciones del abastecimiento.</w:t>
      </w:r>
    </w:p>
    <w:p>
      <w:pPr>
        <w:spacing w:line="360" w:lineRule="auto" w:after="80"/>
      </w:pPr>
      <w:r>
        <w:rPr>
          <w:b/>
        </w:rPr>
        <w:t xml:space="preserve">Sistema de almacenamiento. </w:t>
      </w:r>
      <w:r>
        <w:t>Equipos que permiten almacenar energía y entregarla posteriormente; las baterías son un ejemplo.</w:t>
      </w:r>
    </w:p>
    <w:p>
      <w:pPr>
        <w:spacing w:line="360" w:lineRule="auto" w:after="80"/>
      </w:pPr>
      <w:r>
        <w:rPr>
          <w:b/>
        </w:rPr>
        <w:t xml:space="preserve">Variable objetivo. </w:t>
      </w:r>
      <w:r>
        <w:t>Variable que el modelo pretende estimar.</w:t>
      </w:r>
    </w:p>
    <w:p>
      <w:pPr>
        <w:spacing w:line="360" w:lineRule="auto" w:after="80"/>
      </w:pPr>
      <w:r>
        <w:rPr>
          <w:b/>
        </w:rPr>
        <w:t xml:space="preserve">Variable explicativa. </w:t>
      </w:r>
      <w:r>
        <w:t>Variable que se analiza como posible fuente de información para explicar o anticipar cambios en la variable objetivo.</w:t>
      </w:r>
    </w:p>
    <w:p>
      <w:pPr>
        <w:pStyle w:val="Heading1"/>
      </w:pPr>
      <w:r>
        <w:t>Referencias</w:t>
      </w:r>
    </w:p>
    <w:p>
      <w:pPr>
        <w:spacing w:line="360" w:lineRule="auto" w:after="120"/>
        <w:ind w:left="720" w:hanging="720"/>
      </w:pPr>
      <w:r>
        <w:t>Congreso de Colombia. (2001, 3 de octubre). Ley 697 de 2001, mediante la cual se fomenta el uso racional y eficiente de la energía, se promueve la utilización de energías alternativas y se dictan otras disposiciones. https://www.cancilleria.gov.co/normograma/compilacion/docs/ley_0697_2001.htm</w:t>
      </w:r>
    </w:p>
    <w:p>
      <w:pPr>
        <w:spacing w:line="360" w:lineRule="auto" w:after="120"/>
        <w:ind w:left="720" w:hanging="720"/>
      </w:pPr>
      <w:r>
        <w:t>Congreso de Colombia. (2014, 13 de mayo). Ley 1715 de 2014, por medio de la cual se regula la integración de las energías renovables no convencionales al Sistema Energético Nacional. https://cancilleria.gov.co/normograma/compilacion/docs/ley_1715_2014.htm</w:t>
      </w:r>
    </w:p>
    <w:p>
      <w:pPr>
        <w:spacing w:line="360" w:lineRule="auto" w:after="120"/>
        <w:ind w:left="720" w:hanging="720"/>
      </w:pPr>
      <w:r>
        <w:t>Congreso de Colombia. (2021, 10 de julio). Ley 2099 de 2021, por medio de la cual se dictan disposiciones para la transición energética, la dinamización del mercado energético, la reactivación económica del país y se dictan otras disposiciones. Diario Oficial de la República de Colombia.</w:t>
      </w:r>
    </w:p>
    <w:p>
      <w:pPr>
        <w:spacing w:line="360" w:lineRule="auto" w:after="120"/>
        <w:ind w:left="720" w:hanging="720"/>
      </w:pPr>
      <w:r>
        <w:t>Congreso de Colombia. (2021, 22 de diciembre). Ley 2169 de 2021, por medio de la cual se impulsa el desarrollo bajo en carbono del país mediante el establecimiento de metas y medidas mínimas en materia de carbono neutralidad y resiliencia climática y se dictan otras disposiciones. Diario Oficial de la República de Colombia.</w:t>
      </w:r>
    </w:p>
    <w:p>
      <w:pPr>
        <w:spacing w:line="360" w:lineRule="auto" w:after="120"/>
        <w:ind w:left="720" w:hanging="720"/>
      </w:pPr>
      <w:r>
        <w:t>Consejo Nacional de Política Económica y Social. (2022). Documento CONPES 4075: Política de transición energética. Departamento Nacional de Planeación.</w:t>
      </w:r>
    </w:p>
    <w:p>
      <w:pPr>
        <w:spacing w:line="360" w:lineRule="auto" w:after="120"/>
        <w:ind w:left="720" w:hanging="720"/>
      </w:pPr>
      <w:r>
        <w:t>International Organization for Standardization. (2018). ISO 50001:2018 Energy management systems—Requirements with guidance for use. ISO.</w:t>
      </w:r>
    </w:p>
    <w:p>
      <w:pPr>
        <w:spacing w:line="360" w:lineRule="auto" w:after="120"/>
        <w:ind w:left="720" w:hanging="720"/>
      </w:pPr>
      <w:r>
        <w:t>Ministerio de Minas y Energía. (2015). Decreto 1073 de 2015, por medio del cual se expide el Decreto Único Reglamentario del Sector Administrativo de Minas y Energía. Presidencia de la República de Colombia.</w:t>
      </w:r>
    </w:p>
    <w:p>
      <w:pPr>
        <w:spacing w:line="360" w:lineRule="auto" w:after="120"/>
        <w:ind w:left="720" w:hanging="720"/>
      </w:pPr>
      <w:r>
        <w:t>Ministerio de Minas y Energía. (2023, 22 de diciembre). Decreto 2236 de 2023, por el cual se adiciona el Decreto 1073 de 2015 en relación con las comunidades energéticas en el marco de la transición energética justa en Colombia. https://gestornormativo.creg.gov.co/gestor/entorno/docs/decreto_2236_2023.htm</w:t>
      </w:r>
    </w:p>
    <w:p>
      <w:pPr>
        <w:spacing w:line="360" w:lineRule="auto" w:after="120"/>
        <w:ind w:left="720" w:hanging="720"/>
      </w:pPr>
      <w:r>
        <w:t>Unidad de Planeación Minero Energética. (s. f.). Plan Energético Rural Sostenible (PERS). https://www.upme.gov.co/simec/planeacion-energetica/plan-energetico-rural-sostenible-pers/</w:t>
      </w:r>
    </w:p>
    <w:p>
      <w:pPr>
        <w:spacing w:line="360" w:lineRule="auto" w:after="120"/>
        <w:ind w:left="720" w:hanging="720"/>
      </w:pPr>
      <w:r>
        <w:t>Unidad de Planeación Minero Energética. (s. f.). PERS Cauca 2023. https://www.upme.gov.co/simec/planeacion-energetica/plan-energetico-rural-sostenible-pers/pers-cauca-2023/</w:t>
      </w:r>
    </w:p>
    <w:p>
      <w:pPr>
        <w:spacing w:line="360" w:lineRule="auto" w:after="120"/>
        <w:ind w:left="720" w:hanging="720"/>
      </w:pPr>
      <w:r>
        <w:t>XM. (s. f.). Informes del mercado de energía mayorista. https://www.xm.com.co/</w:t>
      </w:r>
    </w:p>
    <w:p>
      <w:pPr>
        <w:pStyle w:val="Heading1"/>
      </w:pPr>
      <w:r>
        <w:t>Anexo A. Información necesaria para cerrar el alcance</w:t>
      </w:r>
    </w:p>
    <w:p>
      <w:r>
        <w:t>Antes de convertir esta propuesta en una versión definitiva para radicación, deberán completarse los siguientes datos:</w:t>
      </w:r>
    </w:p>
    <w:p>
      <w:pPr>
        <w:pStyle w:val="ListBullet"/>
        <w:spacing w:line="360" w:lineRule="auto"/>
      </w:pPr>
      <w:r>
        <w:t>Nombre de la organización o tipo de empresa que será el caso de estudio.</w:t>
      </w:r>
    </w:p>
    <w:p>
      <w:pPr>
        <w:pStyle w:val="ListBullet"/>
        <w:spacing w:line="360" w:lineRule="auto"/>
      </w:pPr>
      <w:r>
        <w:t>Municipio y ubicación general de la instalación.</w:t>
      </w:r>
    </w:p>
    <w:p>
      <w:pPr>
        <w:pStyle w:val="ListBullet"/>
        <w:spacing w:line="360" w:lineRule="auto"/>
      </w:pPr>
      <w:r>
        <w:t>Tipo de usuario, modalidad de compra y grado de exposición al precio de bolsa.</w:t>
      </w:r>
    </w:p>
    <w:p>
      <w:pPr>
        <w:pStyle w:val="ListBullet"/>
        <w:spacing w:line="360" w:lineRule="auto"/>
      </w:pPr>
      <w:r>
        <w:t>Facturas o registros de consumo, preferiblemente con datos horarios si están disponibles.</w:t>
      </w:r>
    </w:p>
    <w:p>
      <w:pPr>
        <w:pStyle w:val="ListBullet"/>
        <w:spacing w:line="360" w:lineRule="auto"/>
      </w:pPr>
      <w:r>
        <w:t>Lista de cargas críticas y tiempo de autonomía requerido.</w:t>
      </w:r>
    </w:p>
    <w:p>
      <w:pPr>
        <w:pStyle w:val="ListBullet"/>
        <w:spacing w:line="360" w:lineRule="auto"/>
      </w:pPr>
      <w:r>
        <w:t>Periodo de datos históricos disponible y permisos de uso.</w:t>
      </w:r>
    </w:p>
    <w:p>
      <w:pPr>
        <w:pStyle w:val="ListBullet"/>
        <w:spacing w:line="360" w:lineRule="auto"/>
      </w:pPr>
      <w:r>
        <w:t>Fecha de entrega y guía institucional vigente para presentación del proyecto.</w:t>
      </w:r>
    </w:p>
    <w:p>
      <w:pPr>
        <w:pStyle w:val="ListBullet"/>
        <w:spacing w:line="360" w:lineRule="auto"/>
      </w:pPr>
      <w:r>
        <w:t>Requisitos del asesor sobre extensión, estructura, metodología y opción de grado.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