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D1E71" w14:textId="0CAA0DD0" w:rsidR="0001762E" w:rsidRPr="00D161B5" w:rsidRDefault="0001762E" w:rsidP="0001762E">
      <w:pPr>
        <w:rPr>
          <w:rFonts w:cs="Times New Roman"/>
          <w:b/>
          <w:bCs/>
        </w:rPr>
      </w:pPr>
      <w:r w:rsidRPr="00D161B5">
        <w:rPr>
          <w:rFonts w:cs="Times New Roman"/>
          <w:b/>
          <w:bCs/>
        </w:rPr>
        <w:t xml:space="preserve">A </w:t>
      </w:r>
      <w:r>
        <w:rPr>
          <w:rFonts w:cs="Times New Roman"/>
          <w:b/>
          <w:bCs/>
        </w:rPr>
        <w:t>C</w:t>
      </w:r>
      <w:r w:rsidRPr="00D161B5">
        <w:rPr>
          <w:rFonts w:cs="Times New Roman"/>
          <w:b/>
          <w:bCs/>
        </w:rPr>
        <w:t xml:space="preserve">omplete </w:t>
      </w:r>
      <w:r>
        <w:rPr>
          <w:rFonts w:cs="Times New Roman"/>
          <w:b/>
          <w:bCs/>
        </w:rPr>
        <w:t>W</w:t>
      </w:r>
      <w:r w:rsidRPr="00D161B5">
        <w:rPr>
          <w:rFonts w:cs="Times New Roman"/>
          <w:b/>
          <w:bCs/>
        </w:rPr>
        <w:t>orkflow</w:t>
      </w:r>
      <w:r w:rsidR="00301B52">
        <w:rPr>
          <w:rFonts w:cs="Times New Roman"/>
          <w:b/>
          <w:bCs/>
        </w:rPr>
        <w:t xml:space="preserve"> for </w:t>
      </w:r>
      <w:proofErr w:type="spellStart"/>
      <w:r w:rsidR="00301B52">
        <w:rPr>
          <w:rFonts w:cs="Times New Roman"/>
          <w:b/>
          <w:bCs/>
        </w:rPr>
        <w:t>scmtDNAseq</w:t>
      </w:r>
      <w:proofErr w:type="spellEnd"/>
      <w:r w:rsidR="00301B52">
        <w:rPr>
          <w:rFonts w:cs="Times New Roman"/>
          <w:b/>
          <w:bCs/>
        </w:rPr>
        <w:t xml:space="preserve"> in CHO cells, fr</w:t>
      </w:r>
      <w:r w:rsidRPr="00D161B5">
        <w:rPr>
          <w:rFonts w:cs="Times New Roman"/>
          <w:b/>
          <w:bCs/>
        </w:rPr>
        <w:t>om</w:t>
      </w:r>
      <w:r w:rsidR="00324406">
        <w:rPr>
          <w:rFonts w:cs="Times New Roman"/>
          <w:b/>
          <w:bCs/>
        </w:rPr>
        <w:t xml:space="preserve"> </w:t>
      </w:r>
      <w:r w:rsidRPr="00D161B5">
        <w:rPr>
          <w:rFonts w:cs="Times New Roman"/>
          <w:b/>
          <w:bCs/>
        </w:rPr>
        <w:t>Cell Culture to Bioinformatic</w:t>
      </w:r>
      <w:r w:rsidR="00324406">
        <w:rPr>
          <w:rFonts w:cs="Times New Roman"/>
          <w:b/>
          <w:bCs/>
        </w:rPr>
        <w:t xml:space="preserve"> Analysis</w:t>
      </w:r>
    </w:p>
    <w:p w14:paraId="337586F1" w14:textId="2C8A2EC5" w:rsidR="002868E2" w:rsidRPr="00376CC5" w:rsidRDefault="00075306" w:rsidP="00651CA2">
      <w:pPr>
        <w:pStyle w:val="AuthorList"/>
      </w:pPr>
      <w:r>
        <w:t>Alan Foley</w:t>
      </w:r>
      <w:r w:rsidRPr="00376CC5">
        <w:rPr>
          <w:vertAlign w:val="superscript"/>
        </w:rPr>
        <w:t>1</w:t>
      </w:r>
      <w:proofErr w:type="gramStart"/>
      <w:r w:rsidR="00C068B7">
        <w:rPr>
          <w:vertAlign w:val="superscript"/>
        </w:rPr>
        <w:t>,3</w:t>
      </w:r>
      <w:proofErr w:type="gramEnd"/>
      <w:r>
        <w:t xml:space="preserve">, </w:t>
      </w:r>
      <w:r w:rsidR="0068283C">
        <w:t>Nga Lao</w:t>
      </w:r>
      <w:r w:rsidR="0068283C" w:rsidRPr="00376CC5">
        <w:rPr>
          <w:vertAlign w:val="superscript"/>
        </w:rPr>
        <w:t>1</w:t>
      </w:r>
      <w:r>
        <w:t>, Colin Clarke</w:t>
      </w:r>
      <w:r w:rsidRPr="00376CC5">
        <w:rPr>
          <w:vertAlign w:val="superscript"/>
        </w:rPr>
        <w:t>2</w:t>
      </w:r>
      <w:r w:rsidR="00C068B7">
        <w:rPr>
          <w:vertAlign w:val="superscript"/>
        </w:rPr>
        <w:t>,3</w:t>
      </w:r>
      <w:r>
        <w:t xml:space="preserve">, </w:t>
      </w:r>
      <w:r w:rsidR="0068283C">
        <w:t>Niall Barron</w:t>
      </w:r>
      <w:r w:rsidR="0068283C" w:rsidRPr="00376CC5">
        <w:rPr>
          <w:vertAlign w:val="superscript"/>
        </w:rPr>
        <w:t>1</w:t>
      </w:r>
      <w:r w:rsidR="00C068B7">
        <w:rPr>
          <w:vertAlign w:val="superscript"/>
        </w:rPr>
        <w:t>,3</w:t>
      </w:r>
    </w:p>
    <w:p w14:paraId="3EC68EFD" w14:textId="1BA4D9E3" w:rsidR="002868E2" w:rsidRPr="00376CC5" w:rsidRDefault="002868E2" w:rsidP="006B2D5B">
      <w:pPr>
        <w:spacing w:before="240" w:after="0"/>
        <w:rPr>
          <w:rFonts w:cs="Times New Roman"/>
          <w:b/>
          <w:szCs w:val="24"/>
        </w:rPr>
      </w:pPr>
      <w:r w:rsidRPr="00376CC5">
        <w:rPr>
          <w:rFonts w:cs="Times New Roman"/>
          <w:szCs w:val="24"/>
          <w:vertAlign w:val="superscript"/>
        </w:rPr>
        <w:t>1</w:t>
      </w:r>
      <w:r w:rsidR="00075306">
        <w:rPr>
          <w:rFonts w:cs="Times New Roman"/>
          <w:szCs w:val="24"/>
        </w:rPr>
        <w:t>Cell Engineering Group, NIBRT, Dublin, Ireland</w:t>
      </w:r>
    </w:p>
    <w:p w14:paraId="626845AB" w14:textId="7CC5C073" w:rsidR="002868E2" w:rsidRDefault="002868E2" w:rsidP="006B2D5B">
      <w:pPr>
        <w:spacing w:after="0"/>
        <w:rPr>
          <w:rFonts w:cs="Times New Roman"/>
          <w:szCs w:val="24"/>
        </w:rPr>
      </w:pPr>
      <w:r w:rsidRPr="00376CC5">
        <w:rPr>
          <w:rFonts w:cs="Times New Roman"/>
          <w:szCs w:val="24"/>
          <w:vertAlign w:val="superscript"/>
        </w:rPr>
        <w:t>2</w:t>
      </w:r>
      <w:r w:rsidR="0068283C">
        <w:rPr>
          <w:rFonts w:cs="Times New Roman"/>
          <w:szCs w:val="24"/>
        </w:rPr>
        <w:t xml:space="preserve">Bioinformatics </w:t>
      </w:r>
      <w:r w:rsidR="00075306">
        <w:rPr>
          <w:rFonts w:cs="Times New Roman"/>
          <w:szCs w:val="24"/>
        </w:rPr>
        <w:t>Group, NIBRT, Dublin, Ireland</w:t>
      </w:r>
    </w:p>
    <w:p w14:paraId="3E721DC0" w14:textId="09A69935" w:rsidR="00C068B7" w:rsidRPr="00376CC5" w:rsidRDefault="00C068B7" w:rsidP="006B2D5B">
      <w:pPr>
        <w:spacing w:after="0"/>
        <w:rPr>
          <w:rFonts w:cs="Times New Roman"/>
          <w:b/>
          <w:szCs w:val="24"/>
        </w:rPr>
      </w:pPr>
      <w:r>
        <w:rPr>
          <w:vertAlign w:val="superscript"/>
        </w:rPr>
        <w:t>3</w:t>
      </w:r>
      <w:r w:rsidRPr="00C068B7">
        <w:rPr>
          <w:rFonts w:cs="Times New Roman"/>
          <w:bCs/>
          <w:szCs w:val="24"/>
        </w:rPr>
        <w:t>Sc</w:t>
      </w:r>
      <w:r>
        <w:rPr>
          <w:rFonts w:cs="Times New Roman"/>
          <w:bCs/>
          <w:szCs w:val="24"/>
        </w:rPr>
        <w:t>hool of Chemical and Bioprocess Engineering, University College Dublin, Ireland.</w:t>
      </w:r>
    </w:p>
    <w:p w14:paraId="7D779FB8" w14:textId="6ED64D7D" w:rsidR="00075306" w:rsidRPr="00075306"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68283C">
        <w:rPr>
          <w:rFonts w:cs="Times New Roman"/>
          <w:szCs w:val="24"/>
        </w:rPr>
        <w:t>niall.barron@nibrt.ie</w:t>
      </w:r>
    </w:p>
    <w:p w14:paraId="688EE9ED" w14:textId="368543FD" w:rsidR="00EA3D3C" w:rsidRPr="00376CC5" w:rsidRDefault="00817DD6" w:rsidP="00651CA2">
      <w:pPr>
        <w:pStyle w:val="AuthorList"/>
      </w:pPr>
      <w:r w:rsidRPr="00376CC5">
        <w:t xml:space="preserve">Keywords: </w:t>
      </w:r>
      <w:r w:rsidR="00075306">
        <w:t>Chinese</w:t>
      </w:r>
      <w:r w:rsidR="00D16BF3">
        <w:t xml:space="preserve"> hamster ovary</w:t>
      </w:r>
      <w:r w:rsidR="00075306">
        <w:t xml:space="preserve">, </w:t>
      </w:r>
      <w:r w:rsidR="00707568">
        <w:t xml:space="preserve">CHO, </w:t>
      </w:r>
      <w:r w:rsidR="00075306">
        <w:t xml:space="preserve">Long </w:t>
      </w:r>
      <w:r w:rsidR="00F94A5C">
        <w:t xml:space="preserve">range </w:t>
      </w:r>
      <w:r w:rsidR="00075306">
        <w:t>PCR, Single</w:t>
      </w:r>
      <w:r w:rsidR="00F94A5C">
        <w:t xml:space="preserve"> c</w:t>
      </w:r>
      <w:r w:rsidR="00075306">
        <w:t>ell</w:t>
      </w:r>
      <w:bookmarkStart w:id="0" w:name="_GoBack"/>
      <w:bookmarkEnd w:id="0"/>
      <w:r w:rsidR="00075306">
        <w:t xml:space="preserve">, Mitochondrial DNA, </w:t>
      </w:r>
      <w:r w:rsidR="00707568">
        <w:t>mtDNA, Single c</w:t>
      </w:r>
      <w:r w:rsidR="00E56A04">
        <w:t>ell mitochondrial DNA sequencing</w:t>
      </w:r>
      <w:r w:rsidR="00707568">
        <w:t>,</w:t>
      </w:r>
      <w:r w:rsidR="00E56A04">
        <w:t xml:space="preserve"> </w:t>
      </w:r>
      <w:proofErr w:type="spellStart"/>
      <w:r w:rsidR="00137BE8">
        <w:t>scmtDNAseq</w:t>
      </w:r>
      <w:proofErr w:type="spellEnd"/>
    </w:p>
    <w:p w14:paraId="4DB10602" w14:textId="77777777" w:rsidR="008E2B54" w:rsidRPr="00376CC5" w:rsidRDefault="00EA3D3C" w:rsidP="003E7E19">
      <w:pPr>
        <w:pStyle w:val="Heading1"/>
      </w:pPr>
      <w:r w:rsidRPr="00376CC5">
        <w:t>Abstract</w:t>
      </w:r>
    </w:p>
    <w:p w14:paraId="5B9B5718" w14:textId="5B275010" w:rsidR="00F13074" w:rsidRDefault="00F13074" w:rsidP="00F13074">
      <w:pPr>
        <w:rPr>
          <w:rFonts w:cs="Arial"/>
        </w:rPr>
      </w:pPr>
      <w:r w:rsidRPr="00187FD3">
        <w:rPr>
          <w:rFonts w:cs="Arial"/>
        </w:rPr>
        <w:t xml:space="preserve">Chinese Hamster Ovary (CHO) cells have a long history in the biopharmaceutical industry and currently produce the vast majority of recombinant therapeutic proteins. The key step in controlling process and product consistency is the development of a producer cell line derived from a </w:t>
      </w:r>
      <w:r w:rsidR="00C13785">
        <w:rPr>
          <w:rFonts w:cs="Arial"/>
        </w:rPr>
        <w:t>single cell</w:t>
      </w:r>
      <w:r w:rsidRPr="00187FD3">
        <w:rPr>
          <w:rFonts w:cs="Arial"/>
        </w:rPr>
        <w:t xml:space="preserve"> clone. However, it is recognised that genetic and phenotypic heterogeneity between individual cells in a clonal CHO population tends to arise over time. Previous bulk analysis of CHO cell populations has revealed considerable variation within the mtDNA sequence (heteroplasmy) which could have implications for the performance of the cell line. By analysing </w:t>
      </w:r>
      <w:r w:rsidR="00B56604">
        <w:rPr>
          <w:rFonts w:cs="Arial"/>
        </w:rPr>
        <w:t>heteroplasmy</w:t>
      </w:r>
      <w:r w:rsidRPr="00187FD3">
        <w:rPr>
          <w:rFonts w:cs="Arial"/>
        </w:rPr>
        <w:t xml:space="preserve"> of </w:t>
      </w:r>
      <w:r w:rsidR="00C13785">
        <w:rPr>
          <w:rFonts w:cs="Arial"/>
        </w:rPr>
        <w:t>single cell</w:t>
      </w:r>
      <w:r w:rsidRPr="00187FD3">
        <w:rPr>
          <w:rFonts w:cs="Arial"/>
        </w:rPr>
        <w:t xml:space="preserve">s within the same population, this heterogeneity can be characterised with greater resolution. Such analysis may </w:t>
      </w:r>
      <w:r w:rsidR="00EE3A89">
        <w:rPr>
          <w:rFonts w:cs="Arial"/>
        </w:rPr>
        <w:t>identify</w:t>
      </w:r>
      <w:r w:rsidRPr="00187FD3">
        <w:rPr>
          <w:rFonts w:cs="Arial"/>
        </w:rPr>
        <w:t xml:space="preserve"> heterogeneity in the mitochondrial genome which impacts the overall </w:t>
      </w:r>
      <w:r w:rsidR="00EE3A89">
        <w:rPr>
          <w:rFonts w:cs="Arial"/>
        </w:rPr>
        <w:t xml:space="preserve">phenotypic </w:t>
      </w:r>
      <w:r w:rsidRPr="00187FD3">
        <w:rPr>
          <w:rFonts w:cs="Arial"/>
        </w:rPr>
        <w:t>performance of a produc</w:t>
      </w:r>
      <w:r w:rsidR="00EE3A89">
        <w:rPr>
          <w:rFonts w:cs="Arial"/>
        </w:rPr>
        <w:t>er</w:t>
      </w:r>
      <w:r w:rsidRPr="00187FD3">
        <w:rPr>
          <w:rFonts w:cs="Arial"/>
        </w:rPr>
        <w:t xml:space="preserve"> cell </w:t>
      </w:r>
      <w:r w:rsidR="00EE3A89">
        <w:rPr>
          <w:rFonts w:cs="Arial"/>
        </w:rPr>
        <w:t>population</w:t>
      </w:r>
      <w:r>
        <w:rPr>
          <w:rFonts w:cs="Arial"/>
        </w:rPr>
        <w:t>,</w:t>
      </w:r>
      <w:r w:rsidRPr="00187FD3">
        <w:rPr>
          <w:rFonts w:cs="Arial"/>
        </w:rPr>
        <w:t xml:space="preserve"> and </w:t>
      </w:r>
      <w:r w:rsidR="00EE3A89">
        <w:rPr>
          <w:rFonts w:cs="Arial"/>
        </w:rPr>
        <w:t xml:space="preserve">potentially </w:t>
      </w:r>
      <w:r w:rsidRPr="00187FD3">
        <w:rPr>
          <w:rFonts w:cs="Arial"/>
        </w:rPr>
        <w:t>reveal routes for genetic engineering. A critical first step is the development of robust experimental and computation</w:t>
      </w:r>
      <w:r>
        <w:rPr>
          <w:rFonts w:cs="Arial"/>
        </w:rPr>
        <w:t>al</w:t>
      </w:r>
      <w:r w:rsidRPr="00187FD3">
        <w:rPr>
          <w:rFonts w:cs="Arial"/>
        </w:rPr>
        <w:t xml:space="preserve"> methods to enable</w:t>
      </w:r>
      <w:r w:rsidR="00EE3A89">
        <w:rPr>
          <w:rFonts w:cs="Arial"/>
        </w:rPr>
        <w:t xml:space="preserve"> single</w:t>
      </w:r>
      <w:r w:rsidR="00B56604">
        <w:rPr>
          <w:rFonts w:cs="Arial"/>
        </w:rPr>
        <w:t xml:space="preserve"> </w:t>
      </w:r>
      <w:r w:rsidR="00EE3A89">
        <w:rPr>
          <w:rFonts w:cs="Arial"/>
        </w:rPr>
        <w:t>cell</w:t>
      </w:r>
      <w:r w:rsidRPr="00187FD3">
        <w:rPr>
          <w:rFonts w:cs="Arial"/>
        </w:rPr>
        <w:t xml:space="preserve"> mtDNA sequenc</w:t>
      </w:r>
      <w:r w:rsidR="00301B52">
        <w:rPr>
          <w:rFonts w:cs="Arial"/>
        </w:rPr>
        <w:t xml:space="preserve">ing (termed </w:t>
      </w:r>
      <w:proofErr w:type="spellStart"/>
      <w:r w:rsidR="00301B52">
        <w:rPr>
          <w:rFonts w:cs="Arial"/>
        </w:rPr>
        <w:t>scmtDNAseq</w:t>
      </w:r>
      <w:proofErr w:type="spellEnd"/>
      <w:r w:rsidR="00301B52">
        <w:rPr>
          <w:rFonts w:cs="Arial"/>
        </w:rPr>
        <w:t>)</w:t>
      </w:r>
      <w:r w:rsidRPr="00187FD3">
        <w:rPr>
          <w:rFonts w:cs="Arial"/>
        </w:rPr>
        <w:t xml:space="preserve">. Here, we present a protocol from cell culture to bioinformatic analysis and provide preliminary evidence of significant mtDNA heteroplasmy across a small panel </w:t>
      </w:r>
      <w:r>
        <w:rPr>
          <w:rFonts w:cs="Arial"/>
        </w:rPr>
        <w:t xml:space="preserve">of single </w:t>
      </w:r>
      <w:r w:rsidRPr="00187FD3">
        <w:rPr>
          <w:rFonts w:cs="Arial"/>
        </w:rPr>
        <w:t>CHO cells.</w:t>
      </w:r>
    </w:p>
    <w:p w14:paraId="04AE66A6" w14:textId="77777777" w:rsidR="0048708B" w:rsidRDefault="0048708B" w:rsidP="00F13074">
      <w:pPr>
        <w:rPr>
          <w:rFonts w:cs="Arial"/>
        </w:rPr>
      </w:pPr>
    </w:p>
    <w:p w14:paraId="57F6A29A" w14:textId="77777777" w:rsidR="00EA3D3C" w:rsidRPr="00376CC5" w:rsidRDefault="00EA3D3C" w:rsidP="00D9503C">
      <w:pPr>
        <w:pStyle w:val="Heading1"/>
      </w:pPr>
      <w:r w:rsidRPr="00376CC5">
        <w:t>Introduction</w:t>
      </w:r>
    </w:p>
    <w:p w14:paraId="47C164B4" w14:textId="3443D8B0" w:rsidR="00F13074" w:rsidRPr="00187FD3" w:rsidRDefault="00F13074" w:rsidP="00F13074">
      <w:pPr>
        <w:rPr>
          <w:rFonts w:cs="Arial"/>
        </w:rPr>
      </w:pPr>
      <w:r w:rsidRPr="00187FD3">
        <w:rPr>
          <w:rFonts w:cs="Arial"/>
        </w:rPr>
        <w:t xml:space="preserve">Chinese Hamster Ovary (CHO) cells are the most commonly used mammalian host for </w:t>
      </w:r>
      <w:r>
        <w:rPr>
          <w:rFonts w:cs="Arial"/>
        </w:rPr>
        <w:t xml:space="preserve">the </w:t>
      </w:r>
      <w:proofErr w:type="gramStart"/>
      <w:r w:rsidRPr="00187FD3">
        <w:rPr>
          <w:rFonts w:cs="Arial"/>
        </w:rPr>
        <w:t>production</w:t>
      </w:r>
      <w:proofErr w:type="gramEnd"/>
      <w:r w:rsidRPr="00187FD3">
        <w:rPr>
          <w:rFonts w:cs="Arial"/>
        </w:rPr>
        <w:t xml:space="preserve"> of recombinant proteins (Walsh et al., 2022). Optimisation of biopharmaceutical production in CHO has led to ti</w:t>
      </w:r>
      <w:r w:rsidR="00B56604">
        <w:rPr>
          <w:rFonts w:cs="Arial"/>
        </w:rPr>
        <w:t>t</w:t>
      </w:r>
      <w:r w:rsidRPr="00187FD3">
        <w:rPr>
          <w:rFonts w:cs="Arial"/>
        </w:rPr>
        <w:t>ers</w:t>
      </w:r>
      <w:r w:rsidR="00CE4DD7">
        <w:rPr>
          <w:rFonts w:cs="Arial"/>
        </w:rPr>
        <w:t xml:space="preserve"> routinely</w:t>
      </w:r>
      <w:r w:rsidRPr="00187FD3">
        <w:rPr>
          <w:rFonts w:cs="Arial"/>
        </w:rPr>
        <w:t xml:space="preserve"> in the 3-8 g/L range (Kelley et al., 2018). Due to their importance in energy production, understanding mitochondrial function in product-producing CHO cell lin</w:t>
      </w:r>
      <w:r>
        <w:rPr>
          <w:rFonts w:cs="Arial"/>
        </w:rPr>
        <w:t>es is of particular importance.</w:t>
      </w:r>
      <w:r w:rsidRPr="00E21ED9">
        <w:rPr>
          <w:rFonts w:cs="Arial"/>
        </w:rPr>
        <w:t xml:space="preserve"> </w:t>
      </w:r>
      <w:r w:rsidRPr="00187FD3">
        <w:rPr>
          <w:rFonts w:cs="Arial"/>
        </w:rPr>
        <w:t xml:space="preserve">While most </w:t>
      </w:r>
      <w:r w:rsidR="00CE4DD7">
        <w:rPr>
          <w:rFonts w:cs="Arial"/>
        </w:rPr>
        <w:t>mitochondrial proteins</w:t>
      </w:r>
      <w:r w:rsidRPr="00187FD3">
        <w:rPr>
          <w:rFonts w:cs="Arial"/>
        </w:rPr>
        <w:t xml:space="preserve"> are</w:t>
      </w:r>
      <w:r>
        <w:rPr>
          <w:rFonts w:cs="Arial"/>
        </w:rPr>
        <w:t xml:space="preserve"> encoded by</w:t>
      </w:r>
      <w:r w:rsidRPr="00187FD3">
        <w:rPr>
          <w:rFonts w:cs="Arial"/>
        </w:rPr>
        <w:t xml:space="preserve"> nuclear DNA, a small number are </w:t>
      </w:r>
      <w:r>
        <w:rPr>
          <w:rFonts w:cs="Arial"/>
        </w:rPr>
        <w:t>encoded by</w:t>
      </w:r>
      <w:r w:rsidRPr="00187FD3">
        <w:rPr>
          <w:rFonts w:cs="Arial"/>
        </w:rPr>
        <w:t xml:space="preserve"> mitochondrial DNA (mtDNA). The CHO mitochondrial genome contains 37 genes, all of which support </w:t>
      </w:r>
      <w:r w:rsidR="00CE4DD7">
        <w:rPr>
          <w:rFonts w:cs="Arial"/>
        </w:rPr>
        <w:t>oxidative phosphorylation (</w:t>
      </w:r>
      <w:r w:rsidRPr="00187FD3">
        <w:rPr>
          <w:rFonts w:cs="Arial"/>
        </w:rPr>
        <w:t>OXPHOS</w:t>
      </w:r>
      <w:r w:rsidR="00CE4DD7">
        <w:rPr>
          <w:rFonts w:cs="Arial"/>
        </w:rPr>
        <w:t>)</w:t>
      </w:r>
      <w:r w:rsidRPr="00187FD3">
        <w:rPr>
          <w:rFonts w:cs="Arial"/>
        </w:rPr>
        <w:t xml:space="preserve">. </w:t>
      </w:r>
      <w:r w:rsidR="00CE4DD7">
        <w:rPr>
          <w:rFonts w:cs="Arial"/>
        </w:rPr>
        <w:t>Thirteen</w:t>
      </w:r>
      <w:r w:rsidRPr="00187FD3">
        <w:rPr>
          <w:rFonts w:cs="Arial"/>
        </w:rPr>
        <w:t xml:space="preserve"> protein</w:t>
      </w:r>
      <w:r>
        <w:rPr>
          <w:rFonts w:cs="Arial"/>
        </w:rPr>
        <w:t>-</w:t>
      </w:r>
      <w:r w:rsidRPr="00187FD3">
        <w:rPr>
          <w:rFonts w:cs="Arial"/>
        </w:rPr>
        <w:t xml:space="preserve">encoding subunits are </w:t>
      </w:r>
      <w:r w:rsidR="00CE4DD7">
        <w:rPr>
          <w:rFonts w:cs="Arial"/>
        </w:rPr>
        <w:t>accompanied</w:t>
      </w:r>
      <w:r w:rsidRPr="00187FD3">
        <w:rPr>
          <w:rFonts w:cs="Arial"/>
        </w:rPr>
        <w:t xml:space="preserve"> by 2 rRNAs and 22</w:t>
      </w:r>
      <w:r w:rsidR="00CE4DD7">
        <w:rPr>
          <w:rFonts w:cs="Arial"/>
        </w:rPr>
        <w:t xml:space="preserve"> </w:t>
      </w:r>
      <w:r w:rsidRPr="00187FD3">
        <w:rPr>
          <w:rFonts w:cs="Arial"/>
        </w:rPr>
        <w:t>tRNAs in a 16,283bp plasmid-like circular structure (NCBI, 20</w:t>
      </w:r>
      <w:r w:rsidR="00B25779">
        <w:rPr>
          <w:rFonts w:cs="Arial"/>
        </w:rPr>
        <w:t>23</w:t>
      </w:r>
      <w:r w:rsidRPr="00187FD3">
        <w:rPr>
          <w:rFonts w:cs="Arial"/>
        </w:rPr>
        <w:t>). mtDNA is highly compact, with the only significant n</w:t>
      </w:r>
      <w:r>
        <w:rPr>
          <w:rFonts w:cs="Arial"/>
        </w:rPr>
        <w:t>on-coding region in the D-loop</w:t>
      </w:r>
      <w:r w:rsidR="00E501EC">
        <w:rPr>
          <w:rFonts w:cs="Arial"/>
        </w:rPr>
        <w:t xml:space="preserve"> (</w:t>
      </w:r>
      <w:r w:rsidR="00E501EC">
        <w:rPr>
          <w:rFonts w:cs="Arial"/>
          <w:b/>
          <w:bCs/>
        </w:rPr>
        <w:t>Fig. 1A</w:t>
      </w:r>
      <w:r w:rsidR="00E501EC">
        <w:rPr>
          <w:rFonts w:cs="Arial"/>
        </w:rPr>
        <w:t>)</w:t>
      </w:r>
      <w:r>
        <w:rPr>
          <w:rFonts w:cs="Arial"/>
        </w:rPr>
        <w:t>.</w:t>
      </w:r>
    </w:p>
    <w:p w14:paraId="61412787" w14:textId="0ACC55A2" w:rsidR="00F13074" w:rsidRDefault="00CE28DB" w:rsidP="00F13074">
      <w:pPr>
        <w:rPr>
          <w:rFonts w:cs="Arial"/>
        </w:rPr>
      </w:pPr>
      <w:r>
        <w:rPr>
          <w:rFonts w:cs="Arial"/>
        </w:rPr>
        <w:lastRenderedPageBreak/>
        <w:t>Assuming</w:t>
      </w:r>
      <w:r w:rsidR="00CE4DD7">
        <w:rPr>
          <w:rFonts w:cs="Arial"/>
        </w:rPr>
        <w:t xml:space="preserve"> a</w:t>
      </w:r>
      <w:r w:rsidR="00F13074" w:rsidRPr="00187FD3">
        <w:rPr>
          <w:rFonts w:cs="Arial"/>
        </w:rPr>
        <w:t xml:space="preserve"> CHO cell has </w:t>
      </w:r>
      <w:r>
        <w:rPr>
          <w:rFonts w:cs="Arial"/>
        </w:rPr>
        <w:t>typical numbers of</w:t>
      </w:r>
      <w:r w:rsidR="00F13074" w:rsidRPr="00187FD3">
        <w:rPr>
          <w:rFonts w:cs="Arial"/>
        </w:rPr>
        <w:t xml:space="preserve"> mitochondria</w:t>
      </w:r>
      <w:r>
        <w:rPr>
          <w:rFonts w:cs="Arial"/>
        </w:rPr>
        <w:t xml:space="preserve"> per cell (100-10,000)</w:t>
      </w:r>
      <w:r w:rsidR="00F13074" w:rsidRPr="00187FD3">
        <w:rPr>
          <w:rFonts w:cs="Arial"/>
        </w:rPr>
        <w:t>, each with 2-10 copies of mtDNA</w:t>
      </w:r>
      <w:r>
        <w:rPr>
          <w:rFonts w:cs="Arial"/>
        </w:rPr>
        <w:t>, the total genome copy per cell is large</w:t>
      </w:r>
      <w:r w:rsidR="00F13074" w:rsidRPr="00187FD3">
        <w:rPr>
          <w:rFonts w:cs="Arial"/>
        </w:rPr>
        <w:t xml:space="preserve"> (Dhiman et al., 2019). In ‘</w:t>
      </w:r>
      <w:proofErr w:type="spellStart"/>
      <w:r w:rsidR="00F13074" w:rsidRPr="00187FD3">
        <w:rPr>
          <w:rFonts w:cs="Arial"/>
        </w:rPr>
        <w:t>homoplasmy</w:t>
      </w:r>
      <w:proofErr w:type="spellEnd"/>
      <w:r w:rsidR="00F13074" w:rsidRPr="00187FD3">
        <w:rPr>
          <w:rFonts w:cs="Arial"/>
        </w:rPr>
        <w:t xml:space="preserve">’ </w:t>
      </w:r>
      <w:r>
        <w:rPr>
          <w:rFonts w:cs="Arial"/>
        </w:rPr>
        <w:t xml:space="preserve">all </w:t>
      </w:r>
      <w:r w:rsidR="00F13074" w:rsidRPr="00187FD3">
        <w:rPr>
          <w:rFonts w:cs="Arial"/>
        </w:rPr>
        <w:t>copies of mtDNA within a cell are identical; however, mitochondria can also exist in a state of ‘heteroplasmy’ where mutated versions of mtDNA co-exist with wild-type mtDNA within the same cell; and possibly even within the same mitochondri</w:t>
      </w:r>
      <w:r>
        <w:rPr>
          <w:rFonts w:cs="Arial"/>
        </w:rPr>
        <w:t>on</w:t>
      </w:r>
      <w:r w:rsidR="00F13074" w:rsidRPr="00187FD3">
        <w:rPr>
          <w:rFonts w:cs="Arial"/>
        </w:rPr>
        <w:t>. When the proportion of mutant mtDNA is above a particular threshold, mitochondrial dysfunction can occur (</w:t>
      </w:r>
      <w:proofErr w:type="spellStart"/>
      <w:r w:rsidR="00F13074" w:rsidRPr="00187FD3">
        <w:rPr>
          <w:rFonts w:cs="Arial"/>
        </w:rPr>
        <w:t>Dimauro</w:t>
      </w:r>
      <w:proofErr w:type="spellEnd"/>
      <w:r w:rsidR="00F13074" w:rsidRPr="00187FD3">
        <w:rPr>
          <w:rFonts w:cs="Arial"/>
        </w:rPr>
        <w:t xml:space="preserve"> and </w:t>
      </w:r>
      <w:proofErr w:type="spellStart"/>
      <w:r w:rsidR="00F13074" w:rsidRPr="00187FD3">
        <w:rPr>
          <w:rFonts w:cs="Arial"/>
        </w:rPr>
        <w:t>Davidzon</w:t>
      </w:r>
      <w:proofErr w:type="spellEnd"/>
      <w:r w:rsidR="00F13074" w:rsidRPr="00187FD3">
        <w:rPr>
          <w:rFonts w:cs="Arial"/>
        </w:rPr>
        <w:t>, 2005). In human disease, this could mean development of metabolic disease including neurodegenerative disorders (Keogh and Chinnery, 2015); in CHO cell culture it could manifest as a change in bioreactor performance.</w:t>
      </w:r>
    </w:p>
    <w:p w14:paraId="372E305A" w14:textId="3BCE0F8F" w:rsidR="00F13074" w:rsidRPr="00E501EC" w:rsidRDefault="00E501EC" w:rsidP="00F13074">
      <w:pPr>
        <w:rPr>
          <w:rFonts w:cs="Arial"/>
        </w:rPr>
      </w:pPr>
      <w:r>
        <w:rPr>
          <w:rFonts w:cs="Arial"/>
        </w:rPr>
        <w:t xml:space="preserve">Previous bulk analysis identified several levels of heteroplasmy between CHO cell lines (Kelly. P et al., 2017); laying a theoretical explanation for the metabolic heterogeneity often observed in CHO cell cultures (Gilbert et al., 2013). </w:t>
      </w:r>
      <w:r w:rsidR="00301B52">
        <w:rPr>
          <w:rFonts w:cs="Arial"/>
        </w:rPr>
        <w:t>Single cell sequencing of mtDNA (</w:t>
      </w:r>
      <w:proofErr w:type="spellStart"/>
      <w:r w:rsidR="00301B52">
        <w:rPr>
          <w:rFonts w:cs="Arial"/>
        </w:rPr>
        <w:t>scmtDNAseq</w:t>
      </w:r>
      <w:proofErr w:type="spellEnd"/>
      <w:r w:rsidR="00301B52">
        <w:rPr>
          <w:rFonts w:cs="Arial"/>
        </w:rPr>
        <w:t xml:space="preserve">) </w:t>
      </w:r>
      <w:r w:rsidR="00F13074" w:rsidRPr="00187FD3">
        <w:rPr>
          <w:rFonts w:cs="Arial"/>
        </w:rPr>
        <w:t xml:space="preserve">has previously been </w:t>
      </w:r>
      <w:r w:rsidR="00AD668D">
        <w:rPr>
          <w:rFonts w:cs="Arial"/>
        </w:rPr>
        <w:t>employed</w:t>
      </w:r>
      <w:r w:rsidR="00F13074" w:rsidRPr="00187FD3">
        <w:rPr>
          <w:rFonts w:cs="Arial"/>
        </w:rPr>
        <w:t xml:space="preserve"> </w:t>
      </w:r>
      <w:r w:rsidR="00AD668D">
        <w:rPr>
          <w:rFonts w:cs="Arial"/>
        </w:rPr>
        <w:t>i</w:t>
      </w:r>
      <w:r w:rsidR="00F13074" w:rsidRPr="00187FD3">
        <w:rPr>
          <w:rFonts w:cs="Arial"/>
        </w:rPr>
        <w:t xml:space="preserve">n non-CHO cell lines using high PCR cycle numbers </w:t>
      </w:r>
      <w:r w:rsidR="00F13074">
        <w:rPr>
          <w:rFonts w:cs="Arial"/>
        </w:rPr>
        <w:t xml:space="preserve">of 40 </w:t>
      </w:r>
      <w:r w:rsidR="00F13074" w:rsidRPr="00187FD3">
        <w:rPr>
          <w:rFonts w:cs="Arial"/>
        </w:rPr>
        <w:t xml:space="preserve">(Zambelli et al., 2017) </w:t>
      </w:r>
      <w:r w:rsidR="00F13074">
        <w:rPr>
          <w:rFonts w:cs="Arial"/>
        </w:rPr>
        <w:t xml:space="preserve">and 45 </w:t>
      </w:r>
      <w:r w:rsidR="00F13074" w:rsidRPr="00187FD3">
        <w:rPr>
          <w:rFonts w:cs="Arial"/>
        </w:rPr>
        <w:t xml:space="preserve">(Maeda et al., 2020). Higher PCR cycle numbers are associated with </w:t>
      </w:r>
      <w:r w:rsidR="00301B52">
        <w:rPr>
          <w:rFonts w:cs="Arial"/>
        </w:rPr>
        <w:t>greater</w:t>
      </w:r>
      <w:r w:rsidR="00F13074" w:rsidRPr="00187FD3">
        <w:rPr>
          <w:rFonts w:cs="Arial"/>
        </w:rPr>
        <w:t xml:space="preserve"> </w:t>
      </w:r>
      <w:r w:rsidR="00AD668D">
        <w:rPr>
          <w:rFonts w:cs="Arial"/>
        </w:rPr>
        <w:t xml:space="preserve">risk of </w:t>
      </w:r>
      <w:r w:rsidR="00F13074" w:rsidRPr="00187FD3">
        <w:rPr>
          <w:rFonts w:cs="Arial"/>
        </w:rPr>
        <w:t>undesirable secondary products such as PCR artefacts (Lore</w:t>
      </w:r>
      <w:r w:rsidR="00B25779">
        <w:rPr>
          <w:rFonts w:cs="Arial"/>
        </w:rPr>
        <w:t>n</w:t>
      </w:r>
      <w:r w:rsidR="00F13074" w:rsidRPr="00187FD3">
        <w:rPr>
          <w:rFonts w:cs="Arial"/>
        </w:rPr>
        <w:t xml:space="preserve">z, 2012). In </w:t>
      </w:r>
      <w:r w:rsidR="00C13785">
        <w:rPr>
          <w:rFonts w:cs="Arial"/>
        </w:rPr>
        <w:t>single cell</w:t>
      </w:r>
      <w:r w:rsidR="00F13074" w:rsidRPr="00187FD3">
        <w:rPr>
          <w:rFonts w:cs="Arial"/>
        </w:rPr>
        <w:t xml:space="preserve"> mtDNA analysis, starting mtDNA copy number is low (&lt;100,000) th</w:t>
      </w:r>
      <w:r w:rsidR="00AD668D">
        <w:rPr>
          <w:rFonts w:cs="Arial"/>
        </w:rPr>
        <w:t>erefore</w:t>
      </w:r>
      <w:r w:rsidR="00F13074" w:rsidRPr="00187FD3">
        <w:rPr>
          <w:rFonts w:cs="Arial"/>
        </w:rPr>
        <w:t xml:space="preserve"> even small contaminations can confound </w:t>
      </w:r>
      <w:r w:rsidR="00AD668D">
        <w:rPr>
          <w:rFonts w:cs="Arial"/>
        </w:rPr>
        <w:t xml:space="preserve">true </w:t>
      </w:r>
      <w:r w:rsidR="00301B52">
        <w:rPr>
          <w:rFonts w:cs="Arial"/>
        </w:rPr>
        <w:t>mutation</w:t>
      </w:r>
      <w:r w:rsidR="00AD668D">
        <w:rPr>
          <w:rFonts w:cs="Arial"/>
        </w:rPr>
        <w:t xml:space="preserve"> nucleotide identification</w:t>
      </w:r>
      <w:r w:rsidR="00F13074" w:rsidRPr="00187FD3">
        <w:rPr>
          <w:rFonts w:cs="Arial"/>
        </w:rPr>
        <w:t xml:space="preserve">. In fact, to call heteroplasmic mutations at </w:t>
      </w:r>
      <w:r w:rsidR="00347451">
        <w:rPr>
          <w:rFonts w:cs="Arial"/>
        </w:rPr>
        <w:t>0.015 allele</w:t>
      </w:r>
      <w:r w:rsidR="00F13074" w:rsidRPr="00187FD3">
        <w:rPr>
          <w:rFonts w:cs="Arial"/>
        </w:rPr>
        <w:t xml:space="preserve"> frequency </w:t>
      </w:r>
      <w:r w:rsidR="00F13074">
        <w:rPr>
          <w:rFonts w:cs="Arial"/>
        </w:rPr>
        <w:t>(</w:t>
      </w:r>
      <w:r w:rsidR="00F13074" w:rsidRPr="00187FD3">
        <w:rPr>
          <w:rFonts w:cs="Arial"/>
        </w:rPr>
        <w:t>a conservative level</w:t>
      </w:r>
      <w:r w:rsidR="00F13074">
        <w:rPr>
          <w:rFonts w:cs="Arial"/>
        </w:rPr>
        <w:t>)</w:t>
      </w:r>
      <w:r w:rsidR="00F13074" w:rsidRPr="00187FD3">
        <w:rPr>
          <w:rFonts w:cs="Arial"/>
        </w:rPr>
        <w:t xml:space="preserve"> PCR </w:t>
      </w:r>
      <w:r w:rsidR="00AD668D">
        <w:rPr>
          <w:rFonts w:cs="Arial"/>
        </w:rPr>
        <w:t>amplification</w:t>
      </w:r>
      <w:r w:rsidR="00F13074" w:rsidRPr="00187FD3">
        <w:rPr>
          <w:rFonts w:cs="Arial"/>
        </w:rPr>
        <w:t xml:space="preserve"> should </w:t>
      </w:r>
      <w:r w:rsidR="00AD668D">
        <w:rPr>
          <w:rFonts w:cs="Arial"/>
        </w:rPr>
        <w:t xml:space="preserve">ideally </w:t>
      </w:r>
      <w:r w:rsidR="00F13074" w:rsidRPr="00187FD3">
        <w:rPr>
          <w:rFonts w:cs="Arial"/>
        </w:rPr>
        <w:t>not exceed 30</w:t>
      </w:r>
      <w:r w:rsidR="00AD668D">
        <w:rPr>
          <w:rFonts w:cs="Arial"/>
        </w:rPr>
        <w:t xml:space="preserve"> cycles</w:t>
      </w:r>
      <w:r w:rsidR="00F13074" w:rsidRPr="00187FD3">
        <w:rPr>
          <w:rFonts w:cs="Arial"/>
        </w:rPr>
        <w:t xml:space="preserve"> (Zambelli et al., 2017). Also, Maeda et al. </w:t>
      </w:r>
      <w:r w:rsidR="00AD668D">
        <w:rPr>
          <w:rFonts w:cs="Arial"/>
        </w:rPr>
        <w:t>focused on</w:t>
      </w:r>
      <w:r w:rsidR="00F13074" w:rsidRPr="00187FD3">
        <w:rPr>
          <w:rFonts w:cs="Arial"/>
        </w:rPr>
        <w:t xml:space="preserve"> specific mutations, not the whole mtDNA genome, precluding i</w:t>
      </w:r>
      <w:r w:rsidR="00AD668D">
        <w:rPr>
          <w:rFonts w:cs="Arial"/>
        </w:rPr>
        <w:t>dentific</w:t>
      </w:r>
      <w:r w:rsidR="00F13074" w:rsidRPr="00187FD3">
        <w:rPr>
          <w:rFonts w:cs="Arial"/>
        </w:rPr>
        <w:t xml:space="preserve">ation </w:t>
      </w:r>
      <w:r w:rsidR="00AD668D">
        <w:rPr>
          <w:rFonts w:cs="Arial"/>
        </w:rPr>
        <w:t>of</w:t>
      </w:r>
      <w:r w:rsidR="00F13074" w:rsidRPr="00187FD3">
        <w:rPr>
          <w:rFonts w:cs="Arial"/>
        </w:rPr>
        <w:t xml:space="preserve"> as yet unknown mutations. There is real value in novel whole mtDNA </w:t>
      </w:r>
      <w:r w:rsidR="00C13785">
        <w:rPr>
          <w:rFonts w:cs="Arial"/>
        </w:rPr>
        <w:t>single cell</w:t>
      </w:r>
      <w:r w:rsidR="00F13074" w:rsidRPr="00187FD3">
        <w:rPr>
          <w:rFonts w:cs="Arial"/>
        </w:rPr>
        <w:t xml:space="preserve"> analysis with a low PCR cycle number.</w:t>
      </w:r>
    </w:p>
    <w:p w14:paraId="38FF0075" w14:textId="7ECE9C61" w:rsidR="006A16E4" w:rsidRDefault="00F13074" w:rsidP="00AC08CC">
      <w:r w:rsidRPr="00187FD3">
        <w:t xml:space="preserve">Here, we </w:t>
      </w:r>
      <w:r>
        <w:t>sought to develop a</w:t>
      </w:r>
      <w:r w:rsidR="001729A4">
        <w:t>n optimised</w:t>
      </w:r>
      <w:r>
        <w:t xml:space="preserve"> </w:t>
      </w:r>
      <w:r w:rsidRPr="00187FD3">
        <w:t>method to amplify mtDNA</w:t>
      </w:r>
      <w:r w:rsidR="001729A4">
        <w:t xml:space="preserve"> and sequence</w:t>
      </w:r>
      <w:r w:rsidRPr="00187FD3">
        <w:t xml:space="preserve"> from </w:t>
      </w:r>
      <w:r w:rsidR="00C13785">
        <w:t>single cell</w:t>
      </w:r>
      <w:r w:rsidRPr="00187FD3">
        <w:t>s. To demonstrate the method, we analysed four single CHO cells and a bulk</w:t>
      </w:r>
      <w:r w:rsidR="001729A4">
        <w:t xml:space="preserve"> (multiple cells)</w:t>
      </w:r>
      <w:r w:rsidRPr="00187FD3">
        <w:t xml:space="preserve"> sample for comparison. </w:t>
      </w:r>
      <w:r w:rsidR="00C13785">
        <w:t>Single cell</w:t>
      </w:r>
      <w:r w:rsidRPr="00187FD3">
        <w:t>s were isolated by FACS into lysis buffer with an emphasis on simple and reproducible gating (</w:t>
      </w:r>
      <w:r w:rsidRPr="00187FD3">
        <w:rPr>
          <w:b/>
        </w:rPr>
        <w:t xml:space="preserve">Fig. </w:t>
      </w:r>
      <w:r w:rsidR="00B25779">
        <w:rPr>
          <w:b/>
        </w:rPr>
        <w:t>1</w:t>
      </w:r>
      <w:r w:rsidRPr="00187FD3">
        <w:rPr>
          <w:b/>
        </w:rPr>
        <w:t>B</w:t>
      </w:r>
      <w:r w:rsidRPr="00187FD3">
        <w:t xml:space="preserve">). After optimisation of the lysis buffer, PCR kit and purification system, long-range PCR (LRPCR) cycle number (35x) was kept lower than </w:t>
      </w:r>
      <w:r w:rsidR="001729A4">
        <w:t>previously</w:t>
      </w:r>
      <w:r w:rsidRPr="00187FD3">
        <w:t xml:space="preserve"> reported method</w:t>
      </w:r>
      <w:r w:rsidR="001729A4">
        <w:t>s</w:t>
      </w:r>
      <w:r w:rsidRPr="00187FD3">
        <w:t>. Importantly, this provides more confidence in calling low</w:t>
      </w:r>
      <w:r>
        <w:t>-</w:t>
      </w:r>
      <w:r w:rsidRPr="00187FD3">
        <w:t xml:space="preserve">frequency heteroplasmy. To </w:t>
      </w:r>
      <w:r w:rsidR="001729A4">
        <w:t xml:space="preserve">ensure </w:t>
      </w:r>
      <w:r w:rsidRPr="00187FD3">
        <w:t>exclu</w:t>
      </w:r>
      <w:r w:rsidR="001729A4">
        <w:t>sion of contaminating</w:t>
      </w:r>
      <w:r w:rsidRPr="00187FD3">
        <w:t xml:space="preserve"> nuclear mitochondrial DNA (</w:t>
      </w:r>
      <w:proofErr w:type="spellStart"/>
      <w:r w:rsidRPr="00187FD3">
        <w:t>Numts</w:t>
      </w:r>
      <w:proofErr w:type="spellEnd"/>
      <w:r w:rsidRPr="00187FD3">
        <w:t>), primers were designed to exclusively map to CHO mtDNA and</w:t>
      </w:r>
      <w:r w:rsidR="001729A4">
        <w:t xml:space="preserve"> amplicons</w:t>
      </w:r>
      <w:r w:rsidRPr="00187FD3">
        <w:t xml:space="preserve"> size-selected via gel electrophoresis. By confirming mtDNA amplification by agarose gel, we were able to improve the efficiency of our sequencing – since only successful reactions were brought forward for </w:t>
      </w:r>
      <w:r w:rsidR="001729A4">
        <w:t>library prep</w:t>
      </w:r>
      <w:r w:rsidR="00301B52">
        <w:t>aration</w:t>
      </w:r>
      <w:r w:rsidRPr="00187FD3">
        <w:t>.</w:t>
      </w:r>
      <w:r>
        <w:t xml:space="preserve"> </w:t>
      </w:r>
      <w:r w:rsidRPr="00187FD3">
        <w:t>Illumina DNA libraries were generated and iSeq100-derived sequencing output was processed and analysed using a bespoke bioinformatics pipeline. Preprocessing was performed i</w:t>
      </w:r>
      <w:r>
        <w:t>n Linux and data analysis in R.</w:t>
      </w:r>
    </w:p>
    <w:p w14:paraId="1F4C2C3E" w14:textId="04C686E3" w:rsidR="007A2616" w:rsidRDefault="006A16E4" w:rsidP="00AC08CC">
      <w:pPr>
        <w:rPr>
          <w:b/>
        </w:rPr>
      </w:pPr>
      <w:r>
        <w:rPr>
          <w:b/>
        </w:rPr>
        <w:t>Fig. 1</w:t>
      </w:r>
    </w:p>
    <w:p w14:paraId="7C31D32D" w14:textId="77777777" w:rsidR="0048708B" w:rsidRDefault="0048708B" w:rsidP="00AC08CC">
      <w:pPr>
        <w:rPr>
          <w:b/>
        </w:rPr>
      </w:pPr>
    </w:p>
    <w:p w14:paraId="50093C62" w14:textId="2B71ADEB" w:rsidR="003E7E19" w:rsidRPr="0048708B" w:rsidRDefault="003E7E19" w:rsidP="003E7E19">
      <w:pPr>
        <w:pStyle w:val="Heading1"/>
      </w:pPr>
      <w:r>
        <w:t>Materials and Equipment</w:t>
      </w:r>
    </w:p>
    <w:p w14:paraId="0D5E664E" w14:textId="77777777" w:rsidR="003E7E19" w:rsidRPr="00D161B5" w:rsidRDefault="003E7E19" w:rsidP="003E7E19">
      <w:pPr>
        <w:rPr>
          <w:rFonts w:cs="Times New Roman"/>
        </w:rPr>
      </w:pPr>
      <w:r w:rsidRPr="00D161B5">
        <w:rPr>
          <w:rFonts w:cs="Times New Roman"/>
          <w:b/>
          <w:bCs/>
        </w:rPr>
        <w:t>2.1 CHO cell culture</w:t>
      </w:r>
    </w:p>
    <w:p w14:paraId="7987649F" w14:textId="77777777" w:rsidR="003E7E19" w:rsidRPr="00D161B5" w:rsidRDefault="003E7E19" w:rsidP="003E7E19">
      <w:pPr>
        <w:pStyle w:val="ListParagraph"/>
        <w:numPr>
          <w:ilvl w:val="0"/>
          <w:numId w:val="23"/>
        </w:numPr>
        <w:spacing w:before="0" w:after="160" w:line="480" w:lineRule="auto"/>
      </w:pPr>
      <w:r w:rsidRPr="00D161B5">
        <w:t>125mL bioreactor flasks (</w:t>
      </w:r>
      <w:r>
        <w:t>Nalgene 10266432</w:t>
      </w:r>
      <w:r w:rsidRPr="00D161B5">
        <w:t>).</w:t>
      </w:r>
    </w:p>
    <w:p w14:paraId="5A2C20FF" w14:textId="77777777" w:rsidR="003E7E19" w:rsidRPr="00D161B5" w:rsidRDefault="003E7E19" w:rsidP="003E7E19">
      <w:pPr>
        <w:pStyle w:val="ListParagraph"/>
        <w:numPr>
          <w:ilvl w:val="0"/>
          <w:numId w:val="23"/>
        </w:numPr>
        <w:spacing w:before="0" w:after="160" w:line="480" w:lineRule="auto"/>
      </w:pPr>
      <w:r w:rsidRPr="00D161B5">
        <w:t xml:space="preserve">Appropriate CHO cell culture medium (e.g. </w:t>
      </w:r>
      <w:proofErr w:type="spellStart"/>
      <w:r>
        <w:t>Gibco</w:t>
      </w:r>
      <w:proofErr w:type="spellEnd"/>
      <w:r>
        <w:t xml:space="preserve"> CD </w:t>
      </w:r>
      <w:proofErr w:type="spellStart"/>
      <w:r>
        <w:t>FortiCHO</w:t>
      </w:r>
      <w:proofErr w:type="spellEnd"/>
      <w:r>
        <w:t xml:space="preserve"> 10887640</w:t>
      </w:r>
      <w:r w:rsidRPr="00D161B5">
        <w:t>).</w:t>
      </w:r>
    </w:p>
    <w:p w14:paraId="50BB90B7" w14:textId="4E94B444" w:rsidR="003E7E19" w:rsidRPr="0048708B" w:rsidRDefault="003E7E19" w:rsidP="003E7E19">
      <w:pPr>
        <w:pStyle w:val="ListParagraph"/>
        <w:numPr>
          <w:ilvl w:val="0"/>
          <w:numId w:val="23"/>
        </w:numPr>
        <w:spacing w:before="0" w:after="160" w:line="480" w:lineRule="auto"/>
      </w:pPr>
      <w:r w:rsidRPr="00D161B5">
        <w:lastRenderedPageBreak/>
        <w:t xml:space="preserve">CHO cell </w:t>
      </w:r>
      <w:r>
        <w:t>lines of interest</w:t>
      </w:r>
      <w:r w:rsidRPr="00D161B5">
        <w:t xml:space="preserve"> (</w:t>
      </w:r>
      <w:r>
        <w:t xml:space="preserve">e.g. </w:t>
      </w:r>
      <w:r>
        <w:rPr>
          <w:b/>
          <w:bCs/>
        </w:rPr>
        <w:t>Table 1</w:t>
      </w:r>
      <w:r w:rsidRPr="00D161B5">
        <w:t>).</w:t>
      </w:r>
    </w:p>
    <w:p w14:paraId="46ABAC59" w14:textId="77777777" w:rsidR="003E7E19" w:rsidRPr="00D161B5" w:rsidRDefault="003E7E19" w:rsidP="003E7E19">
      <w:pPr>
        <w:rPr>
          <w:rFonts w:cs="Times New Roman"/>
          <w:b/>
          <w:bCs/>
        </w:rPr>
      </w:pPr>
      <w:r w:rsidRPr="00D161B5">
        <w:rPr>
          <w:rFonts w:cs="Times New Roman"/>
          <w:b/>
          <w:bCs/>
        </w:rPr>
        <w:t xml:space="preserve">2.2 </w:t>
      </w:r>
      <w:proofErr w:type="spellStart"/>
      <w:r w:rsidRPr="00D161B5">
        <w:rPr>
          <w:rFonts w:cs="Times New Roman"/>
          <w:b/>
          <w:bCs/>
        </w:rPr>
        <w:t>Immunolabelling</w:t>
      </w:r>
      <w:proofErr w:type="spellEnd"/>
      <w:r w:rsidRPr="00D161B5">
        <w:rPr>
          <w:rFonts w:cs="Times New Roman"/>
          <w:b/>
          <w:bCs/>
        </w:rPr>
        <w:t xml:space="preserve"> and Staining</w:t>
      </w:r>
    </w:p>
    <w:p w14:paraId="42FFB370" w14:textId="77777777" w:rsidR="003E7E19" w:rsidRPr="00D161B5" w:rsidRDefault="003E7E19" w:rsidP="003E7E19">
      <w:pPr>
        <w:pStyle w:val="ListParagraph"/>
        <w:numPr>
          <w:ilvl w:val="0"/>
          <w:numId w:val="24"/>
        </w:numPr>
        <w:spacing w:before="0" w:after="160" w:line="480" w:lineRule="auto"/>
      </w:pPr>
      <w:r w:rsidRPr="00D161B5">
        <w:t>DPBS</w:t>
      </w:r>
    </w:p>
    <w:p w14:paraId="6693B91C" w14:textId="77777777" w:rsidR="003E7E19" w:rsidRPr="00D161B5" w:rsidRDefault="003E7E19" w:rsidP="003E7E19">
      <w:pPr>
        <w:pStyle w:val="ListParagraph"/>
        <w:numPr>
          <w:ilvl w:val="0"/>
          <w:numId w:val="24"/>
        </w:numPr>
        <w:spacing w:before="0" w:after="160" w:line="480" w:lineRule="auto"/>
      </w:pPr>
      <w:r w:rsidRPr="00D161B5">
        <w:t>Nuclease-free water</w:t>
      </w:r>
    </w:p>
    <w:p w14:paraId="4C3156D1" w14:textId="77777777" w:rsidR="003E7E19" w:rsidRPr="00D161B5" w:rsidRDefault="003E7E19" w:rsidP="003E7E19">
      <w:pPr>
        <w:pStyle w:val="ListParagraph"/>
        <w:numPr>
          <w:ilvl w:val="0"/>
          <w:numId w:val="24"/>
        </w:numPr>
        <w:spacing w:before="0" w:after="160" w:line="480" w:lineRule="auto"/>
      </w:pPr>
      <w:r w:rsidRPr="00D161B5">
        <w:t>Trypan Blue 0.4% (</w:t>
      </w:r>
      <w:proofErr w:type="spellStart"/>
      <w:r w:rsidRPr="00D161B5">
        <w:t>Gibco</w:t>
      </w:r>
      <w:proofErr w:type="spellEnd"/>
      <w:r>
        <w:t xml:space="preserve"> 15250061</w:t>
      </w:r>
      <w:r w:rsidRPr="00D161B5">
        <w:t>)</w:t>
      </w:r>
    </w:p>
    <w:p w14:paraId="1BDC5C21" w14:textId="77777777" w:rsidR="003E7E19" w:rsidRPr="00D161B5" w:rsidRDefault="003E7E19" w:rsidP="003E7E19">
      <w:pPr>
        <w:pStyle w:val="ListParagraph"/>
        <w:numPr>
          <w:ilvl w:val="0"/>
          <w:numId w:val="24"/>
        </w:numPr>
        <w:spacing w:before="0" w:after="160" w:line="480" w:lineRule="auto"/>
      </w:pPr>
      <w:r w:rsidRPr="00D161B5">
        <w:t xml:space="preserve">Luna II (or other appropriate </w:t>
      </w:r>
      <w:r>
        <w:t>cell counter</w:t>
      </w:r>
      <w:r w:rsidRPr="00D161B5">
        <w:t>)</w:t>
      </w:r>
    </w:p>
    <w:p w14:paraId="6FC72D69" w14:textId="77777777" w:rsidR="003E7E19" w:rsidRPr="00D161B5" w:rsidRDefault="003E7E19" w:rsidP="003E7E19">
      <w:pPr>
        <w:pStyle w:val="ListParagraph"/>
        <w:numPr>
          <w:ilvl w:val="0"/>
          <w:numId w:val="24"/>
        </w:numPr>
        <w:spacing w:before="0" w:after="160" w:line="480" w:lineRule="auto"/>
      </w:pPr>
      <w:r w:rsidRPr="00D161B5">
        <w:t>DAPI (Invitrogen</w:t>
      </w:r>
      <w:r>
        <w:t xml:space="preserve"> D1306</w:t>
      </w:r>
      <w:r w:rsidRPr="00D161B5">
        <w:t>)</w:t>
      </w:r>
    </w:p>
    <w:p w14:paraId="1867679A" w14:textId="562BF32B" w:rsidR="003E7E19" w:rsidRPr="0048708B" w:rsidRDefault="003E7E19" w:rsidP="003E7E19">
      <w:pPr>
        <w:pStyle w:val="ListParagraph"/>
        <w:numPr>
          <w:ilvl w:val="0"/>
          <w:numId w:val="24"/>
        </w:numPr>
        <w:spacing w:before="0" w:after="160" w:line="480" w:lineRule="auto"/>
      </w:pPr>
      <w:r>
        <w:t xml:space="preserve">Goat </w:t>
      </w:r>
      <w:proofErr w:type="gramStart"/>
      <w:r w:rsidRPr="00D161B5">
        <w:t>F(</w:t>
      </w:r>
      <w:proofErr w:type="gramEnd"/>
      <w:r w:rsidRPr="00D161B5">
        <w:t xml:space="preserve">ab’)2-Fluorescein </w:t>
      </w:r>
      <w:r>
        <w:t>a</w:t>
      </w:r>
      <w:r w:rsidRPr="00D161B5">
        <w:t>nti-Human IgG (Sigma Aldrich</w:t>
      </w:r>
      <w:r>
        <w:t xml:space="preserve"> SAB3701254-2MG</w:t>
      </w:r>
      <w:r w:rsidRPr="00D161B5">
        <w:t>)</w:t>
      </w:r>
      <w:r>
        <w:t xml:space="preserve"> to label IgG-producing cells if desired</w:t>
      </w:r>
      <w:r w:rsidRPr="00D161B5">
        <w:t>. Other appropriate fluorescent stain</w:t>
      </w:r>
      <w:r>
        <w:t>s could also be employed</w:t>
      </w:r>
      <w:r w:rsidRPr="00D161B5">
        <w:t xml:space="preserve"> (e.g. </w:t>
      </w:r>
      <w:proofErr w:type="spellStart"/>
      <w:r w:rsidRPr="00D161B5">
        <w:t>CellTracker</w:t>
      </w:r>
      <w:proofErr w:type="spellEnd"/>
      <w:r w:rsidRPr="00D161B5">
        <w:t xml:space="preserve"> Green Invitrogen</w:t>
      </w:r>
      <w:r>
        <w:t xml:space="preserve"> 11570166</w:t>
      </w:r>
      <w:r w:rsidRPr="00D161B5">
        <w:t>).</w:t>
      </w:r>
    </w:p>
    <w:p w14:paraId="51FE466D" w14:textId="77777777" w:rsidR="003E7E19" w:rsidRPr="00D161B5" w:rsidRDefault="003E7E19" w:rsidP="003E7E19">
      <w:pPr>
        <w:rPr>
          <w:rFonts w:cs="Times New Roman"/>
          <w:b/>
          <w:bCs/>
        </w:rPr>
      </w:pPr>
      <w:r w:rsidRPr="00D161B5">
        <w:rPr>
          <w:rFonts w:cs="Times New Roman"/>
          <w:b/>
          <w:bCs/>
        </w:rPr>
        <w:t>2.3 FACS</w:t>
      </w:r>
    </w:p>
    <w:p w14:paraId="22E0A861" w14:textId="77777777" w:rsidR="003E7E19" w:rsidRPr="00D161B5" w:rsidRDefault="003E7E19" w:rsidP="003E7E19">
      <w:pPr>
        <w:pStyle w:val="ListParagraph"/>
        <w:numPr>
          <w:ilvl w:val="0"/>
          <w:numId w:val="25"/>
        </w:numPr>
        <w:spacing w:before="0" w:after="160" w:line="480" w:lineRule="auto"/>
      </w:pPr>
      <w:r w:rsidRPr="00D161B5">
        <w:t>70% IPA.</w:t>
      </w:r>
    </w:p>
    <w:p w14:paraId="1FA8507B" w14:textId="77777777" w:rsidR="003E7E19" w:rsidRPr="00D161B5" w:rsidRDefault="003E7E19" w:rsidP="003E7E19">
      <w:pPr>
        <w:pStyle w:val="ListParagraph"/>
        <w:numPr>
          <w:ilvl w:val="0"/>
          <w:numId w:val="25"/>
        </w:numPr>
        <w:spacing w:before="0" w:after="160" w:line="480" w:lineRule="auto"/>
      </w:pPr>
      <w:r w:rsidRPr="00D161B5">
        <w:t>FACS with appropriate lasers for DAPI and FITC</w:t>
      </w:r>
      <w:r>
        <w:t xml:space="preserve"> detection</w:t>
      </w:r>
      <w:r w:rsidRPr="00D161B5">
        <w:t xml:space="preserve">. Here, a </w:t>
      </w:r>
      <w:r>
        <w:t xml:space="preserve">BD </w:t>
      </w:r>
      <w:r w:rsidRPr="00D161B5">
        <w:t xml:space="preserve">FACS Melody </w:t>
      </w:r>
      <w:r>
        <w:t xml:space="preserve">was </w:t>
      </w:r>
      <w:r w:rsidRPr="00D161B5">
        <w:t>used.</w:t>
      </w:r>
    </w:p>
    <w:p w14:paraId="17243DDA" w14:textId="77777777" w:rsidR="003E7E19" w:rsidRPr="00D161B5" w:rsidRDefault="003E7E19" w:rsidP="003E7E19">
      <w:pPr>
        <w:pStyle w:val="ListParagraph"/>
        <w:numPr>
          <w:ilvl w:val="0"/>
          <w:numId w:val="25"/>
        </w:numPr>
        <w:spacing w:before="0" w:after="160" w:line="480" w:lineRule="auto"/>
      </w:pPr>
      <w:r w:rsidRPr="00D161B5">
        <w:t>FACS polystyrene tubes (Falcon Corning</w:t>
      </w:r>
      <w:r>
        <w:t xml:space="preserve"> 1018640</w:t>
      </w:r>
      <w:r w:rsidRPr="00D161B5">
        <w:t>)</w:t>
      </w:r>
    </w:p>
    <w:p w14:paraId="64658C64" w14:textId="77777777" w:rsidR="003E7E19" w:rsidRPr="00D161B5" w:rsidRDefault="003E7E19" w:rsidP="003E7E19">
      <w:pPr>
        <w:pStyle w:val="ListParagraph"/>
        <w:numPr>
          <w:ilvl w:val="0"/>
          <w:numId w:val="25"/>
        </w:numPr>
        <w:spacing w:before="0" w:after="160" w:line="480" w:lineRule="auto"/>
      </w:pPr>
      <w:r w:rsidRPr="00D161B5">
        <w:t>U-bottom 96-well plates (Corning</w:t>
      </w:r>
      <w:r>
        <w:t xml:space="preserve"> 3799</w:t>
      </w:r>
      <w:r w:rsidRPr="00D161B5">
        <w:t>)</w:t>
      </w:r>
    </w:p>
    <w:p w14:paraId="26C7BB03" w14:textId="77777777" w:rsidR="003E7E19" w:rsidRPr="00D161B5" w:rsidRDefault="003E7E19" w:rsidP="003E7E19">
      <w:pPr>
        <w:pStyle w:val="ListParagraph"/>
        <w:numPr>
          <w:ilvl w:val="0"/>
          <w:numId w:val="25"/>
        </w:numPr>
        <w:spacing w:before="0" w:after="160" w:line="480" w:lineRule="auto"/>
      </w:pPr>
      <w:proofErr w:type="spellStart"/>
      <w:r w:rsidRPr="00D161B5">
        <w:t>Parafilm</w:t>
      </w:r>
      <w:proofErr w:type="spellEnd"/>
    </w:p>
    <w:p w14:paraId="50B2FEBC" w14:textId="1FD1CFE2" w:rsidR="003E7E19" w:rsidRPr="0048708B" w:rsidRDefault="003E7E19" w:rsidP="003E7E19">
      <w:pPr>
        <w:pStyle w:val="ListParagraph"/>
        <w:numPr>
          <w:ilvl w:val="0"/>
          <w:numId w:val="25"/>
        </w:numPr>
        <w:spacing w:before="0" w:after="160" w:line="480" w:lineRule="auto"/>
      </w:pPr>
      <w:r w:rsidRPr="00D161B5">
        <w:t>TCL Buffer (QIAGEN</w:t>
      </w:r>
      <w:r>
        <w:t xml:space="preserve"> 1070498</w:t>
      </w:r>
      <w:r w:rsidRPr="00D161B5">
        <w:t>)</w:t>
      </w:r>
    </w:p>
    <w:p w14:paraId="7DE3465D" w14:textId="77777777" w:rsidR="003E7E19" w:rsidRPr="00D161B5" w:rsidRDefault="003E7E19" w:rsidP="003E7E19">
      <w:pPr>
        <w:rPr>
          <w:rFonts w:cs="Times New Roman"/>
          <w:b/>
          <w:bCs/>
        </w:rPr>
      </w:pPr>
      <w:r w:rsidRPr="00D161B5">
        <w:rPr>
          <w:rFonts w:cs="Times New Roman"/>
          <w:b/>
          <w:bCs/>
        </w:rPr>
        <w:t xml:space="preserve">2.4 </w:t>
      </w:r>
      <w:proofErr w:type="spellStart"/>
      <w:r w:rsidRPr="00D161B5">
        <w:rPr>
          <w:rFonts w:cs="Times New Roman"/>
          <w:b/>
          <w:bCs/>
        </w:rPr>
        <w:t>AMPure</w:t>
      </w:r>
      <w:proofErr w:type="spellEnd"/>
      <w:r w:rsidRPr="00D161B5">
        <w:rPr>
          <w:rFonts w:cs="Times New Roman"/>
          <w:b/>
          <w:bCs/>
        </w:rPr>
        <w:t xml:space="preserve"> purification</w:t>
      </w:r>
    </w:p>
    <w:p w14:paraId="130F5659" w14:textId="77777777" w:rsidR="003E7E19" w:rsidRPr="00D161B5" w:rsidRDefault="003E7E19" w:rsidP="003E7E19">
      <w:pPr>
        <w:pStyle w:val="ListParagraph"/>
        <w:numPr>
          <w:ilvl w:val="0"/>
          <w:numId w:val="26"/>
        </w:numPr>
        <w:spacing w:before="0" w:after="160" w:line="480" w:lineRule="auto"/>
      </w:pPr>
      <w:proofErr w:type="spellStart"/>
      <w:r w:rsidRPr="00D161B5">
        <w:t>AMPure</w:t>
      </w:r>
      <w:proofErr w:type="spellEnd"/>
      <w:r w:rsidRPr="00D161B5">
        <w:t xml:space="preserve"> XP Beads (</w:t>
      </w:r>
      <w:r>
        <w:t>10136224</w:t>
      </w:r>
      <w:r w:rsidRPr="00D161B5">
        <w:t>)</w:t>
      </w:r>
    </w:p>
    <w:p w14:paraId="4E7051D9" w14:textId="77777777" w:rsidR="003E7E19" w:rsidRPr="00D161B5" w:rsidRDefault="003E7E19" w:rsidP="003E7E19">
      <w:pPr>
        <w:pStyle w:val="ListParagraph"/>
        <w:numPr>
          <w:ilvl w:val="0"/>
          <w:numId w:val="26"/>
        </w:numPr>
        <w:spacing w:before="0" w:after="160" w:line="480" w:lineRule="auto"/>
      </w:pPr>
      <w:r w:rsidRPr="00D161B5">
        <w:t>70% ethanol</w:t>
      </w:r>
    </w:p>
    <w:p w14:paraId="4600D08B" w14:textId="77777777" w:rsidR="003E7E19" w:rsidRPr="00D161B5" w:rsidRDefault="003E7E19" w:rsidP="003E7E19">
      <w:pPr>
        <w:pStyle w:val="ListParagraph"/>
        <w:numPr>
          <w:ilvl w:val="0"/>
          <w:numId w:val="26"/>
        </w:numPr>
        <w:spacing w:before="0" w:after="160" w:line="480" w:lineRule="auto"/>
      </w:pPr>
      <w:r w:rsidRPr="00D161B5">
        <w:t>Elution buffer (QIAGEN</w:t>
      </w:r>
      <w:r>
        <w:t xml:space="preserve"> 19086</w:t>
      </w:r>
      <w:r w:rsidRPr="00D161B5">
        <w:t>)</w:t>
      </w:r>
    </w:p>
    <w:p w14:paraId="284D2EC0" w14:textId="77777777" w:rsidR="003E7E19" w:rsidRPr="00D161B5" w:rsidRDefault="003E7E19" w:rsidP="003E7E19">
      <w:pPr>
        <w:pStyle w:val="ListParagraph"/>
        <w:numPr>
          <w:ilvl w:val="0"/>
          <w:numId w:val="26"/>
        </w:numPr>
        <w:spacing w:before="0" w:after="160" w:line="480" w:lineRule="auto"/>
      </w:pPr>
      <w:r w:rsidRPr="00D161B5">
        <w:t>Sterile PCR tubes (autoclaved)</w:t>
      </w:r>
    </w:p>
    <w:p w14:paraId="340755D1" w14:textId="77777777" w:rsidR="003E7E19" w:rsidRPr="00D161B5" w:rsidRDefault="003E7E19" w:rsidP="003E7E19">
      <w:pPr>
        <w:pStyle w:val="ListParagraph"/>
        <w:numPr>
          <w:ilvl w:val="0"/>
          <w:numId w:val="26"/>
        </w:numPr>
        <w:spacing w:before="0" w:after="160" w:line="480" w:lineRule="auto"/>
      </w:pPr>
      <w:r w:rsidRPr="00D161B5">
        <w:t xml:space="preserve">0.2mL tube magnetic stand (New England </w:t>
      </w:r>
      <w:proofErr w:type="spellStart"/>
      <w:r w:rsidRPr="00D161B5">
        <w:t>Biolabs</w:t>
      </w:r>
      <w:proofErr w:type="spellEnd"/>
      <w:r>
        <w:t xml:space="preserve"> S1515S</w:t>
      </w:r>
      <w:r w:rsidRPr="00D161B5">
        <w:t>)</w:t>
      </w:r>
    </w:p>
    <w:p w14:paraId="3343791B" w14:textId="25A599D9" w:rsidR="003E7E19" w:rsidRPr="0048708B" w:rsidRDefault="003E7E19" w:rsidP="003E7E19">
      <w:pPr>
        <w:pStyle w:val="ListParagraph"/>
        <w:numPr>
          <w:ilvl w:val="0"/>
          <w:numId w:val="26"/>
        </w:numPr>
        <w:spacing w:before="0" w:after="160" w:line="480" w:lineRule="auto"/>
      </w:pPr>
      <w:r w:rsidRPr="00D161B5">
        <w:lastRenderedPageBreak/>
        <w:t>10uL multichannel pipette (optional)</w:t>
      </w:r>
    </w:p>
    <w:p w14:paraId="3E89D028" w14:textId="77777777" w:rsidR="003E7E19" w:rsidRDefault="003E7E19" w:rsidP="003E7E19">
      <w:pPr>
        <w:rPr>
          <w:rFonts w:cs="Times New Roman"/>
          <w:b/>
          <w:bCs/>
        </w:rPr>
      </w:pPr>
      <w:r w:rsidRPr="00D161B5">
        <w:rPr>
          <w:rFonts w:cs="Times New Roman"/>
          <w:b/>
          <w:bCs/>
        </w:rPr>
        <w:t>2.5 L</w:t>
      </w:r>
      <w:r>
        <w:rPr>
          <w:rFonts w:cs="Times New Roman"/>
          <w:b/>
          <w:bCs/>
        </w:rPr>
        <w:t xml:space="preserve">ong </w:t>
      </w:r>
      <w:r w:rsidRPr="00D161B5">
        <w:rPr>
          <w:rFonts w:cs="Times New Roman"/>
          <w:b/>
          <w:bCs/>
        </w:rPr>
        <w:t>R</w:t>
      </w:r>
      <w:r>
        <w:rPr>
          <w:rFonts w:cs="Times New Roman"/>
          <w:b/>
          <w:bCs/>
        </w:rPr>
        <w:t xml:space="preserve">ange </w:t>
      </w:r>
      <w:r w:rsidRPr="00D161B5">
        <w:rPr>
          <w:rFonts w:cs="Times New Roman"/>
          <w:b/>
          <w:bCs/>
        </w:rPr>
        <w:t>PCR</w:t>
      </w:r>
    </w:p>
    <w:p w14:paraId="47D5DE84" w14:textId="599F9E1D" w:rsidR="003E7E19" w:rsidRPr="0048708B" w:rsidRDefault="003E7E19" w:rsidP="0048708B">
      <w:pPr>
        <w:spacing w:before="0" w:after="160" w:line="480" w:lineRule="auto"/>
      </w:pPr>
      <w:r w:rsidRPr="00D161B5">
        <w:t>Primers were de</w:t>
      </w:r>
      <w:r>
        <w:t xml:space="preserve">signed using NCBI Primer-BLAST to specifically bind to mtDNA, and not to any known CHO nuclear DNA sequences to minimise </w:t>
      </w:r>
      <w:proofErr w:type="spellStart"/>
      <w:r>
        <w:t>Numt</w:t>
      </w:r>
      <w:proofErr w:type="spellEnd"/>
      <w:r>
        <w:t xml:space="preserve"> contamination.</w:t>
      </w:r>
    </w:p>
    <w:p w14:paraId="72C65474" w14:textId="77777777" w:rsidR="003E7E19" w:rsidRPr="00D161B5" w:rsidRDefault="003E7E19" w:rsidP="003E7E19">
      <w:pPr>
        <w:pStyle w:val="ListParagraph"/>
        <w:numPr>
          <w:ilvl w:val="0"/>
          <w:numId w:val="27"/>
        </w:numPr>
        <w:spacing w:before="0" w:after="160" w:line="480" w:lineRule="auto"/>
      </w:pPr>
      <w:proofErr w:type="spellStart"/>
      <w:r w:rsidRPr="00D161B5">
        <w:t>SuperFi</w:t>
      </w:r>
      <w:proofErr w:type="spellEnd"/>
      <w:r w:rsidRPr="00D161B5">
        <w:t xml:space="preserve"> II Plat </w:t>
      </w:r>
      <w:proofErr w:type="spellStart"/>
      <w:r w:rsidRPr="00D161B5">
        <w:t>Taq</w:t>
      </w:r>
      <w:proofErr w:type="spellEnd"/>
      <w:r w:rsidRPr="00D161B5">
        <w:t xml:space="preserve"> (Invitrogen</w:t>
      </w:r>
      <w:r>
        <w:t xml:space="preserve"> 12361010</w:t>
      </w:r>
      <w:r w:rsidRPr="00D161B5">
        <w:t>)</w:t>
      </w:r>
      <w:r>
        <w:t>.</w:t>
      </w:r>
    </w:p>
    <w:p w14:paraId="3DA2D290" w14:textId="77777777" w:rsidR="003E7E19" w:rsidRDefault="003E7E19" w:rsidP="003E7E19">
      <w:pPr>
        <w:pStyle w:val="ListParagraph"/>
        <w:numPr>
          <w:ilvl w:val="0"/>
          <w:numId w:val="27"/>
        </w:numPr>
        <w:spacing w:before="0" w:after="160" w:line="480" w:lineRule="auto"/>
      </w:pPr>
      <w:r w:rsidRPr="00D161B5">
        <w:t xml:space="preserve">PCR </w:t>
      </w:r>
      <w:r>
        <w:t>thermocycler</w:t>
      </w:r>
    </w:p>
    <w:p w14:paraId="2A74B1DC" w14:textId="77777777" w:rsidR="003E7E19" w:rsidRDefault="003E7E19" w:rsidP="003E7E19">
      <w:pPr>
        <w:pStyle w:val="ListParagraph"/>
        <w:numPr>
          <w:ilvl w:val="0"/>
          <w:numId w:val="27"/>
        </w:numPr>
        <w:spacing w:before="0" w:after="160" w:line="480" w:lineRule="auto"/>
      </w:pPr>
      <w:r>
        <w:t>10uM forward and reverse primers (</w:t>
      </w:r>
      <w:r>
        <w:rPr>
          <w:b/>
        </w:rPr>
        <w:t>Table 2</w:t>
      </w:r>
      <w:r>
        <w:t>) (IDT)</w:t>
      </w:r>
    </w:p>
    <w:p w14:paraId="506C2FAE" w14:textId="184E7ECA" w:rsidR="003E7E19" w:rsidRPr="0048708B" w:rsidRDefault="003E7E19" w:rsidP="003E7E19">
      <w:pPr>
        <w:pStyle w:val="ListParagraph"/>
        <w:numPr>
          <w:ilvl w:val="0"/>
          <w:numId w:val="27"/>
        </w:numPr>
        <w:spacing w:before="0" w:after="160" w:line="480" w:lineRule="auto"/>
      </w:pPr>
      <w:r>
        <w:t>10mM dNTP Mix (</w:t>
      </w:r>
      <w:proofErr w:type="spellStart"/>
      <w:r>
        <w:t>Thermo</w:t>
      </w:r>
      <w:proofErr w:type="spellEnd"/>
      <w:r>
        <w:t xml:space="preserve"> Scientific R0192)</w:t>
      </w:r>
    </w:p>
    <w:p w14:paraId="616DFB54" w14:textId="77777777" w:rsidR="003E7E19" w:rsidRPr="00D161B5" w:rsidRDefault="003E7E19" w:rsidP="003E7E19">
      <w:pPr>
        <w:rPr>
          <w:rFonts w:cs="Times New Roman"/>
          <w:b/>
          <w:bCs/>
        </w:rPr>
      </w:pPr>
      <w:r w:rsidRPr="00D161B5">
        <w:rPr>
          <w:rFonts w:cs="Times New Roman"/>
          <w:b/>
          <w:bCs/>
        </w:rPr>
        <w:t>2.6 Agarose Gel</w:t>
      </w:r>
    </w:p>
    <w:p w14:paraId="534FAC8B" w14:textId="77777777" w:rsidR="003E7E19" w:rsidRPr="00D161B5" w:rsidRDefault="003E7E19" w:rsidP="003E7E19">
      <w:pPr>
        <w:pStyle w:val="ListParagraph"/>
        <w:numPr>
          <w:ilvl w:val="0"/>
          <w:numId w:val="28"/>
        </w:numPr>
        <w:spacing w:before="0" w:after="160" w:line="480" w:lineRule="auto"/>
      </w:pPr>
      <w:r w:rsidRPr="00D161B5">
        <w:t>Agarose powder.</w:t>
      </w:r>
    </w:p>
    <w:p w14:paraId="329B20F8" w14:textId="77777777" w:rsidR="003E7E19" w:rsidRPr="00D161B5" w:rsidRDefault="003E7E19" w:rsidP="003E7E19">
      <w:pPr>
        <w:pStyle w:val="ListParagraph"/>
        <w:numPr>
          <w:ilvl w:val="0"/>
          <w:numId w:val="28"/>
        </w:numPr>
        <w:spacing w:before="0" w:after="160" w:line="480" w:lineRule="auto"/>
      </w:pPr>
      <w:r w:rsidRPr="00D161B5">
        <w:t>TAE buffer.</w:t>
      </w:r>
    </w:p>
    <w:p w14:paraId="044CA715" w14:textId="77777777" w:rsidR="003E7E19" w:rsidRPr="00D161B5" w:rsidRDefault="003E7E19" w:rsidP="003E7E19">
      <w:pPr>
        <w:pStyle w:val="ListParagraph"/>
        <w:numPr>
          <w:ilvl w:val="0"/>
          <w:numId w:val="28"/>
        </w:numPr>
        <w:spacing w:before="0" w:after="160" w:line="480" w:lineRule="auto"/>
      </w:pPr>
      <w:proofErr w:type="spellStart"/>
      <w:r w:rsidRPr="00D161B5">
        <w:t>SafeView</w:t>
      </w:r>
      <w:proofErr w:type="spellEnd"/>
      <w:r w:rsidRPr="00D161B5">
        <w:t xml:space="preserve"> (NBS Biologicals). Ethidium Bromide is an alternative.</w:t>
      </w:r>
    </w:p>
    <w:p w14:paraId="0BB29411" w14:textId="77777777" w:rsidR="003E7E19" w:rsidRPr="00D161B5" w:rsidRDefault="003E7E19" w:rsidP="003E7E19">
      <w:pPr>
        <w:pStyle w:val="ListParagraph"/>
        <w:numPr>
          <w:ilvl w:val="0"/>
          <w:numId w:val="28"/>
        </w:numPr>
        <w:spacing w:before="0" w:after="160" w:line="480" w:lineRule="auto"/>
      </w:pPr>
      <w:proofErr w:type="spellStart"/>
      <w:r w:rsidRPr="00D161B5">
        <w:t>GeneRuler</w:t>
      </w:r>
      <w:proofErr w:type="spellEnd"/>
      <w:r w:rsidRPr="00D161B5">
        <w:t xml:space="preserve"> 1kb </w:t>
      </w:r>
      <w:proofErr w:type="gramStart"/>
      <w:r w:rsidRPr="00D161B5">
        <w:t>Plus</w:t>
      </w:r>
      <w:proofErr w:type="gramEnd"/>
      <w:r w:rsidRPr="00D161B5">
        <w:t xml:space="preserve"> Ladder (</w:t>
      </w:r>
      <w:proofErr w:type="spellStart"/>
      <w:r w:rsidRPr="00D161B5">
        <w:t>Thermo</w:t>
      </w:r>
      <w:proofErr w:type="spellEnd"/>
      <w:r w:rsidRPr="00D161B5">
        <w:t xml:space="preserve"> Scientific</w:t>
      </w:r>
      <w:r>
        <w:t xml:space="preserve"> SM1333</w:t>
      </w:r>
      <w:r w:rsidRPr="00D161B5">
        <w:t>).</w:t>
      </w:r>
    </w:p>
    <w:p w14:paraId="5CE715EF" w14:textId="77777777" w:rsidR="003E7E19" w:rsidRPr="00D161B5" w:rsidRDefault="003E7E19" w:rsidP="003E7E19">
      <w:pPr>
        <w:pStyle w:val="ListParagraph"/>
        <w:numPr>
          <w:ilvl w:val="0"/>
          <w:numId w:val="28"/>
        </w:numPr>
        <w:spacing w:before="0" w:after="160" w:line="480" w:lineRule="auto"/>
      </w:pPr>
      <w:r w:rsidRPr="00D161B5">
        <w:t>Gel Viewer</w:t>
      </w:r>
      <w:r>
        <w:t>/</w:t>
      </w:r>
      <w:proofErr w:type="spellStart"/>
      <w:r>
        <w:t>transilluminator</w:t>
      </w:r>
      <w:proofErr w:type="spellEnd"/>
      <w:r w:rsidRPr="00D161B5">
        <w:t>.</w:t>
      </w:r>
    </w:p>
    <w:p w14:paraId="28414FC9" w14:textId="77777777" w:rsidR="003E7E19" w:rsidRPr="00D161B5" w:rsidRDefault="003E7E19" w:rsidP="003E7E19">
      <w:pPr>
        <w:pStyle w:val="ListParagraph"/>
        <w:numPr>
          <w:ilvl w:val="0"/>
          <w:numId w:val="28"/>
        </w:numPr>
        <w:spacing w:before="0" w:after="160" w:line="480" w:lineRule="auto"/>
      </w:pPr>
      <w:r w:rsidRPr="00D161B5">
        <w:t>Disposable lab scalpel.</w:t>
      </w:r>
    </w:p>
    <w:p w14:paraId="1CEC3757" w14:textId="70E52956" w:rsidR="003E7E19" w:rsidRPr="0048708B" w:rsidRDefault="003E7E19" w:rsidP="003E7E19">
      <w:pPr>
        <w:pStyle w:val="ListParagraph"/>
        <w:numPr>
          <w:ilvl w:val="0"/>
          <w:numId w:val="28"/>
        </w:numPr>
        <w:spacing w:before="0" w:after="160" w:line="480" w:lineRule="auto"/>
      </w:pPr>
      <w:r w:rsidRPr="00D161B5">
        <w:t>Eppendorf tubes</w:t>
      </w:r>
      <w:r>
        <w:t>.</w:t>
      </w:r>
    </w:p>
    <w:p w14:paraId="2D13C113" w14:textId="77777777" w:rsidR="003E7E19" w:rsidRPr="00D161B5" w:rsidRDefault="003E7E19" w:rsidP="003E7E19">
      <w:pPr>
        <w:rPr>
          <w:rFonts w:cs="Times New Roman"/>
          <w:b/>
          <w:bCs/>
        </w:rPr>
      </w:pPr>
      <w:r w:rsidRPr="00D161B5">
        <w:rPr>
          <w:rFonts w:cs="Times New Roman"/>
          <w:b/>
          <w:bCs/>
        </w:rPr>
        <w:t>2.7 Gel Purification</w:t>
      </w:r>
    </w:p>
    <w:p w14:paraId="3AE4393E" w14:textId="65FA174C" w:rsidR="003E7E19" w:rsidRPr="0048708B" w:rsidRDefault="003E7E19" w:rsidP="003E7E19">
      <w:pPr>
        <w:pStyle w:val="ListParagraph"/>
        <w:numPr>
          <w:ilvl w:val="0"/>
          <w:numId w:val="29"/>
        </w:numPr>
        <w:spacing w:before="0" w:after="160" w:line="480" w:lineRule="auto"/>
      </w:pPr>
      <w:proofErr w:type="spellStart"/>
      <w:r w:rsidRPr="00D161B5">
        <w:t>QIAquick</w:t>
      </w:r>
      <w:proofErr w:type="spellEnd"/>
      <w:r w:rsidRPr="00D161B5">
        <w:t xml:space="preserve"> Gel Extraction Kit (QIAGEN</w:t>
      </w:r>
      <w:r>
        <w:t xml:space="preserve"> 28706X4</w:t>
      </w:r>
      <w:r w:rsidRPr="00D161B5">
        <w:t xml:space="preserve">). Other gel extraction kits </w:t>
      </w:r>
      <w:r>
        <w:t>c</w:t>
      </w:r>
      <w:r w:rsidRPr="00D161B5">
        <w:t>ould</w:t>
      </w:r>
      <w:r>
        <w:t xml:space="preserve"> also</w:t>
      </w:r>
      <w:r w:rsidRPr="00D161B5">
        <w:t xml:space="preserve"> be </w:t>
      </w:r>
      <w:r>
        <w:t>utilised</w:t>
      </w:r>
      <w:r w:rsidRPr="00D161B5">
        <w:t>.</w:t>
      </w:r>
    </w:p>
    <w:p w14:paraId="6074D457" w14:textId="77777777" w:rsidR="003E7E19" w:rsidRPr="00D161B5" w:rsidRDefault="003E7E19" w:rsidP="003E7E19">
      <w:pPr>
        <w:rPr>
          <w:rFonts w:cs="Times New Roman"/>
          <w:b/>
          <w:bCs/>
        </w:rPr>
      </w:pPr>
      <w:r w:rsidRPr="00D161B5">
        <w:rPr>
          <w:rFonts w:cs="Times New Roman"/>
          <w:b/>
          <w:bCs/>
        </w:rPr>
        <w:t>2.8 Qubit</w:t>
      </w:r>
    </w:p>
    <w:p w14:paraId="7D02FF1E" w14:textId="77777777" w:rsidR="003E7E19" w:rsidRPr="00D161B5" w:rsidRDefault="003E7E19" w:rsidP="003E7E19">
      <w:pPr>
        <w:pStyle w:val="ListParagraph"/>
        <w:numPr>
          <w:ilvl w:val="0"/>
          <w:numId w:val="30"/>
        </w:numPr>
        <w:spacing w:before="0" w:after="160" w:line="480" w:lineRule="auto"/>
      </w:pPr>
      <w:r w:rsidRPr="00D161B5">
        <w:t xml:space="preserve">Qubit 4 </w:t>
      </w:r>
      <w:proofErr w:type="spellStart"/>
      <w:r w:rsidRPr="00D161B5">
        <w:t>Fluorometer</w:t>
      </w:r>
      <w:proofErr w:type="spellEnd"/>
      <w:r w:rsidRPr="00D161B5">
        <w:t xml:space="preserve"> (Invitrogen)</w:t>
      </w:r>
    </w:p>
    <w:p w14:paraId="28F424FC" w14:textId="2383350F" w:rsidR="003E7E19" w:rsidRPr="0048708B" w:rsidRDefault="003E7E19" w:rsidP="003E7E19">
      <w:pPr>
        <w:pStyle w:val="ListParagraph"/>
        <w:numPr>
          <w:ilvl w:val="0"/>
          <w:numId w:val="30"/>
        </w:numPr>
        <w:spacing w:before="0" w:after="160" w:line="480" w:lineRule="auto"/>
      </w:pPr>
      <w:r w:rsidRPr="00D161B5">
        <w:t>Qubit 1x dsDNA HS Kit (Invitrogen</w:t>
      </w:r>
      <w:r>
        <w:t xml:space="preserve"> Q33230</w:t>
      </w:r>
      <w:r w:rsidRPr="00D161B5">
        <w:t>)</w:t>
      </w:r>
    </w:p>
    <w:p w14:paraId="393B90B8" w14:textId="77777777" w:rsidR="003E7E19" w:rsidRDefault="003E7E19" w:rsidP="003E7E19">
      <w:pPr>
        <w:rPr>
          <w:rFonts w:cs="Times New Roman"/>
          <w:b/>
          <w:bCs/>
        </w:rPr>
      </w:pPr>
      <w:r w:rsidRPr="00D161B5">
        <w:rPr>
          <w:rFonts w:cs="Times New Roman"/>
          <w:b/>
          <w:bCs/>
        </w:rPr>
        <w:t>2.9 Sequencing</w:t>
      </w:r>
    </w:p>
    <w:p w14:paraId="3D2BAD06" w14:textId="77777777" w:rsidR="003E7E19" w:rsidRPr="00D161B5" w:rsidRDefault="003E7E19" w:rsidP="003E7E19">
      <w:pPr>
        <w:pStyle w:val="ListParagraph"/>
        <w:numPr>
          <w:ilvl w:val="0"/>
          <w:numId w:val="31"/>
        </w:numPr>
        <w:spacing w:before="0" w:after="160" w:line="480" w:lineRule="auto"/>
      </w:pPr>
      <w:r w:rsidRPr="00D161B5">
        <w:lastRenderedPageBreak/>
        <w:t>iSeq</w:t>
      </w:r>
      <w:r>
        <w:t>100</w:t>
      </w:r>
      <w:r w:rsidRPr="00D161B5">
        <w:t xml:space="preserve"> (Illumina)</w:t>
      </w:r>
      <w:r>
        <w:t xml:space="preserve"> </w:t>
      </w:r>
      <w:r>
        <w:rPr>
          <w:bCs/>
        </w:rPr>
        <w:t>PE150, 8 million reads</w:t>
      </w:r>
    </w:p>
    <w:p w14:paraId="4F999246" w14:textId="77777777" w:rsidR="003E7E19" w:rsidRPr="00D161B5" w:rsidRDefault="003E7E19" w:rsidP="003E7E19">
      <w:pPr>
        <w:pStyle w:val="ListParagraph"/>
        <w:numPr>
          <w:ilvl w:val="0"/>
          <w:numId w:val="31"/>
        </w:numPr>
        <w:spacing w:before="0" w:after="160" w:line="480" w:lineRule="auto"/>
      </w:pPr>
      <w:r w:rsidRPr="00D161B5">
        <w:t xml:space="preserve">Illumina DNA Prep, (M) </w:t>
      </w:r>
      <w:proofErr w:type="spellStart"/>
      <w:r w:rsidRPr="00D161B5">
        <w:t>Tagmentation</w:t>
      </w:r>
      <w:proofErr w:type="spellEnd"/>
      <w:r w:rsidRPr="00D161B5">
        <w:t xml:space="preserve"> (24 Samples) (Illumina</w:t>
      </w:r>
      <w:r>
        <w:t xml:space="preserve"> 20018704</w:t>
      </w:r>
      <w:r w:rsidRPr="00D161B5">
        <w:t>)</w:t>
      </w:r>
    </w:p>
    <w:p w14:paraId="518D7220" w14:textId="77777777" w:rsidR="003E7E19" w:rsidRPr="00D161B5" w:rsidRDefault="003E7E19" w:rsidP="003E7E19">
      <w:pPr>
        <w:pStyle w:val="ListParagraph"/>
        <w:numPr>
          <w:ilvl w:val="0"/>
          <w:numId w:val="31"/>
        </w:numPr>
        <w:spacing w:before="0" w:after="160" w:line="480" w:lineRule="auto"/>
      </w:pPr>
      <w:r w:rsidRPr="00D161B5">
        <w:t xml:space="preserve">IDT for Illumina DNA/RNA UD Indexes Set A, </w:t>
      </w:r>
      <w:proofErr w:type="spellStart"/>
      <w:r w:rsidRPr="00D161B5">
        <w:t>Tagmentation</w:t>
      </w:r>
      <w:proofErr w:type="spellEnd"/>
      <w:r w:rsidRPr="00D161B5">
        <w:t xml:space="preserve"> (96 Indexes, 96 Samples) (Illumina</w:t>
      </w:r>
      <w:r>
        <w:t xml:space="preserve"> 20027213</w:t>
      </w:r>
      <w:r w:rsidRPr="00D161B5">
        <w:t>)</w:t>
      </w:r>
    </w:p>
    <w:p w14:paraId="3A6028A4" w14:textId="77777777" w:rsidR="003E7E19" w:rsidRPr="00D161B5" w:rsidRDefault="003E7E19" w:rsidP="003E7E19">
      <w:pPr>
        <w:pStyle w:val="ListParagraph"/>
        <w:numPr>
          <w:ilvl w:val="0"/>
          <w:numId w:val="31"/>
        </w:numPr>
        <w:spacing w:before="0" w:after="160" w:line="480" w:lineRule="auto"/>
      </w:pPr>
      <w:proofErr w:type="spellStart"/>
      <w:r w:rsidRPr="00D161B5">
        <w:t>iSeq</w:t>
      </w:r>
      <w:proofErr w:type="spellEnd"/>
      <w:r w:rsidRPr="00D161B5">
        <w:t xml:space="preserve"> 100 i</w:t>
      </w:r>
      <w:r>
        <w:t>1</w:t>
      </w:r>
      <w:r w:rsidRPr="00D161B5">
        <w:t xml:space="preserve"> Reagent v2 (300-cycle) (Illumina</w:t>
      </w:r>
      <w:r>
        <w:t xml:space="preserve"> 20031371</w:t>
      </w:r>
      <w:r w:rsidRPr="00D161B5">
        <w:t>)</w:t>
      </w:r>
    </w:p>
    <w:p w14:paraId="33C60275" w14:textId="245DF280" w:rsidR="003E7E19" w:rsidRPr="003E7E19" w:rsidRDefault="003E7E19" w:rsidP="003E7E19">
      <w:pPr>
        <w:pStyle w:val="ListParagraph"/>
        <w:numPr>
          <w:ilvl w:val="0"/>
          <w:numId w:val="31"/>
        </w:numPr>
        <w:spacing w:before="0" w:after="160" w:line="480" w:lineRule="auto"/>
      </w:pPr>
      <w:proofErr w:type="spellStart"/>
      <w:r w:rsidRPr="00D161B5">
        <w:t>PhiX</w:t>
      </w:r>
      <w:proofErr w:type="spellEnd"/>
      <w:r w:rsidRPr="00D161B5">
        <w:t xml:space="preserve"> v3 (Illumina</w:t>
      </w:r>
      <w:r>
        <w:t xml:space="preserve"> FC-110-3001</w:t>
      </w:r>
      <w:r w:rsidRPr="00D161B5">
        <w:t>)</w:t>
      </w:r>
    </w:p>
    <w:p w14:paraId="41FAA279" w14:textId="77777777" w:rsidR="003E7E19" w:rsidRPr="006A16E4" w:rsidRDefault="003E7E19" w:rsidP="00AC08CC">
      <w:pPr>
        <w:rPr>
          <w:b/>
        </w:rPr>
      </w:pPr>
    </w:p>
    <w:p w14:paraId="46E02CF1" w14:textId="1B2B4FDC" w:rsidR="001D5C23" w:rsidRDefault="00FA75DA" w:rsidP="001D5C23">
      <w:pPr>
        <w:pStyle w:val="Heading1"/>
      </w:pPr>
      <w:r>
        <w:t>Methods</w:t>
      </w:r>
    </w:p>
    <w:p w14:paraId="38B1AF63" w14:textId="366207F5" w:rsidR="001270C0" w:rsidRDefault="00747376" w:rsidP="001270C0">
      <w:r w:rsidRPr="00187FD3">
        <w:rPr>
          <w:rFonts w:cs="Arial"/>
        </w:rPr>
        <w:t xml:space="preserve">All steps up to </w:t>
      </w:r>
      <w:r>
        <w:rPr>
          <w:rFonts w:cs="Arial"/>
        </w:rPr>
        <w:t xml:space="preserve">the </w:t>
      </w:r>
      <w:r w:rsidRPr="00187FD3">
        <w:rPr>
          <w:rFonts w:cs="Arial"/>
        </w:rPr>
        <w:t xml:space="preserve">completion </w:t>
      </w:r>
      <w:r>
        <w:rPr>
          <w:rFonts w:cs="Arial"/>
        </w:rPr>
        <w:t xml:space="preserve">of the </w:t>
      </w:r>
      <w:r w:rsidRPr="00187FD3">
        <w:rPr>
          <w:rFonts w:cs="Arial"/>
        </w:rPr>
        <w:t xml:space="preserve">LRPCR </w:t>
      </w:r>
      <w:r>
        <w:rPr>
          <w:rFonts w:cs="Arial"/>
        </w:rPr>
        <w:t>for the 4 samples (</w:t>
      </w:r>
      <w:r w:rsidR="007A2616">
        <w:rPr>
          <w:rFonts w:cs="Arial"/>
          <w:b/>
        </w:rPr>
        <w:t xml:space="preserve">Table </w:t>
      </w:r>
      <w:r>
        <w:rPr>
          <w:rFonts w:cs="Arial"/>
          <w:b/>
        </w:rPr>
        <w:t>1</w:t>
      </w:r>
      <w:r>
        <w:rPr>
          <w:rFonts w:cs="Arial"/>
        </w:rPr>
        <w:t>)</w:t>
      </w:r>
      <w:r w:rsidRPr="00187FD3">
        <w:rPr>
          <w:rFonts w:cs="Arial"/>
        </w:rPr>
        <w:t xml:space="preserve"> </w:t>
      </w:r>
      <w:r>
        <w:rPr>
          <w:rFonts w:cs="Arial"/>
        </w:rPr>
        <w:t xml:space="preserve">were </w:t>
      </w:r>
      <w:r w:rsidRPr="00187FD3">
        <w:rPr>
          <w:rFonts w:cs="Arial"/>
        </w:rPr>
        <w:t>performed in sterile conditions</w:t>
      </w:r>
      <w:r w:rsidR="004F327C">
        <w:rPr>
          <w:rFonts w:cs="Arial"/>
        </w:rPr>
        <w:t xml:space="preserve"> (BSC)</w:t>
      </w:r>
      <w:r w:rsidRPr="00187FD3">
        <w:rPr>
          <w:rFonts w:cs="Arial"/>
        </w:rPr>
        <w:t>.</w:t>
      </w:r>
    </w:p>
    <w:p w14:paraId="6E60F853" w14:textId="1DFA384A" w:rsidR="001270C0" w:rsidRDefault="001270C0" w:rsidP="001270C0">
      <w:pPr>
        <w:rPr>
          <w:rFonts w:cs="Arial"/>
        </w:rPr>
      </w:pPr>
      <w:r>
        <w:rPr>
          <w:rFonts w:cs="Arial"/>
          <w:b/>
          <w:bCs/>
        </w:rPr>
        <w:t>Table 1</w:t>
      </w:r>
    </w:p>
    <w:p w14:paraId="19237E64" w14:textId="77777777" w:rsidR="001270C0" w:rsidRPr="00187FD3" w:rsidRDefault="001270C0" w:rsidP="001270C0">
      <w:pPr>
        <w:pStyle w:val="Heading2"/>
      </w:pPr>
      <w:bookmarkStart w:id="1" w:name="_Toc143796649"/>
      <w:r w:rsidRPr="00187FD3">
        <w:t>PCR Component Storage</w:t>
      </w:r>
      <w:bookmarkEnd w:id="1"/>
    </w:p>
    <w:p w14:paraId="01B48E16" w14:textId="77777777" w:rsidR="001270C0" w:rsidRDefault="001270C0" w:rsidP="001270C0">
      <w:r w:rsidRPr="00187FD3">
        <w:t xml:space="preserve">Since the LRPCR amplifies from less than 5,000 copies of mtDNA, PCR components must have optimal efficacy. This </w:t>
      </w:r>
      <w:r>
        <w:t>was</w:t>
      </w:r>
      <w:r w:rsidRPr="00187FD3">
        <w:t xml:space="preserve"> ensured by makin</w:t>
      </w:r>
      <w:r>
        <w:t xml:space="preserve">g small (20uL) aliquots of dNTPs </w:t>
      </w:r>
      <w:r w:rsidRPr="00187FD3">
        <w:t>(</w:t>
      </w:r>
      <w:proofErr w:type="spellStart"/>
      <w:r w:rsidRPr="00187FD3">
        <w:t>Thermo</w:t>
      </w:r>
      <w:proofErr w:type="spellEnd"/>
      <w:r w:rsidRPr="00187FD3">
        <w:t xml:space="preserve"> Scientific R0192) and primers (IDT) and storing at -</w:t>
      </w:r>
      <w:r>
        <w:t>80°C</w:t>
      </w:r>
      <w:r w:rsidRPr="00187FD3">
        <w:t xml:space="preserve">. New aliquots </w:t>
      </w:r>
      <w:r>
        <w:t xml:space="preserve">were </w:t>
      </w:r>
      <w:r w:rsidRPr="00187FD3">
        <w:t>used for each lot of PCR perfo</w:t>
      </w:r>
      <w:r>
        <w:t>rmed and subsequently discarded.</w:t>
      </w:r>
    </w:p>
    <w:p w14:paraId="32BA207B" w14:textId="196ED780" w:rsidR="001270C0" w:rsidRDefault="001270C0" w:rsidP="001270C0">
      <w:pPr>
        <w:rPr>
          <w:rFonts w:cs="Arial"/>
        </w:rPr>
      </w:pPr>
      <w:r>
        <w:rPr>
          <w:rFonts w:cs="Arial"/>
          <w:b/>
          <w:bCs/>
        </w:rPr>
        <w:t xml:space="preserve">Table </w:t>
      </w:r>
      <w:r w:rsidRPr="00187FD3">
        <w:rPr>
          <w:rFonts w:cs="Arial"/>
          <w:b/>
          <w:bCs/>
        </w:rPr>
        <w:t>2</w:t>
      </w:r>
    </w:p>
    <w:p w14:paraId="297CEA53" w14:textId="77777777" w:rsidR="001270C0" w:rsidRDefault="001270C0" w:rsidP="001270C0">
      <w:pPr>
        <w:pStyle w:val="Heading2"/>
      </w:pPr>
      <w:bookmarkStart w:id="2" w:name="_Toc143796650"/>
      <w:r w:rsidRPr="00187FD3">
        <w:t>CHO cell culture</w:t>
      </w:r>
      <w:bookmarkEnd w:id="2"/>
    </w:p>
    <w:p w14:paraId="1ACF09D0" w14:textId="19560531" w:rsidR="0048708B" w:rsidRDefault="001270C0" w:rsidP="001270C0">
      <w:pPr>
        <w:rPr>
          <w:rFonts w:eastAsia="Cambria"/>
          <w:szCs w:val="24"/>
        </w:rPr>
      </w:pPr>
      <w:r>
        <w:t>CHO-GS cells were</w:t>
      </w:r>
      <w:r w:rsidRPr="00187FD3">
        <w:t xml:space="preserve"> cultured in FORTICHO (</w:t>
      </w:r>
      <w:proofErr w:type="spellStart"/>
      <w:r w:rsidRPr="00187FD3">
        <w:t>Gibco</w:t>
      </w:r>
      <w:proofErr w:type="spellEnd"/>
      <w:r w:rsidRPr="00187FD3">
        <w:t xml:space="preserve"> CD </w:t>
      </w:r>
      <w:proofErr w:type="spellStart"/>
      <w:r w:rsidRPr="00187FD3">
        <w:t>FortiCHO</w:t>
      </w:r>
      <w:proofErr w:type="spellEnd"/>
      <w:r w:rsidRPr="00187FD3">
        <w:t xml:space="preserve"> 10887640) at 37°C, 5% CO2, 85% humidity, 125rpm with 25mm orbit in </w:t>
      </w:r>
      <w:r>
        <w:t xml:space="preserve">a </w:t>
      </w:r>
      <w:r w:rsidRPr="00187FD3">
        <w:t xml:space="preserve">shaking incubator in 125mL bioreactor flasks (Nalgene 10266432). </w:t>
      </w:r>
      <w:r w:rsidRPr="00187FD3">
        <w:rPr>
          <w:rFonts w:eastAsia="Cambria"/>
          <w:szCs w:val="24"/>
        </w:rPr>
        <w:t>Every 3-4 days</w:t>
      </w:r>
      <w:r>
        <w:rPr>
          <w:rFonts w:eastAsia="Cambria"/>
          <w:szCs w:val="24"/>
        </w:rPr>
        <w:t>, cells were</w:t>
      </w:r>
      <w:r w:rsidRPr="00187FD3">
        <w:rPr>
          <w:rFonts w:eastAsia="Cambria"/>
          <w:szCs w:val="24"/>
        </w:rPr>
        <w:t xml:space="preserve"> passage</w:t>
      </w:r>
      <w:r>
        <w:rPr>
          <w:rFonts w:eastAsia="Cambria"/>
          <w:szCs w:val="24"/>
        </w:rPr>
        <w:t>d</w:t>
      </w:r>
      <w:r w:rsidRPr="00187FD3">
        <w:rPr>
          <w:rFonts w:eastAsia="Cambria"/>
          <w:szCs w:val="24"/>
        </w:rPr>
        <w:t xml:space="preserve"> at 0.2*10^5 cells/mL in 30mL media in 125mL culture shaking flasks.</w:t>
      </w:r>
      <w:r>
        <w:rPr>
          <w:rFonts w:eastAsia="Cambria"/>
          <w:szCs w:val="24"/>
        </w:rPr>
        <w:t xml:space="preserve"> </w:t>
      </w:r>
      <w:r w:rsidRPr="00187FD3">
        <w:rPr>
          <w:rFonts w:eastAsia="Cambria"/>
          <w:szCs w:val="24"/>
        </w:rPr>
        <w:t xml:space="preserve">A growth curve </w:t>
      </w:r>
      <w:r>
        <w:rPr>
          <w:rFonts w:eastAsia="Cambria"/>
          <w:szCs w:val="24"/>
        </w:rPr>
        <w:t xml:space="preserve">was </w:t>
      </w:r>
      <w:r w:rsidRPr="00187FD3">
        <w:rPr>
          <w:rFonts w:eastAsia="Cambria"/>
          <w:szCs w:val="24"/>
        </w:rPr>
        <w:t xml:space="preserve">established to ensure samples </w:t>
      </w:r>
      <w:r w:rsidR="00301B52">
        <w:rPr>
          <w:rFonts w:eastAsia="Cambria"/>
          <w:szCs w:val="24"/>
        </w:rPr>
        <w:t>were</w:t>
      </w:r>
      <w:r w:rsidRPr="00187FD3">
        <w:rPr>
          <w:rFonts w:eastAsia="Cambria"/>
          <w:szCs w:val="24"/>
        </w:rPr>
        <w:t xml:space="preserve"> taken at </w:t>
      </w:r>
      <w:r>
        <w:rPr>
          <w:rFonts w:eastAsia="Cambria"/>
          <w:szCs w:val="24"/>
        </w:rPr>
        <w:t>exponential</w:t>
      </w:r>
      <w:r w:rsidRPr="00187FD3">
        <w:rPr>
          <w:rFonts w:eastAsia="Cambria"/>
          <w:szCs w:val="24"/>
        </w:rPr>
        <w:t xml:space="preserve"> cell phase (</w:t>
      </w:r>
      <w:r>
        <w:rPr>
          <w:rFonts w:eastAsia="Cambria"/>
          <w:b/>
          <w:szCs w:val="24"/>
        </w:rPr>
        <w:t xml:space="preserve">Table </w:t>
      </w:r>
      <w:r w:rsidRPr="00187FD3">
        <w:rPr>
          <w:rFonts w:eastAsia="Cambria"/>
          <w:b/>
          <w:szCs w:val="24"/>
        </w:rPr>
        <w:t>1</w:t>
      </w:r>
      <w:r w:rsidRPr="00187FD3">
        <w:rPr>
          <w:rFonts w:eastAsia="Cambria"/>
          <w:szCs w:val="24"/>
        </w:rPr>
        <w:t>).</w:t>
      </w:r>
    </w:p>
    <w:p w14:paraId="1125F977" w14:textId="77777777" w:rsidR="001270C0" w:rsidRPr="00187FD3" w:rsidRDefault="001270C0" w:rsidP="001270C0">
      <w:pPr>
        <w:pStyle w:val="Heading2"/>
      </w:pPr>
      <w:bookmarkStart w:id="3" w:name="_Toc143796651"/>
      <w:r w:rsidRPr="00187FD3">
        <w:t>DAPI Stain</w:t>
      </w:r>
      <w:bookmarkEnd w:id="3"/>
    </w:p>
    <w:p w14:paraId="78DFFB15" w14:textId="33BD2830" w:rsidR="001270C0" w:rsidRPr="00187FD3" w:rsidRDefault="001270C0" w:rsidP="001270C0">
      <w:r w:rsidRPr="00187FD3">
        <w:rPr>
          <w:bCs/>
        </w:rPr>
        <w:t xml:space="preserve">A working concentration </w:t>
      </w:r>
      <w:r>
        <w:rPr>
          <w:bCs/>
        </w:rPr>
        <w:t>of 0.1ug/mL DAPI was determined as</w:t>
      </w:r>
      <w:r w:rsidRPr="00187FD3">
        <w:rPr>
          <w:bCs/>
        </w:rPr>
        <w:t xml:space="preserve"> optimal for CHO cells.</w:t>
      </w:r>
      <w:r>
        <w:rPr>
          <w:bCs/>
        </w:rPr>
        <w:t xml:space="preserve"> </w:t>
      </w:r>
      <w:r w:rsidRPr="00187FD3">
        <w:t xml:space="preserve">DAPI (Invitrogen D1306) solutions </w:t>
      </w:r>
      <w:r>
        <w:t xml:space="preserve">were protected </w:t>
      </w:r>
      <w:r w:rsidRPr="00187FD3">
        <w:t>from light wherever possible.</w:t>
      </w:r>
      <w:r>
        <w:t xml:space="preserve"> </w:t>
      </w:r>
      <w:r w:rsidRPr="00187FD3">
        <w:t xml:space="preserve">In a BSC, 10mg DAPI powder </w:t>
      </w:r>
      <w:r>
        <w:t xml:space="preserve">was </w:t>
      </w:r>
      <w:r w:rsidRPr="00187FD3">
        <w:t xml:space="preserve">completely </w:t>
      </w:r>
      <w:r>
        <w:t xml:space="preserve">dissolved </w:t>
      </w:r>
      <w:r w:rsidRPr="00187FD3">
        <w:t>in 2mL sterile deionised water to make a 5 mg/mL DAPI stock solution.</w:t>
      </w:r>
      <w:r>
        <w:t xml:space="preserve"> This was a</w:t>
      </w:r>
      <w:r w:rsidRPr="00187FD3">
        <w:t>liquot</w:t>
      </w:r>
      <w:r>
        <w:t>ed</w:t>
      </w:r>
      <w:r w:rsidRPr="00187FD3">
        <w:t xml:space="preserve"> and store</w:t>
      </w:r>
      <w:r>
        <w:t>d</w:t>
      </w:r>
      <w:r w:rsidRPr="00187FD3">
        <w:t xml:space="preserve"> at -20°C. Solutions </w:t>
      </w:r>
      <w:r w:rsidR="00301B52">
        <w:t>were</w:t>
      </w:r>
      <w:r w:rsidRPr="00187FD3">
        <w:t xml:space="preserve"> stable for at least six months.</w:t>
      </w:r>
      <w:r>
        <w:t xml:space="preserve"> </w:t>
      </w:r>
      <w:r w:rsidRPr="00187FD3">
        <w:t xml:space="preserve">1uL of DAPI stock solution </w:t>
      </w:r>
      <w:r>
        <w:t xml:space="preserve">was added </w:t>
      </w:r>
      <w:r w:rsidRPr="00187FD3">
        <w:t xml:space="preserve">to 5mL DPBS for </w:t>
      </w:r>
      <w:r>
        <w:t xml:space="preserve">a </w:t>
      </w:r>
      <w:r w:rsidRPr="00187FD3">
        <w:t>1ug/mL stock 2 DAPI working solution</w:t>
      </w:r>
      <w:r>
        <w:t xml:space="preserve">. </w:t>
      </w:r>
      <w:r w:rsidRPr="00187FD3">
        <w:t xml:space="preserve">1mL of 1ug/mL stock 2 solution </w:t>
      </w:r>
      <w:r>
        <w:t xml:space="preserve">was added </w:t>
      </w:r>
      <w:r w:rsidRPr="00187FD3">
        <w:t>to 9mL of DPBS to prepare a 0.1ug/mL DAPI working solution.</w:t>
      </w:r>
    </w:p>
    <w:p w14:paraId="43B03EF4" w14:textId="77777777" w:rsidR="001270C0" w:rsidRPr="00187FD3" w:rsidRDefault="001270C0" w:rsidP="001270C0">
      <w:pPr>
        <w:pStyle w:val="Heading2"/>
      </w:pPr>
      <w:bookmarkStart w:id="4" w:name="_Toc143796652"/>
      <w:r w:rsidRPr="00187FD3">
        <w:t>Staining Cells</w:t>
      </w:r>
      <w:bookmarkEnd w:id="4"/>
    </w:p>
    <w:p w14:paraId="5B6BE6E3" w14:textId="60565AAC" w:rsidR="001270C0" w:rsidRDefault="001270C0" w:rsidP="001270C0">
      <w:pPr>
        <w:rPr>
          <w:rFonts w:eastAsia="Cambria"/>
          <w:szCs w:val="24"/>
        </w:rPr>
      </w:pPr>
      <w:r w:rsidRPr="00187FD3">
        <w:lastRenderedPageBreak/>
        <w:t xml:space="preserve">Here, an AB-FITC </w:t>
      </w:r>
      <w:r>
        <w:t>(</w:t>
      </w:r>
      <w:r w:rsidRPr="00D161B5">
        <w:t>Sigma Aldrich</w:t>
      </w:r>
      <w:r>
        <w:t xml:space="preserve"> SAB3701254-2MG) </w:t>
      </w:r>
      <w:r w:rsidRPr="00187FD3">
        <w:t xml:space="preserve">conjugate </w:t>
      </w:r>
      <w:r>
        <w:t>was</w:t>
      </w:r>
      <w:r w:rsidRPr="00187FD3">
        <w:t xml:space="preserve"> used which at </w:t>
      </w:r>
      <w:r>
        <w:t>4°C</w:t>
      </w:r>
      <w:r w:rsidRPr="00187FD3">
        <w:t xml:space="preserve"> can bind to IgG on the cell membrane in the process of being excreted by the cell</w:t>
      </w:r>
      <w:r w:rsidR="00301B52">
        <w:t xml:space="preserve"> as previously demonstrated for CHO cells (Gallagher and Kelly, 2017)</w:t>
      </w:r>
      <w:r w:rsidRPr="00187FD3">
        <w:t>. This allow</w:t>
      </w:r>
      <w:r>
        <w:t>ed</w:t>
      </w:r>
      <w:r w:rsidRPr="00187FD3">
        <w:t xml:space="preserve"> </w:t>
      </w:r>
      <w:r>
        <w:t xml:space="preserve">the </w:t>
      </w:r>
      <w:r w:rsidRPr="00187FD3">
        <w:t xml:space="preserve">sorting of cells based on </w:t>
      </w:r>
      <w:r>
        <w:t xml:space="preserve">the </w:t>
      </w:r>
      <w:r w:rsidRPr="00187FD3">
        <w:t>productivity of an IgG</w:t>
      </w:r>
      <w:r>
        <w:t>-</w:t>
      </w:r>
      <w:r w:rsidRPr="00187FD3">
        <w:t xml:space="preserve">based antibody. </w:t>
      </w:r>
      <w:r>
        <w:t>C</w:t>
      </w:r>
      <w:r w:rsidRPr="00187FD3">
        <w:rPr>
          <w:rFonts w:eastAsia="Cambria"/>
          <w:szCs w:val="24"/>
        </w:rPr>
        <w:t xml:space="preserve">ell samples </w:t>
      </w:r>
      <w:r>
        <w:rPr>
          <w:rFonts w:eastAsia="Cambria"/>
          <w:szCs w:val="24"/>
        </w:rPr>
        <w:t xml:space="preserve">were prepared </w:t>
      </w:r>
      <w:r w:rsidRPr="00187FD3">
        <w:rPr>
          <w:rFonts w:eastAsia="Cambria"/>
          <w:szCs w:val="24"/>
        </w:rPr>
        <w:t xml:space="preserve">as per </w:t>
      </w:r>
      <w:r>
        <w:rPr>
          <w:rFonts w:eastAsia="Cambria"/>
          <w:b/>
          <w:bCs/>
          <w:szCs w:val="24"/>
        </w:rPr>
        <w:t xml:space="preserve">Table </w:t>
      </w:r>
      <w:r w:rsidRPr="00187FD3">
        <w:rPr>
          <w:rFonts w:eastAsia="Cambria"/>
          <w:b/>
          <w:bCs/>
          <w:szCs w:val="24"/>
        </w:rPr>
        <w:t>1</w:t>
      </w:r>
      <w:r>
        <w:rPr>
          <w:rFonts w:eastAsia="Cambria"/>
          <w:bCs/>
          <w:szCs w:val="24"/>
        </w:rPr>
        <w:t>. C</w:t>
      </w:r>
      <w:r w:rsidRPr="00187FD3">
        <w:rPr>
          <w:rFonts w:eastAsia="Cambria"/>
          <w:szCs w:val="24"/>
        </w:rPr>
        <w:t xml:space="preserve">ells </w:t>
      </w:r>
      <w:r>
        <w:rPr>
          <w:rFonts w:eastAsia="Cambria"/>
          <w:szCs w:val="24"/>
        </w:rPr>
        <w:t xml:space="preserve">were counted </w:t>
      </w:r>
      <w:r w:rsidRPr="00187FD3">
        <w:rPr>
          <w:rFonts w:eastAsia="Cambria"/>
          <w:szCs w:val="24"/>
        </w:rPr>
        <w:t>using trypan blue (</w:t>
      </w:r>
      <w:r w:rsidRPr="00187FD3">
        <w:t>Gibco 15250061</w:t>
      </w:r>
      <w:r w:rsidRPr="00187FD3">
        <w:rPr>
          <w:rFonts w:eastAsia="Cambria"/>
          <w:szCs w:val="24"/>
        </w:rPr>
        <w:t xml:space="preserve">) and a hemacytometer as per </w:t>
      </w:r>
      <w:r>
        <w:rPr>
          <w:rFonts w:eastAsia="Cambria"/>
          <w:szCs w:val="24"/>
        </w:rPr>
        <w:t xml:space="preserve">the </w:t>
      </w:r>
      <w:r w:rsidRPr="00187FD3">
        <w:rPr>
          <w:rFonts w:eastAsia="Cambria"/>
          <w:szCs w:val="24"/>
        </w:rPr>
        <w:t>manufacturer’s instructions.</w:t>
      </w:r>
      <w:r>
        <w:rPr>
          <w:rFonts w:eastAsia="Cambria"/>
          <w:szCs w:val="24"/>
        </w:rPr>
        <w:t xml:space="preserve"> </w:t>
      </w:r>
      <w:r w:rsidRPr="00187FD3">
        <w:rPr>
          <w:rFonts w:eastAsia="Cambria"/>
          <w:szCs w:val="24"/>
        </w:rPr>
        <w:t xml:space="preserve">1*10^6 </w:t>
      </w:r>
      <w:r>
        <w:rPr>
          <w:rFonts w:eastAsia="Cambria"/>
          <w:szCs w:val="24"/>
        </w:rPr>
        <w:t xml:space="preserve">of </w:t>
      </w:r>
      <w:r w:rsidRPr="00187FD3">
        <w:rPr>
          <w:rFonts w:eastAsia="Cambria"/>
          <w:szCs w:val="24"/>
        </w:rPr>
        <w:t xml:space="preserve">viable cells </w:t>
      </w:r>
      <w:r>
        <w:rPr>
          <w:rFonts w:eastAsia="Cambria"/>
          <w:szCs w:val="24"/>
        </w:rPr>
        <w:t xml:space="preserve">were centrifuged </w:t>
      </w:r>
      <w:r w:rsidRPr="00187FD3">
        <w:rPr>
          <w:rFonts w:eastAsia="Cambria"/>
          <w:szCs w:val="24"/>
        </w:rPr>
        <w:t>at 200 x g for 5 minutes</w:t>
      </w:r>
      <w:r>
        <w:rPr>
          <w:rFonts w:eastAsia="Cambria"/>
          <w:szCs w:val="24"/>
        </w:rPr>
        <w:t xml:space="preserve"> and supernatant d</w:t>
      </w:r>
      <w:r w:rsidRPr="00187FD3">
        <w:rPr>
          <w:rFonts w:eastAsia="Cambria"/>
          <w:szCs w:val="24"/>
        </w:rPr>
        <w:t>iscard</w:t>
      </w:r>
      <w:r>
        <w:rPr>
          <w:rFonts w:eastAsia="Cambria"/>
          <w:szCs w:val="24"/>
        </w:rPr>
        <w:t>ed</w:t>
      </w:r>
      <w:r w:rsidRPr="00187FD3">
        <w:rPr>
          <w:rFonts w:eastAsia="Cambria"/>
          <w:szCs w:val="24"/>
        </w:rPr>
        <w:t>.</w:t>
      </w:r>
      <w:r>
        <w:rPr>
          <w:rFonts w:eastAsia="Cambria"/>
          <w:szCs w:val="24"/>
        </w:rPr>
        <w:t xml:space="preserve"> C</w:t>
      </w:r>
      <w:r w:rsidRPr="00187FD3">
        <w:rPr>
          <w:rFonts w:eastAsia="Cambria"/>
          <w:szCs w:val="24"/>
        </w:rPr>
        <w:t xml:space="preserve">ells </w:t>
      </w:r>
      <w:r>
        <w:rPr>
          <w:rFonts w:eastAsia="Cambria"/>
          <w:szCs w:val="24"/>
        </w:rPr>
        <w:t xml:space="preserve">were washed </w:t>
      </w:r>
      <w:r w:rsidRPr="00187FD3">
        <w:rPr>
          <w:rFonts w:eastAsia="Cambria"/>
          <w:szCs w:val="24"/>
        </w:rPr>
        <w:t>in 1mL DPBS, centrifuge</w:t>
      </w:r>
      <w:r>
        <w:rPr>
          <w:rFonts w:eastAsia="Cambria"/>
          <w:szCs w:val="24"/>
        </w:rPr>
        <w:t>d</w:t>
      </w:r>
      <w:r w:rsidRPr="00187FD3">
        <w:rPr>
          <w:rFonts w:eastAsia="Cambria"/>
          <w:szCs w:val="24"/>
        </w:rPr>
        <w:t xml:space="preserve"> at 200 x g for 5 minutes and supernatant</w:t>
      </w:r>
      <w:r>
        <w:rPr>
          <w:rFonts w:eastAsia="Cambria"/>
          <w:szCs w:val="24"/>
        </w:rPr>
        <w:t xml:space="preserve"> discarded</w:t>
      </w:r>
      <w:r w:rsidRPr="00187FD3">
        <w:rPr>
          <w:rFonts w:eastAsia="Cambria"/>
          <w:szCs w:val="24"/>
        </w:rPr>
        <w:t>.</w:t>
      </w:r>
      <w:r>
        <w:rPr>
          <w:rFonts w:eastAsia="Cambria"/>
          <w:szCs w:val="24"/>
        </w:rPr>
        <w:t xml:space="preserve"> This was r</w:t>
      </w:r>
      <w:r w:rsidRPr="00187FD3">
        <w:rPr>
          <w:rFonts w:eastAsia="Cambria"/>
          <w:szCs w:val="24"/>
        </w:rPr>
        <w:t>epeat</w:t>
      </w:r>
      <w:r>
        <w:rPr>
          <w:rFonts w:eastAsia="Cambria"/>
          <w:szCs w:val="24"/>
        </w:rPr>
        <w:t>ed</w:t>
      </w:r>
      <w:r w:rsidRPr="00187FD3">
        <w:rPr>
          <w:rFonts w:eastAsia="Cambria"/>
          <w:szCs w:val="24"/>
        </w:rPr>
        <w:t xml:space="preserve"> for a total of 2 washes.</w:t>
      </w:r>
      <w:r>
        <w:rPr>
          <w:rFonts w:eastAsia="Cambria"/>
          <w:szCs w:val="24"/>
        </w:rPr>
        <w:t xml:space="preserve"> Cells were r</w:t>
      </w:r>
      <w:r w:rsidRPr="00187FD3">
        <w:rPr>
          <w:rFonts w:eastAsia="Cambria"/>
          <w:szCs w:val="24"/>
        </w:rPr>
        <w:t>esuspend</w:t>
      </w:r>
      <w:r>
        <w:rPr>
          <w:rFonts w:eastAsia="Cambria"/>
          <w:szCs w:val="24"/>
        </w:rPr>
        <w:t>ed</w:t>
      </w:r>
      <w:r w:rsidRPr="00187FD3">
        <w:rPr>
          <w:rFonts w:eastAsia="Cambria"/>
          <w:szCs w:val="24"/>
        </w:rPr>
        <w:t xml:space="preserve"> </w:t>
      </w:r>
      <w:r>
        <w:rPr>
          <w:rFonts w:eastAsia="Cambria"/>
          <w:szCs w:val="24"/>
        </w:rPr>
        <w:t xml:space="preserve">in 1mL of DPBS using </w:t>
      </w:r>
      <w:r w:rsidRPr="00187FD3">
        <w:rPr>
          <w:rFonts w:eastAsia="Cambria"/>
          <w:szCs w:val="24"/>
        </w:rPr>
        <w:t>2uL of anti-human IgG (</w:t>
      </w:r>
      <w:r w:rsidRPr="00187FD3">
        <w:t>Sigma Aldrich SAB3701254-2MG</w:t>
      </w:r>
      <w:r w:rsidRPr="00187FD3">
        <w:rPr>
          <w:rFonts w:eastAsia="Cambria"/>
          <w:szCs w:val="24"/>
        </w:rPr>
        <w:t xml:space="preserve">). </w:t>
      </w:r>
      <w:r>
        <w:rPr>
          <w:rFonts w:eastAsia="Cambria"/>
          <w:szCs w:val="24"/>
        </w:rPr>
        <w:t>Cells were i</w:t>
      </w:r>
      <w:r w:rsidRPr="00187FD3">
        <w:rPr>
          <w:rFonts w:eastAsia="Cambria"/>
          <w:szCs w:val="24"/>
        </w:rPr>
        <w:t>ncubate</w:t>
      </w:r>
      <w:r>
        <w:rPr>
          <w:rFonts w:eastAsia="Cambria"/>
          <w:szCs w:val="24"/>
        </w:rPr>
        <w:t>d</w:t>
      </w:r>
      <w:r w:rsidRPr="00187FD3">
        <w:rPr>
          <w:rFonts w:eastAsia="Cambria"/>
          <w:szCs w:val="24"/>
        </w:rPr>
        <w:t xml:space="preserve"> at </w:t>
      </w:r>
      <w:r>
        <w:rPr>
          <w:rFonts w:eastAsia="Cambria"/>
          <w:szCs w:val="24"/>
        </w:rPr>
        <w:t>4°C</w:t>
      </w:r>
      <w:r w:rsidRPr="00187FD3">
        <w:rPr>
          <w:rFonts w:eastAsia="Cambria"/>
          <w:szCs w:val="24"/>
        </w:rPr>
        <w:t xml:space="preserve"> for 30 mins at 1000rpm, protected from light.</w:t>
      </w:r>
      <w:r>
        <w:rPr>
          <w:rFonts w:eastAsia="Cambria"/>
          <w:szCs w:val="24"/>
        </w:rPr>
        <w:t xml:space="preserve"> C</w:t>
      </w:r>
      <w:r w:rsidRPr="00187FD3">
        <w:rPr>
          <w:rFonts w:eastAsia="Cambria"/>
          <w:szCs w:val="24"/>
        </w:rPr>
        <w:t xml:space="preserve">ells </w:t>
      </w:r>
      <w:r>
        <w:rPr>
          <w:rFonts w:eastAsia="Cambria"/>
          <w:szCs w:val="24"/>
        </w:rPr>
        <w:t xml:space="preserve">were washed </w:t>
      </w:r>
      <w:r w:rsidRPr="00187FD3">
        <w:rPr>
          <w:rFonts w:eastAsia="Cambria"/>
          <w:szCs w:val="24"/>
        </w:rPr>
        <w:t>twice with DPBS as per steps 6 &amp; 7 for a total of 2 washes.</w:t>
      </w:r>
      <w:r>
        <w:rPr>
          <w:rFonts w:eastAsia="Cambria"/>
          <w:szCs w:val="24"/>
        </w:rPr>
        <w:t xml:space="preserve"> Cells were r</w:t>
      </w:r>
      <w:r w:rsidRPr="00187FD3">
        <w:rPr>
          <w:rFonts w:eastAsia="Cambria"/>
          <w:szCs w:val="24"/>
        </w:rPr>
        <w:t>esuspend</w:t>
      </w:r>
      <w:r>
        <w:rPr>
          <w:rFonts w:eastAsia="Cambria"/>
          <w:szCs w:val="24"/>
        </w:rPr>
        <w:t>ed</w:t>
      </w:r>
      <w:r w:rsidRPr="00187FD3">
        <w:rPr>
          <w:rFonts w:eastAsia="Cambria"/>
          <w:szCs w:val="24"/>
        </w:rPr>
        <w:t xml:space="preserve"> in 1mL of cold DPB</w:t>
      </w:r>
      <w:r>
        <w:rPr>
          <w:rFonts w:eastAsia="Cambria"/>
          <w:szCs w:val="24"/>
        </w:rPr>
        <w:t xml:space="preserve">S or cold DAPI working solution, incubated on ice for 5 mins and </w:t>
      </w:r>
      <w:r w:rsidR="00E56A04">
        <w:rPr>
          <w:rFonts w:eastAsia="Cambria"/>
          <w:szCs w:val="24"/>
        </w:rPr>
        <w:t xml:space="preserve">immediately </w:t>
      </w:r>
      <w:r>
        <w:rPr>
          <w:rFonts w:eastAsia="Cambria"/>
          <w:szCs w:val="24"/>
        </w:rPr>
        <w:t>t</w:t>
      </w:r>
      <w:r w:rsidRPr="00187FD3">
        <w:rPr>
          <w:rFonts w:eastAsia="Cambria"/>
          <w:szCs w:val="24"/>
        </w:rPr>
        <w:t>ransfer</w:t>
      </w:r>
      <w:r>
        <w:rPr>
          <w:rFonts w:eastAsia="Cambria"/>
          <w:szCs w:val="24"/>
        </w:rPr>
        <w:t>red</w:t>
      </w:r>
      <w:r w:rsidRPr="00187FD3">
        <w:rPr>
          <w:rFonts w:eastAsia="Cambria"/>
          <w:szCs w:val="24"/>
        </w:rPr>
        <w:t xml:space="preserve"> on ice to </w:t>
      </w:r>
      <w:r>
        <w:rPr>
          <w:rFonts w:eastAsia="Cambria"/>
          <w:szCs w:val="24"/>
        </w:rPr>
        <w:t xml:space="preserve">the </w:t>
      </w:r>
      <w:proofErr w:type="spellStart"/>
      <w:r w:rsidR="00E56A04">
        <w:rPr>
          <w:rFonts w:eastAsia="Cambria"/>
          <w:szCs w:val="24"/>
        </w:rPr>
        <w:t>Fluoresence</w:t>
      </w:r>
      <w:proofErr w:type="spellEnd"/>
      <w:r w:rsidR="00E56A04">
        <w:rPr>
          <w:rFonts w:eastAsia="Cambria"/>
          <w:szCs w:val="24"/>
        </w:rPr>
        <w:t>-activated cell sorting (</w:t>
      </w:r>
      <w:r w:rsidRPr="00187FD3">
        <w:rPr>
          <w:rFonts w:eastAsia="Cambria"/>
          <w:szCs w:val="24"/>
        </w:rPr>
        <w:t>FACS</w:t>
      </w:r>
      <w:r w:rsidR="00E56A04">
        <w:rPr>
          <w:rFonts w:eastAsia="Cambria"/>
          <w:szCs w:val="24"/>
        </w:rPr>
        <w:t>)</w:t>
      </w:r>
      <w:r w:rsidRPr="00187FD3">
        <w:rPr>
          <w:rFonts w:eastAsia="Cambria"/>
          <w:szCs w:val="24"/>
        </w:rPr>
        <w:t xml:space="preserve"> lab for immediate analysis.</w:t>
      </w:r>
    </w:p>
    <w:p w14:paraId="558580E8" w14:textId="05456D85" w:rsidR="001270C0" w:rsidRPr="00187FD3" w:rsidRDefault="001270C0" w:rsidP="001270C0">
      <w:pPr>
        <w:pStyle w:val="Heading2"/>
      </w:pPr>
      <w:bookmarkStart w:id="5" w:name="_Toc143796653"/>
      <w:r w:rsidRPr="00187FD3">
        <w:t xml:space="preserve">Setting </w:t>
      </w:r>
      <w:r w:rsidR="00DB01C0">
        <w:t>Single cell</w:t>
      </w:r>
      <w:r w:rsidRPr="00187FD3">
        <w:t xml:space="preserve"> Gating</w:t>
      </w:r>
      <w:bookmarkEnd w:id="5"/>
    </w:p>
    <w:p w14:paraId="7DAF3A71" w14:textId="2E622E72" w:rsidR="001270C0" w:rsidRDefault="001270C0" w:rsidP="001270C0">
      <w:r w:rsidRPr="00461376">
        <w:t>The FACS Melody was setup as per manufacturer’s instructions.</w:t>
      </w:r>
      <w:r>
        <w:t xml:space="preserve"> A </w:t>
      </w:r>
      <w:r w:rsidRPr="00461376">
        <w:t xml:space="preserve">U-bottom 96-well plate </w:t>
      </w:r>
      <w:r>
        <w:t xml:space="preserve">was prepared </w:t>
      </w:r>
      <w:r w:rsidRPr="00461376">
        <w:t>(Corning 3799)</w:t>
      </w:r>
      <w:r>
        <w:t xml:space="preserve"> with 5</w:t>
      </w:r>
      <w:r w:rsidRPr="00461376">
        <w:t xml:space="preserve">uL of 1x TCL buffer (QIAGEN 1070498) </w:t>
      </w:r>
      <w:r>
        <w:t xml:space="preserve">in </w:t>
      </w:r>
      <w:r w:rsidRPr="00461376">
        <w:t xml:space="preserve">the centre of each functional well using a multichannel pipette. </w:t>
      </w:r>
      <w:r>
        <w:t xml:space="preserve">The </w:t>
      </w:r>
      <w:r w:rsidRPr="00461376">
        <w:t xml:space="preserve">plate </w:t>
      </w:r>
      <w:r>
        <w:t xml:space="preserve">was tapped </w:t>
      </w:r>
      <w:r w:rsidRPr="00461376">
        <w:t>firmly on a flat surface to encourage the central location of the TCL buffer.</w:t>
      </w:r>
      <w:r>
        <w:t xml:space="preserve"> The</w:t>
      </w:r>
      <w:r w:rsidRPr="00187FD3">
        <w:t xml:space="preserve"> size threshold </w:t>
      </w:r>
      <w:r>
        <w:t xml:space="preserve">was set </w:t>
      </w:r>
      <w:r w:rsidRPr="00187FD3">
        <w:t>to &gt;12um.</w:t>
      </w:r>
      <w:r>
        <w:t xml:space="preserve"> </w:t>
      </w:r>
      <w:r w:rsidRPr="00187FD3">
        <w:t>Using Sample 4 (</w:t>
      </w:r>
      <w:r>
        <w:rPr>
          <w:b/>
        </w:rPr>
        <w:t xml:space="preserve">Table </w:t>
      </w:r>
      <w:r w:rsidRPr="00187FD3">
        <w:rPr>
          <w:b/>
        </w:rPr>
        <w:t>1</w:t>
      </w:r>
      <w:r w:rsidRPr="00187FD3">
        <w:t xml:space="preserve">), voltages </w:t>
      </w:r>
      <w:r>
        <w:t xml:space="preserve">were set </w:t>
      </w:r>
      <w:r w:rsidRPr="00187FD3">
        <w:t xml:space="preserve">to allow </w:t>
      </w:r>
      <w:r>
        <w:t xml:space="preserve">the </w:t>
      </w:r>
      <w:r w:rsidRPr="00187FD3">
        <w:t xml:space="preserve">representation of cells in a SSC-A against FSC-A logarithmic scale graph. </w:t>
      </w:r>
      <w:r>
        <w:t>Gate 1</w:t>
      </w:r>
      <w:r w:rsidRPr="00187FD3">
        <w:t xml:space="preserve"> (G1) </w:t>
      </w:r>
      <w:r>
        <w:t>excluded</w:t>
      </w:r>
      <w:r w:rsidRPr="00187FD3">
        <w:t xml:space="preserve"> instrument noise and cell debris as per </w:t>
      </w:r>
      <w:r w:rsidRPr="00187FD3">
        <w:rPr>
          <w:b/>
          <w:bCs/>
        </w:rPr>
        <w:t>Fig. 2A</w:t>
      </w:r>
      <w:r w:rsidRPr="00187FD3">
        <w:t xml:space="preserve">. Using Sample 4, </w:t>
      </w:r>
      <w:r>
        <w:t xml:space="preserve">data was brought forward and </w:t>
      </w:r>
      <w:r w:rsidRPr="00187FD3">
        <w:t xml:space="preserve">gate </w:t>
      </w:r>
      <w:r>
        <w:t xml:space="preserve">2 </w:t>
      </w:r>
      <w:r w:rsidRPr="00187FD3">
        <w:t xml:space="preserve">(G2) </w:t>
      </w:r>
      <w:r>
        <w:t xml:space="preserve">set </w:t>
      </w:r>
      <w:r w:rsidRPr="00187FD3">
        <w:t xml:space="preserve">using FSC-H against FSC-A as per </w:t>
      </w:r>
      <w:r w:rsidRPr="00187FD3">
        <w:rPr>
          <w:b/>
          <w:bCs/>
        </w:rPr>
        <w:t>Fig. 2B</w:t>
      </w:r>
      <w:r w:rsidRPr="00187FD3">
        <w:t xml:space="preserve"> to exclude doublets.</w:t>
      </w:r>
      <w:r>
        <w:t xml:space="preserve"> </w:t>
      </w:r>
      <w:r w:rsidRPr="00187FD3">
        <w:t xml:space="preserve">Using Samples 1 and 2, </w:t>
      </w:r>
      <w:r>
        <w:t xml:space="preserve">the </w:t>
      </w:r>
      <w:r w:rsidRPr="00187FD3">
        <w:t xml:space="preserve">G2 gate </w:t>
      </w:r>
      <w:r>
        <w:t xml:space="preserve">was brought forward </w:t>
      </w:r>
      <w:r w:rsidRPr="00187FD3">
        <w:t xml:space="preserve">and a range gate (G3) </w:t>
      </w:r>
      <w:r>
        <w:t xml:space="preserve">was set </w:t>
      </w:r>
      <w:r w:rsidRPr="00187FD3">
        <w:t xml:space="preserve">to only include live cells as per </w:t>
      </w:r>
      <w:r w:rsidRPr="00187FD3">
        <w:rPr>
          <w:b/>
          <w:bCs/>
        </w:rPr>
        <w:t xml:space="preserve">Fig. 2C </w:t>
      </w:r>
      <w:r w:rsidRPr="00187FD3">
        <w:t xml:space="preserve">and </w:t>
      </w:r>
      <w:r w:rsidRPr="00187FD3">
        <w:rPr>
          <w:b/>
          <w:bCs/>
        </w:rPr>
        <w:t>2</w:t>
      </w:r>
      <w:r>
        <w:rPr>
          <w:b/>
          <w:bCs/>
        </w:rPr>
        <w:t>.4</w:t>
      </w:r>
      <w:r w:rsidRPr="00187FD3">
        <w:rPr>
          <w:b/>
          <w:bCs/>
        </w:rPr>
        <w:t>D</w:t>
      </w:r>
      <w:r w:rsidRPr="00187FD3">
        <w:t xml:space="preserve">. DAPI positive </w:t>
      </w:r>
      <w:r>
        <w:t xml:space="preserve">was considered </w:t>
      </w:r>
      <w:r w:rsidRPr="00187FD3">
        <w:t>dead cells.</w:t>
      </w:r>
      <w:r>
        <w:t xml:space="preserve"> </w:t>
      </w:r>
      <w:r w:rsidRPr="00187FD3">
        <w:t xml:space="preserve">Using Samples 1 and 3, </w:t>
      </w:r>
      <w:r>
        <w:t xml:space="preserve">the </w:t>
      </w:r>
      <w:r w:rsidRPr="00187FD3">
        <w:t xml:space="preserve">G3 gate </w:t>
      </w:r>
      <w:r>
        <w:t xml:space="preserve">was brought forward </w:t>
      </w:r>
      <w:r w:rsidRPr="00187FD3">
        <w:t xml:space="preserve">and a gate (G4) </w:t>
      </w:r>
      <w:r>
        <w:t xml:space="preserve">set </w:t>
      </w:r>
      <w:r w:rsidRPr="00187FD3">
        <w:t>for FITC</w:t>
      </w:r>
      <w:r>
        <w:t>-</w:t>
      </w:r>
      <w:r w:rsidRPr="00187FD3">
        <w:t xml:space="preserve">positive cells as per </w:t>
      </w:r>
      <w:r w:rsidRPr="00187FD3">
        <w:rPr>
          <w:b/>
          <w:bCs/>
        </w:rPr>
        <w:t xml:space="preserve">Fig. 2E </w:t>
      </w:r>
      <w:r w:rsidRPr="00187FD3">
        <w:t xml:space="preserve">and </w:t>
      </w:r>
      <w:r w:rsidRPr="00187FD3">
        <w:rPr>
          <w:b/>
          <w:bCs/>
        </w:rPr>
        <w:t>2F</w:t>
      </w:r>
      <w:r w:rsidRPr="00187FD3">
        <w:t xml:space="preserve">. G4 </w:t>
      </w:r>
      <w:r>
        <w:t>wa</w:t>
      </w:r>
      <w:r w:rsidRPr="00187FD3">
        <w:t xml:space="preserve">s the sorting gate for live, singlet cells. After gates </w:t>
      </w:r>
      <w:r>
        <w:t xml:space="preserve">had </w:t>
      </w:r>
      <w:r w:rsidRPr="00187FD3">
        <w:t xml:space="preserve">been set, it </w:t>
      </w:r>
      <w:r>
        <w:t xml:space="preserve">was </w:t>
      </w:r>
      <w:r w:rsidRPr="00187FD3">
        <w:t>important to record data for a large number of events (e.g</w:t>
      </w:r>
      <w:r>
        <w:t>.</w:t>
      </w:r>
      <w:r w:rsidRPr="00187FD3">
        <w:t xml:space="preserve"> 10,000 cells) and </w:t>
      </w:r>
      <w:r>
        <w:t xml:space="preserve">to </w:t>
      </w:r>
      <w:r w:rsidRPr="00187FD3">
        <w:t>save FCS files.</w:t>
      </w:r>
    </w:p>
    <w:p w14:paraId="35A970E3" w14:textId="1089AE94" w:rsidR="001270C0" w:rsidRPr="00187FD3" w:rsidRDefault="00DB01C0" w:rsidP="001270C0">
      <w:pPr>
        <w:pStyle w:val="Heading2"/>
      </w:pPr>
      <w:bookmarkStart w:id="6" w:name="_Toc143796654"/>
      <w:r>
        <w:t>Single Cell</w:t>
      </w:r>
      <w:r w:rsidR="001270C0" w:rsidRPr="00187FD3">
        <w:t xml:space="preserve"> Sort</w:t>
      </w:r>
      <w:bookmarkEnd w:id="6"/>
    </w:p>
    <w:p w14:paraId="405C76DA" w14:textId="55964293" w:rsidR="001270C0" w:rsidRPr="00187FD3" w:rsidRDefault="001270C0" w:rsidP="001270C0">
      <w:r>
        <w:t xml:space="preserve">The </w:t>
      </w:r>
      <w:r w:rsidRPr="00187FD3">
        <w:t xml:space="preserve">flow rate </w:t>
      </w:r>
      <w:r>
        <w:t xml:space="preserve">was kept </w:t>
      </w:r>
      <w:r w:rsidRPr="00187FD3">
        <w:t xml:space="preserve">at a minimum to reduce </w:t>
      </w:r>
      <w:r>
        <w:t xml:space="preserve">the </w:t>
      </w:r>
      <w:r w:rsidRPr="00187FD3">
        <w:t xml:space="preserve">chance of doublets. Sample 1 </w:t>
      </w:r>
      <w:r>
        <w:t xml:space="preserve">was loaded </w:t>
      </w:r>
      <w:r w:rsidRPr="00187FD3">
        <w:t xml:space="preserve">FACS </w:t>
      </w:r>
      <w:r>
        <w:t xml:space="preserve">set </w:t>
      </w:r>
      <w:r w:rsidRPr="00187FD3">
        <w:t>to “</w:t>
      </w:r>
      <w:r w:rsidR="00DB01C0">
        <w:t>single cell</w:t>
      </w:r>
      <w:r w:rsidRPr="00187FD3">
        <w:t>” and “96-well plate” mode</w:t>
      </w:r>
      <w:r>
        <w:t>s</w:t>
      </w:r>
      <w:r w:rsidRPr="00187FD3">
        <w:t xml:space="preserve">. </w:t>
      </w:r>
      <w:r>
        <w:t>D</w:t>
      </w:r>
      <w:r w:rsidRPr="00187FD3">
        <w:t xml:space="preserve">esired wells </w:t>
      </w:r>
      <w:r>
        <w:t xml:space="preserve">were selected </w:t>
      </w:r>
      <w:r w:rsidRPr="00187FD3">
        <w:t>for sorting</w:t>
      </w:r>
      <w:r>
        <w:t xml:space="preserve"> with a </w:t>
      </w:r>
      <w:r w:rsidRPr="00187FD3">
        <w:t>splash shield present.</w:t>
      </w:r>
      <w:r>
        <w:t xml:space="preserve"> The </w:t>
      </w:r>
      <w:r w:rsidRPr="00187FD3">
        <w:t xml:space="preserve">lid </w:t>
      </w:r>
      <w:r>
        <w:t xml:space="preserve">was removed </w:t>
      </w:r>
      <w:r w:rsidRPr="00187FD3">
        <w:t>and immediately insert</w:t>
      </w:r>
      <w:r>
        <w:t>ed</w:t>
      </w:r>
      <w:r w:rsidRPr="00187FD3">
        <w:t xml:space="preserve"> into the FACS</w:t>
      </w:r>
      <w:r>
        <w:t xml:space="preserve"> to proceed</w:t>
      </w:r>
      <w:r w:rsidRPr="00187FD3">
        <w:t xml:space="preserve"> with sort</w:t>
      </w:r>
      <w:r>
        <w:t>ing</w:t>
      </w:r>
      <w:r w:rsidRPr="00187FD3">
        <w:t xml:space="preserve">. </w:t>
      </w:r>
      <w:r>
        <w:t>For the positive control,</w:t>
      </w:r>
      <w:r w:rsidR="00DB01C0">
        <w:t xml:space="preserve"> </w:t>
      </w:r>
      <w:r w:rsidRPr="00187FD3">
        <w:t xml:space="preserve">sort mode </w:t>
      </w:r>
      <w:r>
        <w:t xml:space="preserve">was changed </w:t>
      </w:r>
      <w:r w:rsidRPr="00187FD3">
        <w:t>to “purity”</w:t>
      </w:r>
      <w:r>
        <w:t xml:space="preserve">. </w:t>
      </w:r>
      <w:r w:rsidRPr="00187FD3">
        <w:t xml:space="preserve">After </w:t>
      </w:r>
      <w:r>
        <w:t xml:space="preserve">the </w:t>
      </w:r>
      <w:r w:rsidRPr="00187FD3">
        <w:t xml:space="preserve">sort </w:t>
      </w:r>
      <w:r>
        <w:t xml:space="preserve">was </w:t>
      </w:r>
      <w:r w:rsidRPr="00187FD3">
        <w:t xml:space="preserve">complete, </w:t>
      </w:r>
      <w:r>
        <w:t xml:space="preserve">the </w:t>
      </w:r>
      <w:r w:rsidRPr="00187FD3">
        <w:t xml:space="preserve">well plate </w:t>
      </w:r>
      <w:r>
        <w:t xml:space="preserve">was removed </w:t>
      </w:r>
      <w:r w:rsidRPr="00187FD3">
        <w:t>and immediately cove</w:t>
      </w:r>
      <w:r>
        <w:t xml:space="preserve">red </w:t>
      </w:r>
      <w:r w:rsidRPr="00187FD3">
        <w:t xml:space="preserve">with the lid. </w:t>
      </w:r>
      <w:r>
        <w:t>A</w:t>
      </w:r>
      <w:r w:rsidRPr="00187FD3">
        <w:t xml:space="preserve">n airtight seal </w:t>
      </w:r>
      <w:r>
        <w:t>was created a</w:t>
      </w:r>
      <w:r w:rsidRPr="00187FD3">
        <w:t>round the edges with parafilm</w:t>
      </w:r>
      <w:r>
        <w:t xml:space="preserve"> and the plate i</w:t>
      </w:r>
      <w:r w:rsidRPr="00187FD3">
        <w:t>mmediately place</w:t>
      </w:r>
      <w:r>
        <w:t>d</w:t>
      </w:r>
      <w:r w:rsidRPr="00187FD3">
        <w:t xml:space="preserve"> in </w:t>
      </w:r>
      <w:r>
        <w:t xml:space="preserve">a </w:t>
      </w:r>
      <w:r w:rsidRPr="00187FD3">
        <w:t>-</w:t>
      </w:r>
      <w:r>
        <w:t>80°C</w:t>
      </w:r>
      <w:r w:rsidRPr="00187FD3">
        <w:t xml:space="preserve"> freezer.</w:t>
      </w:r>
      <w:r>
        <w:t xml:space="preserve"> </w:t>
      </w:r>
      <w:r w:rsidRPr="00187FD3">
        <w:t xml:space="preserve">FCS files </w:t>
      </w:r>
      <w:r>
        <w:t xml:space="preserve">were saved </w:t>
      </w:r>
      <w:r w:rsidRPr="00187FD3">
        <w:t>for all samples.</w:t>
      </w:r>
    </w:p>
    <w:p w14:paraId="3648607D" w14:textId="3E5D525B" w:rsidR="001270C0" w:rsidRDefault="001270C0" w:rsidP="001270C0">
      <w:r w:rsidRPr="00187FD3">
        <w:t xml:space="preserve">STOPPING POINT: Samples </w:t>
      </w:r>
      <w:r>
        <w:t xml:space="preserve">can </w:t>
      </w:r>
      <w:r w:rsidRPr="00187FD3">
        <w:t>be stored for up to 6 months at -</w:t>
      </w:r>
      <w:r>
        <w:t>80°C</w:t>
      </w:r>
      <w:r w:rsidRPr="00187FD3">
        <w:t>.</w:t>
      </w:r>
    </w:p>
    <w:p w14:paraId="11AA6657" w14:textId="77777777" w:rsidR="001270C0" w:rsidRPr="00187FD3" w:rsidRDefault="001270C0" w:rsidP="001270C0">
      <w:pPr>
        <w:pStyle w:val="Heading2"/>
      </w:pPr>
      <w:bookmarkStart w:id="7" w:name="_Toc143796655"/>
      <w:proofErr w:type="spellStart"/>
      <w:r w:rsidRPr="00187FD3">
        <w:t>AMPure</w:t>
      </w:r>
      <w:proofErr w:type="spellEnd"/>
      <w:r w:rsidRPr="00187FD3">
        <w:t xml:space="preserve"> purification</w:t>
      </w:r>
      <w:bookmarkEnd w:id="7"/>
    </w:p>
    <w:p w14:paraId="0F3E8BE3" w14:textId="03AA4CE4" w:rsidR="001270C0" w:rsidRPr="00DB01C0" w:rsidRDefault="001270C0" w:rsidP="001270C0">
      <w:pPr>
        <w:rPr>
          <w:rFonts w:eastAsia="Cambria"/>
          <w:szCs w:val="24"/>
        </w:rPr>
      </w:pPr>
      <w:proofErr w:type="spellStart"/>
      <w:r w:rsidRPr="00187FD3">
        <w:t>AMPure</w:t>
      </w:r>
      <w:proofErr w:type="spellEnd"/>
      <w:r w:rsidRPr="00187FD3">
        <w:t xml:space="preserve"> beads (10136224) benefit from scalable purification – adapting to </w:t>
      </w:r>
      <w:r w:rsidR="00DB01C0">
        <w:t>single cell</w:t>
      </w:r>
      <w:r w:rsidRPr="00187FD3">
        <w:t xml:space="preserve"> samples, volumes can simply be reduced.</w:t>
      </w:r>
      <w:r>
        <w:t xml:space="preserve"> </w:t>
      </w:r>
      <w:r w:rsidRPr="00187FD3">
        <w:t>Sequences of mtDNA sometimes migrate and integrate in</w:t>
      </w:r>
      <w:r>
        <w:t>to</w:t>
      </w:r>
      <w:r w:rsidRPr="00187FD3">
        <w:t xml:space="preserve"> the nuclear genome – known as </w:t>
      </w:r>
      <w:proofErr w:type="gramStart"/>
      <w:r w:rsidR="00E56A04">
        <w:t>Nuclear</w:t>
      </w:r>
      <w:proofErr w:type="gramEnd"/>
      <w:r w:rsidR="00E56A04">
        <w:t xml:space="preserve"> mitochondrial sequences (</w:t>
      </w:r>
      <w:proofErr w:type="spellStart"/>
      <w:r w:rsidRPr="00187FD3">
        <w:t>Numts</w:t>
      </w:r>
      <w:proofErr w:type="spellEnd"/>
      <w:r w:rsidR="00E56A04">
        <w:t>)</w:t>
      </w:r>
      <w:r w:rsidRPr="00187FD3">
        <w:t>. In a previous bulk analysis of mtDNA, the miniprep step purified the plasmid-like mtDNA from contaminating linear nuclear DNA</w:t>
      </w:r>
      <w:r>
        <w:t xml:space="preserve"> (Kelly et al., 2017)</w:t>
      </w:r>
      <w:r w:rsidRPr="00187FD3">
        <w:t xml:space="preserve">. Here, </w:t>
      </w:r>
      <w:proofErr w:type="spellStart"/>
      <w:r w:rsidRPr="00187FD3">
        <w:t>AMPure</w:t>
      </w:r>
      <w:proofErr w:type="spellEnd"/>
      <w:r w:rsidRPr="00187FD3">
        <w:t xml:space="preserve"> purification </w:t>
      </w:r>
      <w:r>
        <w:t>was</w:t>
      </w:r>
      <w:r w:rsidRPr="00187FD3">
        <w:t xml:space="preserve"> used, leaving both mtDNA and </w:t>
      </w:r>
      <w:proofErr w:type="spellStart"/>
      <w:r w:rsidRPr="00187FD3">
        <w:t>nDNA</w:t>
      </w:r>
      <w:proofErr w:type="spellEnd"/>
      <w:r w:rsidRPr="00187FD3">
        <w:t xml:space="preserve"> in the sample. Blast searching primer sequences against the CHO cell line reference genome (</w:t>
      </w:r>
      <w:proofErr w:type="spellStart"/>
      <w:r w:rsidRPr="00187FD3">
        <w:t>taxid</w:t>
      </w:r>
      <w:proofErr w:type="spellEnd"/>
      <w:r w:rsidRPr="00187FD3">
        <w:t>: 10029) and gel purifying 8.5kb bands provide</w:t>
      </w:r>
      <w:r>
        <w:t>d</w:t>
      </w:r>
      <w:r w:rsidRPr="00187FD3">
        <w:t xml:space="preserve"> </w:t>
      </w:r>
      <w:r>
        <w:t>additional</w:t>
      </w:r>
      <w:r w:rsidRPr="00187FD3">
        <w:t xml:space="preserve"> protection against </w:t>
      </w:r>
      <w:proofErr w:type="spellStart"/>
      <w:r w:rsidRPr="00187FD3">
        <w:t>Numts</w:t>
      </w:r>
      <w:proofErr w:type="spellEnd"/>
      <w:r w:rsidRPr="00187FD3">
        <w:t>.</w:t>
      </w:r>
      <w:r>
        <w:t xml:space="preserve"> A</w:t>
      </w:r>
      <w:r w:rsidRPr="00187FD3">
        <w:rPr>
          <w:rFonts w:eastAsia="Cambria"/>
          <w:szCs w:val="24"/>
        </w:rPr>
        <w:t xml:space="preserve">ll steps </w:t>
      </w:r>
      <w:r>
        <w:rPr>
          <w:rFonts w:eastAsia="Cambria"/>
          <w:szCs w:val="24"/>
        </w:rPr>
        <w:t xml:space="preserve">were </w:t>
      </w:r>
      <w:r>
        <w:rPr>
          <w:rFonts w:eastAsia="Cambria"/>
          <w:szCs w:val="24"/>
        </w:rPr>
        <w:lastRenderedPageBreak/>
        <w:t xml:space="preserve">performed </w:t>
      </w:r>
      <w:r w:rsidRPr="00187FD3">
        <w:rPr>
          <w:rFonts w:eastAsia="Cambria"/>
          <w:szCs w:val="24"/>
        </w:rPr>
        <w:t>in a BSC. The subsequent LRPCR is extremely sensitive and c</w:t>
      </w:r>
      <w:r>
        <w:rPr>
          <w:rFonts w:eastAsia="Cambria"/>
          <w:szCs w:val="24"/>
        </w:rPr>
        <w:t>ould</w:t>
      </w:r>
      <w:r w:rsidRPr="00187FD3">
        <w:rPr>
          <w:rFonts w:eastAsia="Cambria"/>
          <w:szCs w:val="24"/>
        </w:rPr>
        <w:t xml:space="preserve"> potentiall</w:t>
      </w:r>
      <w:r>
        <w:rPr>
          <w:rFonts w:eastAsia="Cambria"/>
          <w:szCs w:val="24"/>
        </w:rPr>
        <w:t>y amplify small contaminations. T</w:t>
      </w:r>
      <w:r w:rsidRPr="00187FD3">
        <w:rPr>
          <w:rFonts w:eastAsia="Cambria"/>
          <w:szCs w:val="24"/>
        </w:rPr>
        <w:t xml:space="preserve">he 96-well plate </w:t>
      </w:r>
      <w:r>
        <w:rPr>
          <w:rFonts w:eastAsia="Cambria"/>
          <w:szCs w:val="24"/>
        </w:rPr>
        <w:t xml:space="preserve">was thawed </w:t>
      </w:r>
      <w:r w:rsidRPr="00187FD3">
        <w:rPr>
          <w:rFonts w:eastAsia="Cambria"/>
          <w:szCs w:val="24"/>
        </w:rPr>
        <w:t xml:space="preserve">at room temperature. Multiple samples </w:t>
      </w:r>
      <w:r>
        <w:rPr>
          <w:rFonts w:eastAsia="Cambria"/>
          <w:szCs w:val="24"/>
        </w:rPr>
        <w:t>were</w:t>
      </w:r>
      <w:r w:rsidRPr="00187FD3">
        <w:rPr>
          <w:rFonts w:eastAsia="Cambria"/>
          <w:szCs w:val="24"/>
        </w:rPr>
        <w:t xml:space="preserve"> taken through </w:t>
      </w:r>
      <w:proofErr w:type="spellStart"/>
      <w:r w:rsidRPr="00187FD3">
        <w:rPr>
          <w:rFonts w:eastAsia="Cambria"/>
          <w:szCs w:val="24"/>
        </w:rPr>
        <w:t>AMPure</w:t>
      </w:r>
      <w:proofErr w:type="spellEnd"/>
      <w:r w:rsidRPr="00187FD3">
        <w:rPr>
          <w:rFonts w:eastAsia="Cambria"/>
          <w:szCs w:val="24"/>
        </w:rPr>
        <w:t xml:space="preserve"> purification in batches (to a maximum of 12 samples). </w:t>
      </w:r>
      <w:r>
        <w:rPr>
          <w:rFonts w:eastAsia="Cambria"/>
          <w:szCs w:val="24"/>
        </w:rPr>
        <w:t xml:space="preserve">The </w:t>
      </w:r>
      <w:r w:rsidRPr="00187FD3">
        <w:rPr>
          <w:rFonts w:eastAsia="Cambria"/>
          <w:szCs w:val="24"/>
        </w:rPr>
        <w:t xml:space="preserve">5uL lysed sample </w:t>
      </w:r>
      <w:r>
        <w:rPr>
          <w:rFonts w:eastAsia="Cambria"/>
          <w:szCs w:val="24"/>
        </w:rPr>
        <w:t xml:space="preserve">was transferred to </w:t>
      </w:r>
      <w:r w:rsidRPr="00187FD3">
        <w:rPr>
          <w:rFonts w:eastAsia="Cambria"/>
          <w:szCs w:val="24"/>
        </w:rPr>
        <w:t>a labelled micro-centrifuge tube.</w:t>
      </w:r>
      <w:r>
        <w:rPr>
          <w:rFonts w:eastAsia="Cambria"/>
          <w:szCs w:val="24"/>
        </w:rPr>
        <w:t xml:space="preserve"> </w:t>
      </w:r>
      <w:proofErr w:type="spellStart"/>
      <w:r w:rsidRPr="00187FD3">
        <w:rPr>
          <w:rFonts w:eastAsia="Cambria"/>
          <w:szCs w:val="24"/>
        </w:rPr>
        <w:t>AMPure</w:t>
      </w:r>
      <w:proofErr w:type="spellEnd"/>
      <w:r w:rsidRPr="00187FD3">
        <w:rPr>
          <w:rFonts w:eastAsia="Cambria"/>
          <w:szCs w:val="24"/>
        </w:rPr>
        <w:t xml:space="preserve"> beads </w:t>
      </w:r>
      <w:r>
        <w:rPr>
          <w:rFonts w:eastAsia="Cambria"/>
          <w:szCs w:val="24"/>
        </w:rPr>
        <w:t xml:space="preserve">were resuspended </w:t>
      </w:r>
      <w:r w:rsidRPr="00187FD3">
        <w:rPr>
          <w:rFonts w:eastAsia="Cambria"/>
          <w:szCs w:val="24"/>
        </w:rPr>
        <w:t xml:space="preserve">by </w:t>
      </w:r>
      <w:proofErr w:type="spellStart"/>
      <w:r w:rsidRPr="00187FD3">
        <w:rPr>
          <w:rFonts w:eastAsia="Cambria"/>
          <w:szCs w:val="24"/>
        </w:rPr>
        <w:t>vortexing</w:t>
      </w:r>
      <w:proofErr w:type="spellEnd"/>
      <w:r w:rsidRPr="00187FD3">
        <w:rPr>
          <w:rFonts w:eastAsia="Cambria"/>
          <w:szCs w:val="24"/>
        </w:rPr>
        <w:t xml:space="preserve"> the bottle for 1 min. 9uL of </w:t>
      </w:r>
      <w:proofErr w:type="spellStart"/>
      <w:r w:rsidRPr="00187FD3">
        <w:rPr>
          <w:rFonts w:eastAsia="Cambria"/>
          <w:szCs w:val="24"/>
        </w:rPr>
        <w:t>AMPure</w:t>
      </w:r>
      <w:proofErr w:type="spellEnd"/>
      <w:r w:rsidRPr="00187FD3">
        <w:rPr>
          <w:rFonts w:eastAsia="Cambria"/>
          <w:szCs w:val="24"/>
        </w:rPr>
        <w:t xml:space="preserve"> beads </w:t>
      </w:r>
      <w:r>
        <w:rPr>
          <w:rFonts w:eastAsia="Cambria"/>
          <w:szCs w:val="24"/>
        </w:rPr>
        <w:t xml:space="preserve">were added </w:t>
      </w:r>
      <w:r w:rsidRPr="00187FD3">
        <w:rPr>
          <w:rFonts w:eastAsia="Cambria"/>
          <w:szCs w:val="24"/>
        </w:rPr>
        <w:t xml:space="preserve">per sample (if </w:t>
      </w:r>
      <w:r>
        <w:rPr>
          <w:rFonts w:eastAsia="Cambria"/>
          <w:szCs w:val="24"/>
        </w:rPr>
        <w:t xml:space="preserve">the </w:t>
      </w:r>
      <w:r w:rsidRPr="00187FD3">
        <w:rPr>
          <w:rFonts w:eastAsia="Cambria"/>
          <w:szCs w:val="24"/>
        </w:rPr>
        <w:t xml:space="preserve">lysed cell sample </w:t>
      </w:r>
      <w:r>
        <w:rPr>
          <w:rFonts w:eastAsia="Cambria"/>
          <w:szCs w:val="24"/>
        </w:rPr>
        <w:t xml:space="preserve">was </w:t>
      </w:r>
      <w:r w:rsidRPr="00187FD3">
        <w:rPr>
          <w:rFonts w:eastAsia="Cambria"/>
          <w:szCs w:val="24"/>
        </w:rPr>
        <w:t xml:space="preserve">greater, 1.8x volume of </w:t>
      </w:r>
      <w:proofErr w:type="spellStart"/>
      <w:r w:rsidRPr="00187FD3">
        <w:rPr>
          <w:rFonts w:eastAsia="Cambria"/>
          <w:szCs w:val="24"/>
        </w:rPr>
        <w:t>AMPure</w:t>
      </w:r>
      <w:proofErr w:type="spellEnd"/>
      <w:r w:rsidRPr="00187FD3">
        <w:rPr>
          <w:rFonts w:eastAsia="Cambria"/>
          <w:szCs w:val="24"/>
        </w:rPr>
        <w:t xml:space="preserve"> beads</w:t>
      </w:r>
      <w:r>
        <w:rPr>
          <w:rFonts w:eastAsia="Cambria"/>
          <w:szCs w:val="24"/>
        </w:rPr>
        <w:t xml:space="preserve"> was used</w:t>
      </w:r>
      <w:r w:rsidRPr="00187FD3">
        <w:rPr>
          <w:rFonts w:eastAsia="Cambria"/>
          <w:szCs w:val="24"/>
        </w:rPr>
        <w:t>) and pipette mix</w:t>
      </w:r>
      <w:r>
        <w:rPr>
          <w:rFonts w:eastAsia="Cambria"/>
          <w:szCs w:val="24"/>
        </w:rPr>
        <w:t>ed</w:t>
      </w:r>
      <w:r w:rsidRPr="00187FD3">
        <w:rPr>
          <w:rFonts w:eastAsia="Cambria"/>
          <w:szCs w:val="24"/>
        </w:rPr>
        <w:t xml:space="preserve"> 10 times. </w:t>
      </w:r>
      <w:r>
        <w:rPr>
          <w:rFonts w:eastAsia="Cambria"/>
          <w:szCs w:val="24"/>
        </w:rPr>
        <w:t xml:space="preserve">They were left </w:t>
      </w:r>
      <w:r w:rsidRPr="00187FD3">
        <w:rPr>
          <w:rFonts w:eastAsia="Cambria"/>
          <w:szCs w:val="24"/>
        </w:rPr>
        <w:t>at room temperature for 5 mins.</w:t>
      </w:r>
      <w:r>
        <w:rPr>
          <w:rFonts w:eastAsia="Cambria"/>
          <w:szCs w:val="24"/>
        </w:rPr>
        <w:t xml:space="preserve"> T</w:t>
      </w:r>
      <w:r w:rsidRPr="00187FD3">
        <w:rPr>
          <w:rFonts w:eastAsia="Cambria"/>
          <w:szCs w:val="24"/>
        </w:rPr>
        <w:t xml:space="preserve">ubes </w:t>
      </w:r>
      <w:r>
        <w:rPr>
          <w:rFonts w:eastAsia="Cambria"/>
          <w:szCs w:val="24"/>
        </w:rPr>
        <w:t xml:space="preserve">were placed </w:t>
      </w:r>
      <w:r w:rsidRPr="00187FD3">
        <w:rPr>
          <w:rFonts w:eastAsia="Cambria"/>
          <w:szCs w:val="24"/>
        </w:rPr>
        <w:t xml:space="preserve">on </w:t>
      </w:r>
      <w:r>
        <w:rPr>
          <w:rFonts w:eastAsia="Cambria"/>
          <w:szCs w:val="24"/>
        </w:rPr>
        <w:t xml:space="preserve">a </w:t>
      </w:r>
      <w:r w:rsidRPr="00187FD3">
        <w:rPr>
          <w:rFonts w:eastAsia="Cambria"/>
          <w:szCs w:val="24"/>
        </w:rPr>
        <w:t>magnetic stand (</w:t>
      </w:r>
      <w:r w:rsidRPr="00187FD3">
        <w:t>New England Biolabs S1515S</w:t>
      </w:r>
      <w:r w:rsidRPr="00187FD3">
        <w:rPr>
          <w:rFonts w:eastAsia="Cambria"/>
          <w:szCs w:val="24"/>
        </w:rPr>
        <w:t>) for 2 minutes</w:t>
      </w:r>
      <w:r>
        <w:rPr>
          <w:rFonts w:eastAsia="Cambria"/>
          <w:szCs w:val="24"/>
        </w:rPr>
        <w:t xml:space="preserve">. </w:t>
      </w:r>
      <w:r w:rsidRPr="00187FD3">
        <w:rPr>
          <w:rFonts w:eastAsia="Cambria"/>
          <w:szCs w:val="24"/>
        </w:rPr>
        <w:t xml:space="preserve">Keeping the tubes on the magnetic stand, </w:t>
      </w:r>
      <w:r>
        <w:rPr>
          <w:rFonts w:eastAsia="Cambria"/>
          <w:szCs w:val="24"/>
        </w:rPr>
        <w:t xml:space="preserve">the cleared solution was </w:t>
      </w:r>
      <w:r w:rsidRPr="00187FD3">
        <w:rPr>
          <w:rFonts w:eastAsia="Cambria"/>
          <w:szCs w:val="24"/>
        </w:rPr>
        <w:t>remove</w:t>
      </w:r>
      <w:r>
        <w:rPr>
          <w:rFonts w:eastAsia="Cambria"/>
          <w:szCs w:val="24"/>
        </w:rPr>
        <w:t>d</w:t>
      </w:r>
      <w:r w:rsidRPr="00187FD3">
        <w:rPr>
          <w:rFonts w:eastAsia="Cambria"/>
          <w:szCs w:val="24"/>
        </w:rPr>
        <w:t xml:space="preserve"> and discard</w:t>
      </w:r>
      <w:r>
        <w:rPr>
          <w:rFonts w:eastAsia="Cambria"/>
          <w:szCs w:val="24"/>
        </w:rPr>
        <w:t>ed</w:t>
      </w:r>
      <w:r w:rsidRPr="00187FD3">
        <w:rPr>
          <w:rFonts w:eastAsia="Cambria"/>
          <w:szCs w:val="24"/>
        </w:rPr>
        <w:t xml:space="preserve"> leaving the beads.</w:t>
      </w:r>
      <w:r>
        <w:rPr>
          <w:rFonts w:eastAsia="Cambria"/>
          <w:szCs w:val="24"/>
        </w:rPr>
        <w:t xml:space="preserve"> It was then w</w:t>
      </w:r>
      <w:r w:rsidRPr="00187FD3">
        <w:rPr>
          <w:rFonts w:eastAsia="Cambria"/>
          <w:szCs w:val="24"/>
        </w:rPr>
        <w:t>ash</w:t>
      </w:r>
      <w:r>
        <w:rPr>
          <w:rFonts w:eastAsia="Cambria"/>
          <w:szCs w:val="24"/>
        </w:rPr>
        <w:t>ed</w:t>
      </w:r>
      <w:r w:rsidRPr="00187FD3">
        <w:rPr>
          <w:rFonts w:eastAsia="Cambria"/>
          <w:szCs w:val="24"/>
        </w:rPr>
        <w:t xml:space="preserve"> with 40uL 70% ethanol. </w:t>
      </w:r>
      <w:r>
        <w:rPr>
          <w:rFonts w:eastAsia="Cambria"/>
          <w:szCs w:val="24"/>
        </w:rPr>
        <w:t xml:space="preserve">The </w:t>
      </w:r>
      <w:r w:rsidRPr="00187FD3">
        <w:rPr>
          <w:rFonts w:eastAsia="Cambria"/>
          <w:szCs w:val="24"/>
        </w:rPr>
        <w:t>supernatant</w:t>
      </w:r>
      <w:r>
        <w:rPr>
          <w:rFonts w:eastAsia="Cambria"/>
          <w:szCs w:val="24"/>
        </w:rPr>
        <w:t xml:space="preserve"> was discarded</w:t>
      </w:r>
      <w:r w:rsidRPr="00187FD3">
        <w:rPr>
          <w:rFonts w:eastAsia="Cambria"/>
          <w:szCs w:val="24"/>
        </w:rPr>
        <w:t xml:space="preserve">, leaving the beads. </w:t>
      </w:r>
      <w:r>
        <w:rPr>
          <w:rFonts w:eastAsia="Cambria"/>
          <w:szCs w:val="24"/>
        </w:rPr>
        <w:t>The ethanol wash was r</w:t>
      </w:r>
      <w:r w:rsidRPr="00187FD3">
        <w:rPr>
          <w:rFonts w:eastAsia="Cambria"/>
          <w:szCs w:val="24"/>
        </w:rPr>
        <w:t>epeat</w:t>
      </w:r>
      <w:r>
        <w:rPr>
          <w:rFonts w:eastAsia="Cambria"/>
          <w:szCs w:val="24"/>
        </w:rPr>
        <w:t>ed</w:t>
      </w:r>
      <w:r w:rsidRPr="00187FD3">
        <w:rPr>
          <w:rFonts w:eastAsia="Cambria"/>
          <w:szCs w:val="24"/>
        </w:rPr>
        <w:t xml:space="preserve">. On </w:t>
      </w:r>
      <w:r>
        <w:rPr>
          <w:rFonts w:eastAsia="Cambria"/>
          <w:szCs w:val="24"/>
        </w:rPr>
        <w:t xml:space="preserve">the </w:t>
      </w:r>
      <w:r w:rsidRPr="00187FD3">
        <w:rPr>
          <w:rFonts w:eastAsia="Cambria"/>
          <w:szCs w:val="24"/>
        </w:rPr>
        <w:t xml:space="preserve">second wash, </w:t>
      </w:r>
      <w:r>
        <w:rPr>
          <w:rFonts w:eastAsia="Cambria"/>
          <w:szCs w:val="24"/>
        </w:rPr>
        <w:t xml:space="preserve">remaining </w:t>
      </w:r>
      <w:r w:rsidRPr="00187FD3">
        <w:rPr>
          <w:rFonts w:eastAsia="Cambria"/>
          <w:szCs w:val="24"/>
        </w:rPr>
        <w:t xml:space="preserve">ethanol </w:t>
      </w:r>
      <w:r>
        <w:rPr>
          <w:rFonts w:eastAsia="Cambria"/>
          <w:szCs w:val="24"/>
        </w:rPr>
        <w:t>was</w:t>
      </w:r>
      <w:r w:rsidRPr="00187FD3">
        <w:rPr>
          <w:rFonts w:eastAsia="Cambria"/>
          <w:szCs w:val="24"/>
        </w:rPr>
        <w:t xml:space="preserve"> removed by using a P10 pipette</w:t>
      </w:r>
      <w:r>
        <w:rPr>
          <w:rFonts w:eastAsia="Cambria"/>
          <w:szCs w:val="24"/>
        </w:rPr>
        <w:t xml:space="preserve"> while a</w:t>
      </w:r>
      <w:r w:rsidRPr="00187FD3">
        <w:rPr>
          <w:rFonts w:eastAsia="Cambria"/>
          <w:szCs w:val="24"/>
        </w:rPr>
        <w:t>void</w:t>
      </w:r>
      <w:r>
        <w:rPr>
          <w:rFonts w:eastAsia="Cambria"/>
          <w:szCs w:val="24"/>
        </w:rPr>
        <w:t>ing</w:t>
      </w:r>
      <w:r w:rsidRPr="00187FD3">
        <w:rPr>
          <w:rFonts w:eastAsia="Cambria"/>
          <w:szCs w:val="24"/>
        </w:rPr>
        <w:t xml:space="preserve"> removing any beads. </w:t>
      </w:r>
      <w:r>
        <w:rPr>
          <w:rFonts w:eastAsia="Cambria"/>
          <w:szCs w:val="24"/>
        </w:rPr>
        <w:t>T</w:t>
      </w:r>
      <w:r w:rsidRPr="00187FD3">
        <w:rPr>
          <w:rFonts w:eastAsia="Cambria"/>
          <w:szCs w:val="24"/>
        </w:rPr>
        <w:t xml:space="preserve">ubes </w:t>
      </w:r>
      <w:r>
        <w:rPr>
          <w:rFonts w:eastAsia="Cambria"/>
          <w:szCs w:val="24"/>
        </w:rPr>
        <w:t xml:space="preserve">were removed </w:t>
      </w:r>
      <w:r w:rsidRPr="00187FD3">
        <w:rPr>
          <w:rFonts w:eastAsia="Cambria"/>
          <w:szCs w:val="24"/>
        </w:rPr>
        <w:t xml:space="preserve">from </w:t>
      </w:r>
      <w:r>
        <w:rPr>
          <w:rFonts w:eastAsia="Cambria"/>
          <w:szCs w:val="24"/>
        </w:rPr>
        <w:t xml:space="preserve">the </w:t>
      </w:r>
      <w:r w:rsidRPr="00187FD3">
        <w:rPr>
          <w:rFonts w:eastAsia="Cambria"/>
          <w:szCs w:val="24"/>
        </w:rPr>
        <w:t>magnetic stand</w:t>
      </w:r>
      <w:r>
        <w:rPr>
          <w:rFonts w:eastAsia="Cambria"/>
          <w:szCs w:val="24"/>
        </w:rPr>
        <w:t xml:space="preserve"> and </w:t>
      </w:r>
      <w:r w:rsidRPr="00187FD3">
        <w:rPr>
          <w:rFonts w:eastAsia="Cambria"/>
          <w:szCs w:val="24"/>
        </w:rPr>
        <w:t>18uL of elution buffer (</w:t>
      </w:r>
      <w:r w:rsidRPr="00187FD3">
        <w:t>QIAGEN 19086</w:t>
      </w:r>
      <w:r w:rsidRPr="00187FD3">
        <w:rPr>
          <w:rFonts w:eastAsia="Cambria"/>
          <w:szCs w:val="24"/>
        </w:rPr>
        <w:t xml:space="preserve">) </w:t>
      </w:r>
      <w:r>
        <w:rPr>
          <w:rFonts w:eastAsia="Cambria"/>
          <w:szCs w:val="24"/>
        </w:rPr>
        <w:t xml:space="preserve">was added </w:t>
      </w:r>
      <w:r w:rsidRPr="00187FD3">
        <w:rPr>
          <w:rFonts w:eastAsia="Cambria"/>
          <w:szCs w:val="24"/>
        </w:rPr>
        <w:t>to the bead aggregate and pipette mix 10 times or until fully resuspended.</w:t>
      </w:r>
      <w:r>
        <w:rPr>
          <w:rFonts w:eastAsia="Cambria"/>
          <w:szCs w:val="24"/>
        </w:rPr>
        <w:t xml:space="preserve"> Tubes were i</w:t>
      </w:r>
      <w:r w:rsidRPr="00187FD3">
        <w:rPr>
          <w:rFonts w:eastAsia="Cambria"/>
          <w:szCs w:val="24"/>
        </w:rPr>
        <w:t>ncubate</w:t>
      </w:r>
      <w:r>
        <w:rPr>
          <w:rFonts w:eastAsia="Cambria"/>
          <w:szCs w:val="24"/>
        </w:rPr>
        <w:t>d</w:t>
      </w:r>
      <w:r w:rsidRPr="00187FD3">
        <w:rPr>
          <w:rFonts w:eastAsia="Cambria"/>
          <w:szCs w:val="24"/>
        </w:rPr>
        <w:t xml:space="preserve"> for 5 minutes at room temperature.</w:t>
      </w:r>
      <w:r>
        <w:rPr>
          <w:rFonts w:eastAsia="Cambria"/>
          <w:szCs w:val="24"/>
        </w:rPr>
        <w:t xml:space="preserve"> T</w:t>
      </w:r>
      <w:r w:rsidRPr="00187FD3">
        <w:rPr>
          <w:rFonts w:eastAsia="Cambria"/>
          <w:szCs w:val="24"/>
        </w:rPr>
        <w:t xml:space="preserve">ubes </w:t>
      </w:r>
      <w:r>
        <w:rPr>
          <w:rFonts w:eastAsia="Cambria"/>
          <w:szCs w:val="24"/>
        </w:rPr>
        <w:t xml:space="preserve">were placed </w:t>
      </w:r>
      <w:r w:rsidRPr="00187FD3">
        <w:rPr>
          <w:rFonts w:eastAsia="Cambria"/>
          <w:szCs w:val="24"/>
        </w:rPr>
        <w:t>on the magnetic stand for 2 minutes.</w:t>
      </w:r>
      <w:r>
        <w:rPr>
          <w:rFonts w:eastAsia="Cambria"/>
          <w:szCs w:val="24"/>
        </w:rPr>
        <w:t xml:space="preserve"> E</w:t>
      </w:r>
      <w:r w:rsidRPr="00187FD3">
        <w:rPr>
          <w:rFonts w:eastAsia="Cambria"/>
          <w:szCs w:val="24"/>
        </w:rPr>
        <w:t xml:space="preserve">luate </w:t>
      </w:r>
      <w:r>
        <w:rPr>
          <w:rFonts w:eastAsia="Cambria"/>
          <w:szCs w:val="24"/>
        </w:rPr>
        <w:t xml:space="preserve">was split </w:t>
      </w:r>
      <w:r w:rsidRPr="00187FD3">
        <w:rPr>
          <w:rFonts w:eastAsia="Cambria"/>
          <w:szCs w:val="24"/>
        </w:rPr>
        <w:t xml:space="preserve">into two 8.5uL aliquots – leaving the bead aggregate. </w:t>
      </w:r>
      <w:r>
        <w:rPr>
          <w:rFonts w:eastAsia="Cambria"/>
          <w:szCs w:val="24"/>
        </w:rPr>
        <w:t>M</w:t>
      </w:r>
      <w:r w:rsidRPr="00187FD3">
        <w:rPr>
          <w:rFonts w:eastAsia="Cambria"/>
          <w:szCs w:val="24"/>
        </w:rPr>
        <w:t xml:space="preserve">icrocentrifuge tubes </w:t>
      </w:r>
      <w:r>
        <w:rPr>
          <w:rFonts w:eastAsia="Cambria"/>
          <w:szCs w:val="24"/>
        </w:rPr>
        <w:t xml:space="preserve">were labelled </w:t>
      </w:r>
      <w:r w:rsidRPr="00187FD3">
        <w:rPr>
          <w:rFonts w:eastAsia="Cambria"/>
          <w:szCs w:val="24"/>
        </w:rPr>
        <w:t xml:space="preserve">to identify which samples </w:t>
      </w:r>
      <w:r>
        <w:rPr>
          <w:rFonts w:eastAsia="Cambria"/>
          <w:szCs w:val="24"/>
        </w:rPr>
        <w:t>came from the same single</w:t>
      </w:r>
      <w:r w:rsidR="00DB01C0">
        <w:rPr>
          <w:rFonts w:eastAsia="Cambria"/>
          <w:szCs w:val="24"/>
        </w:rPr>
        <w:t xml:space="preserve"> </w:t>
      </w:r>
      <w:r>
        <w:rPr>
          <w:rFonts w:eastAsia="Cambria"/>
          <w:szCs w:val="24"/>
        </w:rPr>
        <w:t>cell.</w:t>
      </w:r>
    </w:p>
    <w:p w14:paraId="6D892D7F" w14:textId="4A186E6D" w:rsidR="001270C0" w:rsidRPr="00187FD3" w:rsidRDefault="001270C0" w:rsidP="001270C0">
      <w:pPr>
        <w:pStyle w:val="Heading2"/>
      </w:pPr>
      <w:bookmarkStart w:id="8" w:name="_Toc143796656"/>
      <w:proofErr w:type="spellStart"/>
      <w:r w:rsidRPr="00187FD3">
        <w:t>SuperFi</w:t>
      </w:r>
      <w:proofErr w:type="spellEnd"/>
      <w:r w:rsidRPr="00187FD3">
        <w:t xml:space="preserve"> II Plat </w:t>
      </w:r>
      <w:proofErr w:type="spellStart"/>
      <w:r w:rsidRPr="00187FD3">
        <w:t>Taq</w:t>
      </w:r>
      <w:proofErr w:type="spellEnd"/>
      <w:r w:rsidRPr="00187FD3">
        <w:t xml:space="preserve"> LRPCR</w:t>
      </w:r>
      <w:bookmarkEnd w:id="8"/>
    </w:p>
    <w:p w14:paraId="42A35D85" w14:textId="08B652D0" w:rsidR="001270C0" w:rsidRPr="00187FD3" w:rsidRDefault="001270C0" w:rsidP="001270C0">
      <w:r w:rsidRPr="00187FD3">
        <w:t xml:space="preserve">The bottleneck of </w:t>
      </w:r>
      <w:r w:rsidR="00DB01C0">
        <w:t>single cell</w:t>
      </w:r>
      <w:r w:rsidRPr="00187FD3">
        <w:t xml:space="preserve"> sequencing is the DNA amplification. Amplification techniques that would work for bulk sequencing proved to be incompatible </w:t>
      </w:r>
      <w:r>
        <w:t>with</w:t>
      </w:r>
      <w:r w:rsidRPr="00187FD3">
        <w:t xml:space="preserve"> </w:t>
      </w:r>
      <w:r w:rsidR="00DB01C0">
        <w:t>single cell</w:t>
      </w:r>
      <w:r w:rsidRPr="00187FD3">
        <w:t xml:space="preserve">: mechanical purifications took too much of the sample, bacterial lysis buffers did not release enough mtDNA, </w:t>
      </w:r>
      <w:r>
        <w:t xml:space="preserve">and </w:t>
      </w:r>
      <w:r w:rsidRPr="00187FD3">
        <w:t>components lost effectiveness for the sensitive PCR. Once enough DNA is amplified, established protocols for bulk sequencing can be followed</w:t>
      </w:r>
      <w:r w:rsidR="00DB01C0">
        <w:t xml:space="preserve"> (Kelly et al., 2017)</w:t>
      </w:r>
      <w:r w:rsidRPr="00187FD3">
        <w:t xml:space="preserve">. The </w:t>
      </w:r>
      <w:proofErr w:type="spellStart"/>
      <w:r w:rsidRPr="00187FD3">
        <w:t>SuperFi</w:t>
      </w:r>
      <w:proofErr w:type="spellEnd"/>
      <w:r w:rsidRPr="00187FD3">
        <w:t xml:space="preserve"> II PCR kit (Invitrogen 12361010) has 300x fidelity compared to Plat Taq. </w:t>
      </w:r>
      <w:proofErr w:type="spellStart"/>
      <w:r w:rsidRPr="00187FD3">
        <w:t>SuperFi</w:t>
      </w:r>
      <w:proofErr w:type="spellEnd"/>
      <w:r w:rsidRPr="00187FD3">
        <w:t xml:space="preserve"> II was better able to amplify from small samples compared to Plat Taq. </w:t>
      </w:r>
      <w:r>
        <w:t>H</w:t>
      </w:r>
      <w:r w:rsidRPr="00187FD3">
        <w:t xml:space="preserve">igher fidelity </w:t>
      </w:r>
      <w:r>
        <w:t xml:space="preserve">also </w:t>
      </w:r>
      <w:r w:rsidRPr="00187FD3">
        <w:t>means greater confidence in lower</w:t>
      </w:r>
      <w:r>
        <w:t>-level heteroplasmy</w:t>
      </w:r>
      <w:r w:rsidRPr="00187FD3">
        <w:t xml:space="preserve">. </w:t>
      </w:r>
    </w:p>
    <w:p w14:paraId="10477EE0" w14:textId="1E6C9488" w:rsidR="001270C0" w:rsidRPr="00187FD3" w:rsidRDefault="001270C0" w:rsidP="001270C0">
      <w:pPr>
        <w:rPr>
          <w:rFonts w:eastAsia="Cambria"/>
          <w:szCs w:val="24"/>
        </w:rPr>
      </w:pPr>
      <w:r w:rsidRPr="00187FD3">
        <w:t xml:space="preserve">In addition to the below LRPCR protocol, </w:t>
      </w:r>
      <w:r w:rsidR="00DB01C0">
        <w:t>single cell</w:t>
      </w:r>
      <w:r w:rsidRPr="00187FD3">
        <w:t xml:space="preserve"> samples post </w:t>
      </w:r>
      <w:proofErr w:type="spellStart"/>
      <w:r w:rsidRPr="00187FD3">
        <w:t>AMPure</w:t>
      </w:r>
      <w:proofErr w:type="spellEnd"/>
      <w:r w:rsidRPr="00187FD3">
        <w:t xml:space="preserve"> purification </w:t>
      </w:r>
      <w:r>
        <w:t>were</w:t>
      </w:r>
      <w:r w:rsidRPr="00187FD3">
        <w:t xml:space="preserve"> diluted to 1/10, 1/100, 1/1,000 and 1/10,000; to demonstrate the limits of the high fidelity LRPCR kit.</w:t>
      </w:r>
      <w:r>
        <w:t xml:space="preserve"> A</w:t>
      </w:r>
      <w:r w:rsidRPr="00187FD3">
        <w:rPr>
          <w:rFonts w:eastAsia="Cambria"/>
          <w:szCs w:val="24"/>
        </w:rPr>
        <w:t xml:space="preserve">ll steps </w:t>
      </w:r>
      <w:r>
        <w:rPr>
          <w:rFonts w:eastAsia="Cambria"/>
          <w:szCs w:val="24"/>
        </w:rPr>
        <w:t>were performed in a BSC while m</w:t>
      </w:r>
      <w:r w:rsidRPr="00187FD3">
        <w:rPr>
          <w:rFonts w:eastAsia="Cambria"/>
          <w:szCs w:val="24"/>
        </w:rPr>
        <w:t>aintain</w:t>
      </w:r>
      <w:r>
        <w:rPr>
          <w:rFonts w:eastAsia="Cambria"/>
          <w:szCs w:val="24"/>
        </w:rPr>
        <w:t>ing</w:t>
      </w:r>
      <w:r w:rsidRPr="00187FD3">
        <w:rPr>
          <w:rFonts w:eastAsia="Cambria"/>
          <w:szCs w:val="24"/>
        </w:rPr>
        <w:t xml:space="preserve"> samples at all steps on ice.</w:t>
      </w:r>
      <w:r>
        <w:rPr>
          <w:rFonts w:eastAsia="Cambria"/>
          <w:szCs w:val="24"/>
        </w:rPr>
        <w:t xml:space="preserve"> F</w:t>
      </w:r>
      <w:r w:rsidRPr="00187FD3">
        <w:rPr>
          <w:rFonts w:eastAsia="Cambria"/>
          <w:szCs w:val="24"/>
        </w:rPr>
        <w:t xml:space="preserve">resh aliquots of primers and dNTPs </w:t>
      </w:r>
      <w:r>
        <w:rPr>
          <w:rFonts w:eastAsia="Cambria"/>
          <w:szCs w:val="24"/>
        </w:rPr>
        <w:t xml:space="preserve">were thawed </w:t>
      </w:r>
      <w:r w:rsidRPr="00187FD3">
        <w:rPr>
          <w:rFonts w:eastAsia="Cambria"/>
          <w:szCs w:val="24"/>
        </w:rPr>
        <w:t>at room temperature then store</w:t>
      </w:r>
      <w:r>
        <w:rPr>
          <w:rFonts w:eastAsia="Cambria"/>
          <w:szCs w:val="24"/>
        </w:rPr>
        <w:t>d</w:t>
      </w:r>
      <w:r w:rsidRPr="00187FD3">
        <w:rPr>
          <w:rFonts w:eastAsia="Cambria"/>
          <w:szCs w:val="24"/>
        </w:rPr>
        <w:t xml:space="preserve"> on ice. </w:t>
      </w:r>
      <w:proofErr w:type="spellStart"/>
      <w:r w:rsidRPr="00187FD3">
        <w:rPr>
          <w:rFonts w:eastAsia="Cambria"/>
          <w:szCs w:val="24"/>
        </w:rPr>
        <w:t>SuperFi</w:t>
      </w:r>
      <w:proofErr w:type="spellEnd"/>
      <w:r w:rsidRPr="00187FD3">
        <w:rPr>
          <w:rFonts w:eastAsia="Cambria"/>
          <w:szCs w:val="24"/>
        </w:rPr>
        <w:t xml:space="preserve"> II 5x Buffer </w:t>
      </w:r>
      <w:r>
        <w:rPr>
          <w:rFonts w:eastAsia="Cambria"/>
          <w:szCs w:val="24"/>
        </w:rPr>
        <w:t xml:space="preserve">was thawed </w:t>
      </w:r>
      <w:r w:rsidRPr="00187FD3">
        <w:rPr>
          <w:rFonts w:eastAsia="Cambria"/>
          <w:szCs w:val="24"/>
        </w:rPr>
        <w:t>and store</w:t>
      </w:r>
      <w:r>
        <w:rPr>
          <w:rFonts w:eastAsia="Cambria"/>
          <w:szCs w:val="24"/>
        </w:rPr>
        <w:t>d</w:t>
      </w:r>
      <w:r w:rsidRPr="00187FD3">
        <w:rPr>
          <w:rFonts w:eastAsia="Cambria"/>
          <w:szCs w:val="24"/>
        </w:rPr>
        <w:t xml:space="preserve"> on ice. DNA Polymerase </w:t>
      </w:r>
      <w:r>
        <w:rPr>
          <w:rFonts w:eastAsia="Cambria"/>
          <w:szCs w:val="24"/>
        </w:rPr>
        <w:t>was maintained at -20</w:t>
      </w:r>
      <w:r w:rsidRPr="00682B9A">
        <w:rPr>
          <w:rFonts w:eastAsia="Cambria"/>
          <w:szCs w:val="24"/>
        </w:rPr>
        <w:t>°</w:t>
      </w:r>
      <w:r>
        <w:rPr>
          <w:rFonts w:eastAsia="Cambria"/>
          <w:szCs w:val="24"/>
        </w:rPr>
        <w:t xml:space="preserve">C and </w:t>
      </w:r>
      <w:r w:rsidRPr="00187FD3">
        <w:rPr>
          <w:rFonts w:eastAsia="Cambria"/>
          <w:szCs w:val="24"/>
        </w:rPr>
        <w:t>only remove</w:t>
      </w:r>
      <w:r>
        <w:rPr>
          <w:rFonts w:eastAsia="Cambria"/>
          <w:szCs w:val="24"/>
        </w:rPr>
        <w:t>d</w:t>
      </w:r>
      <w:r w:rsidRPr="00187FD3">
        <w:rPr>
          <w:rFonts w:eastAsia="Cambria"/>
          <w:szCs w:val="24"/>
        </w:rPr>
        <w:t xml:space="preserve"> briefly when needed. </w:t>
      </w:r>
      <w:r>
        <w:rPr>
          <w:rFonts w:eastAsia="Cambria"/>
          <w:szCs w:val="24"/>
        </w:rPr>
        <w:t>C</w:t>
      </w:r>
      <w:r w:rsidRPr="00187FD3">
        <w:rPr>
          <w:rFonts w:eastAsia="Cambria"/>
          <w:szCs w:val="24"/>
        </w:rPr>
        <w:t xml:space="preserve">omponents </w:t>
      </w:r>
      <w:r>
        <w:rPr>
          <w:rFonts w:eastAsia="Cambria"/>
          <w:szCs w:val="24"/>
        </w:rPr>
        <w:t xml:space="preserve">were briefly vortexed and centrifuged </w:t>
      </w:r>
      <w:r w:rsidRPr="00187FD3">
        <w:rPr>
          <w:rFonts w:eastAsia="Cambria"/>
          <w:szCs w:val="24"/>
        </w:rPr>
        <w:t xml:space="preserve">before use – </w:t>
      </w:r>
      <w:r>
        <w:rPr>
          <w:rFonts w:eastAsia="Cambria"/>
          <w:szCs w:val="24"/>
        </w:rPr>
        <w:t>except for</w:t>
      </w:r>
      <w:r w:rsidRPr="00187FD3">
        <w:rPr>
          <w:rFonts w:eastAsia="Cambria"/>
          <w:szCs w:val="24"/>
        </w:rPr>
        <w:t xml:space="preserve"> the DNA Polymerase.</w:t>
      </w:r>
      <w:r>
        <w:rPr>
          <w:rFonts w:eastAsia="Cambria"/>
          <w:szCs w:val="24"/>
        </w:rPr>
        <w:t xml:space="preserve"> </w:t>
      </w:r>
      <w:r w:rsidRPr="00187FD3">
        <w:rPr>
          <w:rFonts w:eastAsia="Cambria"/>
          <w:szCs w:val="24"/>
        </w:rPr>
        <w:t xml:space="preserve">mtDNA LRPCR </w:t>
      </w:r>
      <w:r>
        <w:rPr>
          <w:rFonts w:eastAsia="Cambria"/>
          <w:szCs w:val="24"/>
        </w:rPr>
        <w:t>was</w:t>
      </w:r>
      <w:r w:rsidRPr="00187FD3">
        <w:rPr>
          <w:rFonts w:eastAsia="Cambria"/>
          <w:szCs w:val="24"/>
        </w:rPr>
        <w:t xml:space="preserve"> performed in 2 separate fragments (termed X and Y). The eluate from a </w:t>
      </w:r>
      <w:r w:rsidR="00DB01C0">
        <w:rPr>
          <w:rFonts w:eastAsia="Cambria"/>
          <w:szCs w:val="24"/>
        </w:rPr>
        <w:t>single cell</w:t>
      </w:r>
      <w:r w:rsidRPr="00187FD3">
        <w:rPr>
          <w:rFonts w:eastAsia="Cambria"/>
          <w:szCs w:val="24"/>
        </w:rPr>
        <w:t xml:space="preserve"> ha</w:t>
      </w:r>
      <w:r>
        <w:rPr>
          <w:rFonts w:eastAsia="Cambria"/>
          <w:szCs w:val="24"/>
        </w:rPr>
        <w:t>d</w:t>
      </w:r>
      <w:r w:rsidRPr="00187FD3">
        <w:rPr>
          <w:rFonts w:eastAsia="Cambria"/>
          <w:szCs w:val="24"/>
        </w:rPr>
        <w:t xml:space="preserve"> been split into 2 from </w:t>
      </w:r>
      <w:proofErr w:type="spellStart"/>
      <w:r w:rsidRPr="00575019">
        <w:rPr>
          <w:rFonts w:eastAsia="Cambria"/>
          <w:bCs/>
          <w:szCs w:val="24"/>
        </w:rPr>
        <w:t>AMPure</w:t>
      </w:r>
      <w:proofErr w:type="spellEnd"/>
      <w:r w:rsidRPr="00575019">
        <w:rPr>
          <w:rFonts w:eastAsia="Cambria"/>
          <w:bCs/>
          <w:szCs w:val="24"/>
        </w:rPr>
        <w:t xml:space="preserve"> Purification</w:t>
      </w:r>
      <w:r w:rsidRPr="00187FD3">
        <w:rPr>
          <w:rFonts w:eastAsia="Cambria"/>
          <w:szCs w:val="24"/>
        </w:rPr>
        <w:t xml:space="preserve">; 1 half </w:t>
      </w:r>
      <w:r>
        <w:rPr>
          <w:rFonts w:eastAsia="Cambria"/>
          <w:szCs w:val="24"/>
        </w:rPr>
        <w:t>was</w:t>
      </w:r>
      <w:r w:rsidRPr="00187FD3">
        <w:rPr>
          <w:rFonts w:eastAsia="Cambria"/>
          <w:szCs w:val="24"/>
        </w:rPr>
        <w:t xml:space="preserve"> amplified using X primers, the other half by Y primers</w:t>
      </w:r>
      <w:r w:rsidR="00DB01C0">
        <w:rPr>
          <w:rFonts w:eastAsia="Cambria"/>
          <w:szCs w:val="24"/>
        </w:rPr>
        <w:t xml:space="preserve"> (</w:t>
      </w:r>
      <w:r w:rsidR="00DB01C0">
        <w:rPr>
          <w:rFonts w:eastAsia="Cambria"/>
          <w:b/>
          <w:bCs/>
          <w:szCs w:val="24"/>
        </w:rPr>
        <w:t>Table 2</w:t>
      </w:r>
      <w:r w:rsidR="00DB01C0">
        <w:rPr>
          <w:rFonts w:eastAsia="Cambria"/>
          <w:szCs w:val="24"/>
        </w:rPr>
        <w:t>)</w:t>
      </w:r>
      <w:r w:rsidRPr="00187FD3">
        <w:rPr>
          <w:rFonts w:eastAsia="Cambria"/>
          <w:szCs w:val="24"/>
        </w:rPr>
        <w:t>.</w:t>
      </w:r>
      <w:r>
        <w:rPr>
          <w:rFonts w:eastAsia="Cambria"/>
          <w:szCs w:val="24"/>
        </w:rPr>
        <w:t xml:space="preserve"> A</w:t>
      </w:r>
      <w:r w:rsidRPr="00187FD3">
        <w:rPr>
          <w:rFonts w:eastAsia="Cambria"/>
          <w:szCs w:val="24"/>
        </w:rPr>
        <w:t xml:space="preserve"> </w:t>
      </w:r>
      <w:proofErr w:type="spellStart"/>
      <w:r w:rsidRPr="00187FD3">
        <w:rPr>
          <w:rFonts w:eastAsia="Cambria"/>
          <w:szCs w:val="24"/>
        </w:rPr>
        <w:t>mastermix</w:t>
      </w:r>
      <w:proofErr w:type="spellEnd"/>
      <w:r w:rsidRPr="00187FD3">
        <w:rPr>
          <w:rFonts w:eastAsia="Cambria"/>
          <w:szCs w:val="24"/>
        </w:rPr>
        <w:t xml:space="preserve"> </w:t>
      </w:r>
      <w:r>
        <w:rPr>
          <w:rFonts w:eastAsia="Cambria"/>
          <w:szCs w:val="24"/>
        </w:rPr>
        <w:t xml:space="preserve">was generated </w:t>
      </w:r>
      <w:r w:rsidRPr="00187FD3">
        <w:rPr>
          <w:rFonts w:eastAsia="Cambria"/>
          <w:szCs w:val="24"/>
        </w:rPr>
        <w:t xml:space="preserve">with 10% overage, for each X primer and Y primer, as per the example in </w:t>
      </w:r>
      <w:r>
        <w:rPr>
          <w:rFonts w:eastAsia="Cambria"/>
          <w:b/>
          <w:bCs/>
          <w:iCs/>
          <w:szCs w:val="24"/>
        </w:rPr>
        <w:t xml:space="preserve">Table </w:t>
      </w:r>
      <w:r w:rsidRPr="00187FD3">
        <w:rPr>
          <w:rFonts w:eastAsia="Cambria"/>
          <w:b/>
          <w:bCs/>
          <w:iCs/>
          <w:szCs w:val="24"/>
        </w:rPr>
        <w:t>3</w:t>
      </w:r>
      <w:r w:rsidRPr="00187FD3">
        <w:rPr>
          <w:rFonts w:eastAsia="Cambria"/>
          <w:szCs w:val="24"/>
        </w:rPr>
        <w:t xml:space="preserve">. </w:t>
      </w:r>
      <w:proofErr w:type="spellStart"/>
      <w:r w:rsidRPr="00187FD3">
        <w:rPr>
          <w:rFonts w:eastAsia="Cambria"/>
          <w:szCs w:val="24"/>
        </w:rPr>
        <w:t>SuperFi</w:t>
      </w:r>
      <w:proofErr w:type="spellEnd"/>
      <w:r w:rsidRPr="00187FD3">
        <w:rPr>
          <w:rFonts w:eastAsia="Cambria"/>
          <w:szCs w:val="24"/>
        </w:rPr>
        <w:t xml:space="preserve"> II DNA Polymerase </w:t>
      </w:r>
      <w:r>
        <w:rPr>
          <w:rFonts w:eastAsia="Cambria"/>
          <w:szCs w:val="24"/>
        </w:rPr>
        <w:t xml:space="preserve">was added </w:t>
      </w:r>
      <w:r w:rsidRPr="00187FD3">
        <w:rPr>
          <w:rFonts w:eastAsia="Cambria"/>
          <w:szCs w:val="24"/>
        </w:rPr>
        <w:t xml:space="preserve">last by briefly removing </w:t>
      </w:r>
      <w:r>
        <w:rPr>
          <w:rFonts w:eastAsia="Cambria"/>
          <w:szCs w:val="24"/>
        </w:rPr>
        <w:t xml:space="preserve">it </w:t>
      </w:r>
      <w:r w:rsidRPr="00187FD3">
        <w:rPr>
          <w:rFonts w:eastAsia="Cambria"/>
          <w:szCs w:val="24"/>
        </w:rPr>
        <w:t>from the -</w:t>
      </w:r>
      <w:r>
        <w:rPr>
          <w:rFonts w:eastAsia="Cambria"/>
          <w:szCs w:val="24"/>
        </w:rPr>
        <w:t>20°C</w:t>
      </w:r>
      <w:r w:rsidRPr="00187FD3">
        <w:rPr>
          <w:rFonts w:eastAsia="Cambria"/>
          <w:szCs w:val="24"/>
        </w:rPr>
        <w:t xml:space="preserve"> freezer – to minimise </w:t>
      </w:r>
      <w:r>
        <w:rPr>
          <w:rFonts w:eastAsia="Cambria"/>
          <w:szCs w:val="24"/>
        </w:rPr>
        <w:t xml:space="preserve">the </w:t>
      </w:r>
      <w:r w:rsidRPr="00187FD3">
        <w:rPr>
          <w:rFonts w:eastAsia="Cambria"/>
          <w:szCs w:val="24"/>
        </w:rPr>
        <w:t xml:space="preserve">time spent at room temperature. </w:t>
      </w:r>
      <w:r>
        <w:rPr>
          <w:rFonts w:eastAsia="Cambria"/>
          <w:szCs w:val="24"/>
        </w:rPr>
        <w:t xml:space="preserve">The </w:t>
      </w:r>
      <w:proofErr w:type="spellStart"/>
      <w:r>
        <w:rPr>
          <w:rFonts w:eastAsia="Cambria"/>
          <w:szCs w:val="24"/>
        </w:rPr>
        <w:t>mastermix</w:t>
      </w:r>
      <w:proofErr w:type="spellEnd"/>
      <w:r>
        <w:rPr>
          <w:rFonts w:eastAsia="Cambria"/>
          <w:szCs w:val="24"/>
        </w:rPr>
        <w:t xml:space="preserve"> was g</w:t>
      </w:r>
      <w:r w:rsidRPr="00187FD3">
        <w:rPr>
          <w:rFonts w:eastAsia="Cambria"/>
          <w:szCs w:val="24"/>
        </w:rPr>
        <w:t>ently vortex</w:t>
      </w:r>
      <w:r>
        <w:rPr>
          <w:rFonts w:eastAsia="Cambria"/>
          <w:szCs w:val="24"/>
        </w:rPr>
        <w:t xml:space="preserve">ed, centrifuged at </w:t>
      </w:r>
      <w:r w:rsidR="00E56A04">
        <w:rPr>
          <w:rFonts w:eastAsia="Cambria"/>
          <w:szCs w:val="24"/>
        </w:rPr>
        <w:t>500xg</w:t>
      </w:r>
      <w:r>
        <w:rPr>
          <w:rFonts w:eastAsia="Cambria"/>
          <w:szCs w:val="24"/>
        </w:rPr>
        <w:t xml:space="preserve"> and kept on ice. </w:t>
      </w:r>
      <w:r w:rsidRPr="00187FD3">
        <w:rPr>
          <w:rFonts w:eastAsia="Cambria"/>
          <w:szCs w:val="24"/>
        </w:rPr>
        <w:t xml:space="preserve">16.5uL </w:t>
      </w:r>
      <w:proofErr w:type="spellStart"/>
      <w:r w:rsidRPr="00187FD3">
        <w:rPr>
          <w:rFonts w:eastAsia="Cambria"/>
          <w:szCs w:val="24"/>
        </w:rPr>
        <w:t>mastermix</w:t>
      </w:r>
      <w:proofErr w:type="spellEnd"/>
      <w:r w:rsidRPr="00187FD3">
        <w:rPr>
          <w:rFonts w:eastAsia="Cambria"/>
          <w:szCs w:val="24"/>
        </w:rPr>
        <w:t xml:space="preserve"> </w:t>
      </w:r>
      <w:r>
        <w:rPr>
          <w:rFonts w:eastAsia="Cambria"/>
          <w:szCs w:val="24"/>
        </w:rPr>
        <w:t xml:space="preserve">was added </w:t>
      </w:r>
      <w:r w:rsidRPr="00187FD3">
        <w:rPr>
          <w:rFonts w:eastAsia="Cambria"/>
          <w:szCs w:val="24"/>
        </w:rPr>
        <w:t xml:space="preserve">to 8.5uL </w:t>
      </w:r>
      <w:proofErr w:type="spellStart"/>
      <w:r w:rsidRPr="00187FD3">
        <w:rPr>
          <w:rFonts w:eastAsia="Cambria"/>
          <w:szCs w:val="24"/>
        </w:rPr>
        <w:t>AMPure</w:t>
      </w:r>
      <w:proofErr w:type="spellEnd"/>
      <w:r w:rsidRPr="00187FD3">
        <w:rPr>
          <w:rFonts w:eastAsia="Cambria"/>
          <w:szCs w:val="24"/>
        </w:rPr>
        <w:t xml:space="preserve"> purified DNA. </w:t>
      </w:r>
      <w:r>
        <w:rPr>
          <w:rFonts w:eastAsia="Cambria"/>
          <w:szCs w:val="24"/>
        </w:rPr>
        <w:t>The sample was g</w:t>
      </w:r>
      <w:r w:rsidRPr="00187FD3">
        <w:rPr>
          <w:rFonts w:eastAsia="Cambria"/>
          <w:szCs w:val="24"/>
        </w:rPr>
        <w:t>ently vortex</w:t>
      </w:r>
      <w:r>
        <w:rPr>
          <w:rFonts w:eastAsia="Cambria"/>
          <w:szCs w:val="24"/>
        </w:rPr>
        <w:t xml:space="preserve">ed, </w:t>
      </w:r>
      <w:r w:rsidRPr="00187FD3">
        <w:rPr>
          <w:rFonts w:eastAsia="Cambria"/>
          <w:szCs w:val="24"/>
        </w:rPr>
        <w:t>centrifuge</w:t>
      </w:r>
      <w:r>
        <w:rPr>
          <w:rFonts w:eastAsia="Cambria"/>
          <w:szCs w:val="24"/>
        </w:rPr>
        <w:t>d</w:t>
      </w:r>
      <w:r w:rsidRPr="00187FD3">
        <w:rPr>
          <w:rFonts w:eastAsia="Cambria"/>
          <w:szCs w:val="24"/>
        </w:rPr>
        <w:t xml:space="preserve"> at </w:t>
      </w:r>
      <w:r w:rsidR="00E56A04">
        <w:rPr>
          <w:rFonts w:eastAsia="Cambria"/>
          <w:szCs w:val="24"/>
        </w:rPr>
        <w:t>500xg</w:t>
      </w:r>
      <w:r>
        <w:rPr>
          <w:rFonts w:eastAsia="Cambria"/>
          <w:szCs w:val="24"/>
        </w:rPr>
        <w:t xml:space="preserve"> and ke</w:t>
      </w:r>
      <w:r w:rsidRPr="00187FD3">
        <w:rPr>
          <w:rFonts w:eastAsia="Cambria"/>
          <w:szCs w:val="24"/>
        </w:rPr>
        <w:t>p</w:t>
      </w:r>
      <w:r>
        <w:rPr>
          <w:rFonts w:eastAsia="Cambria"/>
          <w:szCs w:val="24"/>
        </w:rPr>
        <w:t>t</w:t>
      </w:r>
      <w:r w:rsidRPr="00187FD3">
        <w:rPr>
          <w:rFonts w:eastAsia="Cambria"/>
          <w:szCs w:val="24"/>
        </w:rPr>
        <w:t xml:space="preserve"> on ice.</w:t>
      </w:r>
      <w:r>
        <w:rPr>
          <w:rFonts w:eastAsia="Cambria"/>
          <w:szCs w:val="24"/>
        </w:rPr>
        <w:t xml:space="preserve"> S</w:t>
      </w:r>
      <w:r w:rsidRPr="00187FD3">
        <w:rPr>
          <w:rFonts w:eastAsia="Cambria"/>
          <w:szCs w:val="24"/>
        </w:rPr>
        <w:t xml:space="preserve">amples </w:t>
      </w:r>
      <w:r>
        <w:rPr>
          <w:rFonts w:eastAsia="Cambria"/>
          <w:szCs w:val="24"/>
        </w:rPr>
        <w:t xml:space="preserve">were placed </w:t>
      </w:r>
      <w:r w:rsidRPr="00187FD3">
        <w:rPr>
          <w:rFonts w:eastAsia="Cambria"/>
          <w:szCs w:val="24"/>
        </w:rPr>
        <w:t xml:space="preserve">in a PCR machine and set to </w:t>
      </w:r>
      <w:r>
        <w:rPr>
          <w:rFonts w:eastAsia="Cambria"/>
          <w:szCs w:val="24"/>
        </w:rPr>
        <w:t xml:space="preserve">a </w:t>
      </w:r>
      <w:r w:rsidRPr="00187FD3">
        <w:rPr>
          <w:rFonts w:eastAsia="Cambria"/>
          <w:szCs w:val="24"/>
        </w:rPr>
        <w:t xml:space="preserve">PCR cycle as per </w:t>
      </w:r>
      <w:r>
        <w:rPr>
          <w:rFonts w:eastAsia="Cambria"/>
          <w:b/>
          <w:bCs/>
          <w:szCs w:val="24"/>
        </w:rPr>
        <w:t xml:space="preserve">Table </w:t>
      </w:r>
      <w:r w:rsidRPr="00187FD3">
        <w:rPr>
          <w:rFonts w:eastAsia="Cambria"/>
          <w:b/>
          <w:bCs/>
          <w:szCs w:val="24"/>
        </w:rPr>
        <w:t>4</w:t>
      </w:r>
      <w:r w:rsidRPr="00187FD3">
        <w:rPr>
          <w:rFonts w:eastAsia="Cambria"/>
          <w:szCs w:val="24"/>
        </w:rPr>
        <w:t xml:space="preserve">. </w:t>
      </w:r>
      <w:r>
        <w:rPr>
          <w:rFonts w:eastAsia="Cambria"/>
          <w:szCs w:val="24"/>
        </w:rPr>
        <w:t>R</w:t>
      </w:r>
      <w:r w:rsidRPr="00187FD3">
        <w:rPr>
          <w:rFonts w:eastAsia="Cambria"/>
          <w:szCs w:val="24"/>
        </w:rPr>
        <w:t xml:space="preserve">eaction volume </w:t>
      </w:r>
      <w:r>
        <w:rPr>
          <w:rFonts w:eastAsia="Cambria"/>
          <w:szCs w:val="24"/>
        </w:rPr>
        <w:t xml:space="preserve">was set </w:t>
      </w:r>
      <w:r w:rsidRPr="00187FD3">
        <w:rPr>
          <w:rFonts w:eastAsia="Cambria"/>
          <w:szCs w:val="24"/>
        </w:rPr>
        <w:t xml:space="preserve">to 25uL with </w:t>
      </w:r>
      <w:r>
        <w:rPr>
          <w:rFonts w:eastAsia="Cambria"/>
          <w:szCs w:val="24"/>
        </w:rPr>
        <w:t xml:space="preserve">a </w:t>
      </w:r>
      <w:r w:rsidRPr="00187FD3">
        <w:rPr>
          <w:rFonts w:eastAsia="Cambria"/>
          <w:szCs w:val="24"/>
        </w:rPr>
        <w:t xml:space="preserve">lid temperature </w:t>
      </w:r>
      <w:r>
        <w:rPr>
          <w:rFonts w:eastAsia="Cambria"/>
          <w:szCs w:val="24"/>
        </w:rPr>
        <w:t>of</w:t>
      </w:r>
      <w:r w:rsidRPr="00187FD3">
        <w:rPr>
          <w:rFonts w:eastAsia="Cambria"/>
          <w:szCs w:val="24"/>
        </w:rPr>
        <w:t xml:space="preserve"> 105</w:t>
      </w:r>
      <w:r w:rsidRPr="0057399D">
        <w:rPr>
          <w:rFonts w:eastAsia="Cambria"/>
          <w:szCs w:val="24"/>
        </w:rPr>
        <w:t>°</w:t>
      </w:r>
      <w:r w:rsidRPr="00187FD3">
        <w:rPr>
          <w:rFonts w:eastAsia="Cambria"/>
          <w:szCs w:val="24"/>
        </w:rPr>
        <w:t>C.</w:t>
      </w:r>
      <w:r>
        <w:rPr>
          <w:rFonts w:eastAsia="Cambria"/>
          <w:szCs w:val="24"/>
        </w:rPr>
        <w:t xml:space="preserve"> The</w:t>
      </w:r>
      <w:r w:rsidRPr="00187FD3">
        <w:rPr>
          <w:rFonts w:eastAsia="Cambria"/>
          <w:szCs w:val="24"/>
        </w:rPr>
        <w:t xml:space="preserve"> cycle </w:t>
      </w:r>
      <w:r>
        <w:rPr>
          <w:rFonts w:eastAsia="Cambria"/>
          <w:szCs w:val="24"/>
        </w:rPr>
        <w:t xml:space="preserve">was run </w:t>
      </w:r>
      <w:r w:rsidRPr="00187FD3">
        <w:rPr>
          <w:rFonts w:eastAsia="Cambria"/>
          <w:szCs w:val="24"/>
        </w:rPr>
        <w:t>overnight.</w:t>
      </w:r>
      <w:r>
        <w:rPr>
          <w:rFonts w:eastAsia="Cambria"/>
          <w:szCs w:val="24"/>
        </w:rPr>
        <w:t xml:space="preserve"> O</w:t>
      </w:r>
      <w:r w:rsidRPr="00187FD3">
        <w:rPr>
          <w:rFonts w:eastAsia="Cambria"/>
          <w:szCs w:val="24"/>
        </w:rPr>
        <w:t xml:space="preserve">n completion, samples </w:t>
      </w:r>
      <w:r>
        <w:rPr>
          <w:rFonts w:eastAsia="Cambria"/>
          <w:szCs w:val="24"/>
        </w:rPr>
        <w:t xml:space="preserve">were removed </w:t>
      </w:r>
      <w:r w:rsidRPr="00187FD3">
        <w:rPr>
          <w:rFonts w:eastAsia="Cambria"/>
          <w:szCs w:val="24"/>
        </w:rPr>
        <w:t>and store</w:t>
      </w:r>
      <w:r>
        <w:rPr>
          <w:rFonts w:eastAsia="Cambria"/>
          <w:szCs w:val="24"/>
        </w:rPr>
        <w:t xml:space="preserve">d </w:t>
      </w:r>
      <w:r w:rsidRPr="00187FD3">
        <w:rPr>
          <w:rFonts w:eastAsia="Cambria"/>
          <w:szCs w:val="24"/>
        </w:rPr>
        <w:t xml:space="preserve">at </w:t>
      </w:r>
      <w:r>
        <w:rPr>
          <w:rFonts w:eastAsia="Cambria"/>
          <w:szCs w:val="24"/>
        </w:rPr>
        <w:t>4°C</w:t>
      </w:r>
      <w:r w:rsidRPr="00187FD3">
        <w:rPr>
          <w:rFonts w:eastAsia="Cambria"/>
          <w:szCs w:val="24"/>
        </w:rPr>
        <w:t>.</w:t>
      </w:r>
    </w:p>
    <w:p w14:paraId="75F66B57" w14:textId="77777777" w:rsidR="00DB01C0" w:rsidRPr="00187FD3" w:rsidRDefault="00DB01C0" w:rsidP="00DB01C0">
      <w:pPr>
        <w:rPr>
          <w:rFonts w:cs="Arial"/>
        </w:rPr>
      </w:pPr>
      <w:r w:rsidRPr="00187FD3">
        <w:rPr>
          <w:rFonts w:cs="Arial"/>
        </w:rPr>
        <w:t>STOPPING POINT: Samples can be stored at -20</w:t>
      </w:r>
      <w:r>
        <w:rPr>
          <w:rFonts w:cs="Arial"/>
          <w:color w:val="4D5156"/>
          <w:sz w:val="21"/>
          <w:szCs w:val="21"/>
          <w:shd w:val="clear" w:color="auto" w:fill="FFFFFF"/>
        </w:rPr>
        <w:t>°</w:t>
      </w:r>
      <w:r w:rsidRPr="00187FD3">
        <w:rPr>
          <w:rFonts w:cs="Arial"/>
        </w:rPr>
        <w:t>C for 2 weeks.</w:t>
      </w:r>
    </w:p>
    <w:p w14:paraId="03163F0B" w14:textId="78ACEE0F" w:rsidR="001270C0" w:rsidRDefault="001270C0" w:rsidP="001270C0">
      <w:pPr>
        <w:rPr>
          <w:bCs/>
        </w:rPr>
      </w:pPr>
      <w:r>
        <w:rPr>
          <w:b/>
          <w:bCs/>
        </w:rPr>
        <w:t xml:space="preserve">Table </w:t>
      </w:r>
      <w:r w:rsidRPr="00187FD3">
        <w:rPr>
          <w:b/>
          <w:bCs/>
        </w:rPr>
        <w:t>3</w:t>
      </w:r>
    </w:p>
    <w:p w14:paraId="43418051" w14:textId="1F8735AF" w:rsidR="001270C0" w:rsidRPr="00187FD3" w:rsidRDefault="001270C0" w:rsidP="001270C0">
      <w:pPr>
        <w:rPr>
          <w:bCs/>
        </w:rPr>
      </w:pPr>
      <w:r>
        <w:rPr>
          <w:b/>
          <w:bCs/>
        </w:rPr>
        <w:t xml:space="preserve">Table </w:t>
      </w:r>
      <w:r w:rsidRPr="00187FD3">
        <w:rPr>
          <w:b/>
          <w:bCs/>
        </w:rPr>
        <w:t>4</w:t>
      </w:r>
    </w:p>
    <w:p w14:paraId="42E4727A" w14:textId="77777777" w:rsidR="001270C0" w:rsidRPr="00187FD3" w:rsidRDefault="001270C0" w:rsidP="001270C0">
      <w:pPr>
        <w:pStyle w:val="Heading2"/>
      </w:pPr>
      <w:bookmarkStart w:id="9" w:name="_Toc143796657"/>
      <w:r w:rsidRPr="00187FD3">
        <w:lastRenderedPageBreak/>
        <w:t>Agarose Gel</w:t>
      </w:r>
      <w:bookmarkEnd w:id="9"/>
    </w:p>
    <w:p w14:paraId="51087DFF" w14:textId="66986D28" w:rsidR="001270C0" w:rsidRDefault="001270C0" w:rsidP="001270C0">
      <w:pPr>
        <w:spacing w:before="0" w:after="160"/>
        <w:rPr>
          <w:rFonts w:cs="Arial"/>
        </w:rPr>
      </w:pPr>
      <w:r w:rsidRPr="00187FD3">
        <w:rPr>
          <w:rFonts w:cs="Arial"/>
        </w:rPr>
        <w:t>Limit of detection: a</w:t>
      </w:r>
      <w:r w:rsidR="00DB01C0">
        <w:rPr>
          <w:rFonts w:cs="Arial"/>
        </w:rPr>
        <w:t>n</w:t>
      </w:r>
      <w:r w:rsidRPr="00187FD3">
        <w:rPr>
          <w:rFonts w:cs="Arial"/>
        </w:rPr>
        <w:t xml:space="preserve"> 8.5kb band </w:t>
      </w:r>
      <w:r>
        <w:rPr>
          <w:rFonts w:cs="Arial"/>
        </w:rPr>
        <w:t>was</w:t>
      </w:r>
      <w:r w:rsidRPr="00187FD3">
        <w:rPr>
          <w:rFonts w:cs="Arial"/>
        </w:rPr>
        <w:t xml:space="preserve"> still observable when taking a 1/1000 dilution of a </w:t>
      </w:r>
      <w:r w:rsidR="00DB01C0">
        <w:rPr>
          <w:rFonts w:cs="Arial"/>
        </w:rPr>
        <w:t>single cell</w:t>
      </w:r>
      <w:r w:rsidRPr="00187FD3">
        <w:rPr>
          <w:rFonts w:cs="Arial"/>
        </w:rPr>
        <w:t xml:space="preserve">. You would expect around 100-10,000 mitochondria (Dhiman et al., 2019). Theoretically, this PCR </w:t>
      </w:r>
      <w:r>
        <w:rPr>
          <w:rFonts w:cs="Arial"/>
        </w:rPr>
        <w:t>may be</w:t>
      </w:r>
      <w:r w:rsidRPr="00187FD3">
        <w:rPr>
          <w:rFonts w:cs="Arial"/>
        </w:rPr>
        <w:t xml:space="preserve"> on the edge of viability for single-mitochondrial sequencing.</w:t>
      </w:r>
    </w:p>
    <w:p w14:paraId="4DD68B02" w14:textId="2789BF7A" w:rsidR="001270C0" w:rsidRPr="00187FD3" w:rsidRDefault="001270C0" w:rsidP="001270C0">
      <w:pPr>
        <w:spacing w:before="0" w:after="160"/>
        <w:contextualSpacing/>
        <w:rPr>
          <w:rFonts w:eastAsia="Cambria" w:cs="Arial"/>
          <w:szCs w:val="24"/>
        </w:rPr>
      </w:pPr>
      <w:r w:rsidRPr="00187FD3">
        <w:rPr>
          <w:rFonts w:eastAsia="Cambria" w:cs="Arial"/>
          <w:szCs w:val="24"/>
        </w:rPr>
        <w:t xml:space="preserve">1g </w:t>
      </w:r>
      <w:r>
        <w:rPr>
          <w:rFonts w:eastAsia="Cambria" w:cs="Arial"/>
          <w:szCs w:val="24"/>
        </w:rPr>
        <w:t xml:space="preserve">of </w:t>
      </w:r>
      <w:r w:rsidRPr="00187FD3">
        <w:rPr>
          <w:rFonts w:eastAsia="Cambria" w:cs="Arial"/>
          <w:szCs w:val="24"/>
        </w:rPr>
        <w:t xml:space="preserve">agarose </w:t>
      </w:r>
      <w:r>
        <w:rPr>
          <w:rFonts w:eastAsia="Cambria" w:cs="Arial"/>
          <w:szCs w:val="24"/>
        </w:rPr>
        <w:t xml:space="preserve">was added </w:t>
      </w:r>
      <w:r w:rsidRPr="00187FD3">
        <w:rPr>
          <w:rFonts w:eastAsia="Cambria" w:cs="Arial"/>
          <w:szCs w:val="24"/>
        </w:rPr>
        <w:t>to 100m</w:t>
      </w:r>
      <w:r>
        <w:rPr>
          <w:rFonts w:eastAsia="Cambria" w:cs="Arial"/>
          <w:szCs w:val="24"/>
        </w:rPr>
        <w:t>L TAE buffer in a conical flask and m</w:t>
      </w:r>
      <w:r w:rsidRPr="00187FD3">
        <w:rPr>
          <w:rFonts w:eastAsia="Cambria" w:cs="Arial"/>
          <w:szCs w:val="24"/>
        </w:rPr>
        <w:t>icrowave</w:t>
      </w:r>
      <w:r>
        <w:rPr>
          <w:rFonts w:eastAsia="Cambria" w:cs="Arial"/>
          <w:szCs w:val="24"/>
        </w:rPr>
        <w:t>d</w:t>
      </w:r>
      <w:r w:rsidRPr="00187FD3">
        <w:rPr>
          <w:rFonts w:eastAsia="Cambria" w:cs="Arial"/>
          <w:szCs w:val="24"/>
        </w:rPr>
        <w:t xml:space="preserve"> for 2.5</w:t>
      </w:r>
      <w:r>
        <w:rPr>
          <w:rFonts w:eastAsia="Cambria" w:cs="Arial"/>
          <w:szCs w:val="24"/>
        </w:rPr>
        <w:t xml:space="preserve"> mins, or until fully dissolved. The flask was left </w:t>
      </w:r>
      <w:r w:rsidRPr="00187FD3">
        <w:rPr>
          <w:rFonts w:eastAsia="Cambria" w:cs="Arial"/>
          <w:szCs w:val="24"/>
        </w:rPr>
        <w:t xml:space="preserve">to cool to about 50°C. 10uL </w:t>
      </w:r>
      <w:r>
        <w:rPr>
          <w:rFonts w:eastAsia="Cambria" w:cs="Arial"/>
          <w:szCs w:val="24"/>
        </w:rPr>
        <w:t xml:space="preserve">of </w:t>
      </w:r>
      <w:proofErr w:type="spellStart"/>
      <w:r w:rsidRPr="00187FD3">
        <w:rPr>
          <w:rFonts w:eastAsia="Cambria" w:cs="Arial"/>
          <w:szCs w:val="24"/>
        </w:rPr>
        <w:t>SafeView</w:t>
      </w:r>
      <w:proofErr w:type="spellEnd"/>
      <w:r w:rsidRPr="00187FD3">
        <w:rPr>
          <w:rFonts w:eastAsia="Cambria" w:cs="Arial"/>
          <w:szCs w:val="24"/>
        </w:rPr>
        <w:t xml:space="preserve"> (</w:t>
      </w:r>
      <w:r w:rsidRPr="00187FD3">
        <w:rPr>
          <w:rFonts w:cs="Arial"/>
        </w:rPr>
        <w:t>NBS Biologicals</w:t>
      </w:r>
      <w:r w:rsidRPr="00187FD3">
        <w:rPr>
          <w:rFonts w:eastAsia="Cambria" w:cs="Arial"/>
          <w:szCs w:val="24"/>
        </w:rPr>
        <w:t xml:space="preserve">) </w:t>
      </w:r>
      <w:r>
        <w:rPr>
          <w:rFonts w:eastAsia="Cambria" w:cs="Arial"/>
          <w:szCs w:val="24"/>
        </w:rPr>
        <w:t xml:space="preserve">was added </w:t>
      </w:r>
      <w:r w:rsidRPr="00187FD3">
        <w:rPr>
          <w:rFonts w:eastAsia="Cambria" w:cs="Arial"/>
          <w:szCs w:val="24"/>
        </w:rPr>
        <w:t xml:space="preserve">and </w:t>
      </w:r>
      <w:r>
        <w:rPr>
          <w:rFonts w:eastAsia="Cambria" w:cs="Arial"/>
          <w:szCs w:val="24"/>
        </w:rPr>
        <w:t xml:space="preserve">the mixture </w:t>
      </w:r>
      <w:r w:rsidRPr="00187FD3">
        <w:rPr>
          <w:rFonts w:eastAsia="Cambria" w:cs="Arial"/>
          <w:szCs w:val="24"/>
        </w:rPr>
        <w:t>pour</w:t>
      </w:r>
      <w:r>
        <w:rPr>
          <w:rFonts w:eastAsia="Cambria" w:cs="Arial"/>
          <w:szCs w:val="24"/>
        </w:rPr>
        <w:t>ed</w:t>
      </w:r>
      <w:r w:rsidRPr="00187FD3">
        <w:rPr>
          <w:rFonts w:eastAsia="Cambria" w:cs="Arial"/>
          <w:szCs w:val="24"/>
        </w:rPr>
        <w:t xml:space="preserve"> into </w:t>
      </w:r>
      <w:r>
        <w:rPr>
          <w:rFonts w:eastAsia="Cambria" w:cs="Arial"/>
          <w:szCs w:val="24"/>
        </w:rPr>
        <w:t xml:space="preserve">the </w:t>
      </w:r>
      <w:r w:rsidRPr="00187FD3">
        <w:rPr>
          <w:rFonts w:eastAsia="Cambria" w:cs="Arial"/>
          <w:szCs w:val="24"/>
        </w:rPr>
        <w:t xml:space="preserve">gel tray with </w:t>
      </w:r>
      <w:r>
        <w:rPr>
          <w:rFonts w:eastAsia="Cambria" w:cs="Arial"/>
          <w:szCs w:val="24"/>
        </w:rPr>
        <w:t xml:space="preserve">a </w:t>
      </w:r>
      <w:r w:rsidRPr="00187FD3">
        <w:rPr>
          <w:rFonts w:eastAsia="Cambria" w:cs="Arial"/>
          <w:szCs w:val="24"/>
        </w:rPr>
        <w:t>well comb.</w:t>
      </w:r>
      <w:r>
        <w:rPr>
          <w:rFonts w:eastAsia="Cambria" w:cs="Arial"/>
          <w:szCs w:val="24"/>
        </w:rPr>
        <w:t xml:space="preserve"> After a brief period, the </w:t>
      </w:r>
      <w:r w:rsidRPr="00187FD3">
        <w:rPr>
          <w:rFonts w:eastAsia="Cambria" w:cs="Arial"/>
          <w:szCs w:val="24"/>
        </w:rPr>
        <w:t xml:space="preserve">gel </w:t>
      </w:r>
      <w:r>
        <w:rPr>
          <w:rFonts w:eastAsia="Cambria" w:cs="Arial"/>
          <w:szCs w:val="24"/>
        </w:rPr>
        <w:t xml:space="preserve">cooled </w:t>
      </w:r>
      <w:r w:rsidRPr="00187FD3">
        <w:rPr>
          <w:rFonts w:eastAsia="Cambria" w:cs="Arial"/>
          <w:szCs w:val="24"/>
        </w:rPr>
        <w:t>and harden</w:t>
      </w:r>
      <w:r>
        <w:rPr>
          <w:rFonts w:eastAsia="Cambria" w:cs="Arial"/>
          <w:szCs w:val="24"/>
        </w:rPr>
        <w:t>ed</w:t>
      </w:r>
      <w:r w:rsidRPr="00187FD3">
        <w:rPr>
          <w:rFonts w:eastAsia="Cambria" w:cs="Arial"/>
          <w:szCs w:val="24"/>
        </w:rPr>
        <w:t xml:space="preserve"> at room temperature.</w:t>
      </w:r>
      <w:r>
        <w:rPr>
          <w:rFonts w:eastAsia="Cambria" w:cs="Arial"/>
          <w:szCs w:val="24"/>
        </w:rPr>
        <w:t xml:space="preserve"> The </w:t>
      </w:r>
      <w:r w:rsidRPr="00187FD3">
        <w:rPr>
          <w:rFonts w:eastAsia="Cambria" w:cs="Arial"/>
          <w:szCs w:val="24"/>
        </w:rPr>
        <w:t xml:space="preserve">gel </w:t>
      </w:r>
      <w:r>
        <w:rPr>
          <w:rFonts w:eastAsia="Cambria" w:cs="Arial"/>
          <w:szCs w:val="24"/>
        </w:rPr>
        <w:t xml:space="preserve">was placed </w:t>
      </w:r>
      <w:r w:rsidRPr="00187FD3">
        <w:rPr>
          <w:rFonts w:eastAsia="Cambria" w:cs="Arial"/>
          <w:szCs w:val="24"/>
        </w:rPr>
        <w:t xml:space="preserve">in </w:t>
      </w:r>
      <w:r>
        <w:rPr>
          <w:rFonts w:eastAsia="Cambria" w:cs="Arial"/>
          <w:szCs w:val="24"/>
        </w:rPr>
        <w:t xml:space="preserve">a </w:t>
      </w:r>
      <w:r w:rsidRPr="00187FD3">
        <w:rPr>
          <w:rFonts w:eastAsia="Cambria" w:cs="Arial"/>
          <w:szCs w:val="24"/>
        </w:rPr>
        <w:t>gel box with TAE buffer just covering the gel.</w:t>
      </w:r>
      <w:r>
        <w:rPr>
          <w:rFonts w:eastAsia="Cambria" w:cs="Arial"/>
          <w:szCs w:val="24"/>
        </w:rPr>
        <w:t xml:space="preserve"> L</w:t>
      </w:r>
      <w:r w:rsidRPr="00187FD3">
        <w:rPr>
          <w:rFonts w:eastAsia="Cambria" w:cs="Arial"/>
          <w:szCs w:val="24"/>
        </w:rPr>
        <w:t xml:space="preserve">oading dye </w:t>
      </w:r>
      <w:r>
        <w:rPr>
          <w:rFonts w:eastAsia="Cambria" w:cs="Arial"/>
          <w:szCs w:val="24"/>
        </w:rPr>
        <w:t xml:space="preserve">was added </w:t>
      </w:r>
      <w:r w:rsidRPr="00187FD3">
        <w:rPr>
          <w:rFonts w:eastAsia="Cambria" w:cs="Arial"/>
          <w:szCs w:val="24"/>
        </w:rPr>
        <w:t xml:space="preserve">to all samples as per </w:t>
      </w:r>
      <w:r>
        <w:rPr>
          <w:rFonts w:eastAsia="Cambria" w:cs="Arial"/>
          <w:szCs w:val="24"/>
        </w:rPr>
        <w:t xml:space="preserve">the </w:t>
      </w:r>
      <w:r w:rsidRPr="00187FD3">
        <w:rPr>
          <w:rFonts w:eastAsia="Cambria" w:cs="Arial"/>
          <w:szCs w:val="24"/>
        </w:rPr>
        <w:t>manufacturer’s instructions.</w:t>
      </w:r>
      <w:r>
        <w:rPr>
          <w:rFonts w:eastAsia="Cambria" w:cs="Arial"/>
          <w:szCs w:val="24"/>
        </w:rPr>
        <w:t xml:space="preserve"> E</w:t>
      </w:r>
      <w:r w:rsidRPr="00187FD3">
        <w:rPr>
          <w:rFonts w:eastAsia="Cambria" w:cs="Arial"/>
          <w:szCs w:val="24"/>
        </w:rPr>
        <w:t>ntire sample</w:t>
      </w:r>
      <w:r>
        <w:rPr>
          <w:rFonts w:eastAsia="Cambria" w:cs="Arial"/>
          <w:szCs w:val="24"/>
        </w:rPr>
        <w:t>s</w:t>
      </w:r>
      <w:r w:rsidRPr="00187FD3">
        <w:rPr>
          <w:rFonts w:eastAsia="Cambria" w:cs="Arial"/>
          <w:szCs w:val="24"/>
        </w:rPr>
        <w:t xml:space="preserve"> </w:t>
      </w:r>
      <w:r>
        <w:rPr>
          <w:rFonts w:eastAsia="Cambria" w:cs="Arial"/>
          <w:szCs w:val="24"/>
        </w:rPr>
        <w:t xml:space="preserve">were loaded </w:t>
      </w:r>
      <w:r w:rsidRPr="00187FD3">
        <w:rPr>
          <w:rFonts w:eastAsia="Cambria" w:cs="Arial"/>
          <w:szCs w:val="24"/>
        </w:rPr>
        <w:t>into gel wells with an appropriate DNA ladder (</w:t>
      </w:r>
      <w:proofErr w:type="spellStart"/>
      <w:r w:rsidRPr="00187FD3">
        <w:rPr>
          <w:rFonts w:cs="Arial"/>
        </w:rPr>
        <w:t>Thermo</w:t>
      </w:r>
      <w:proofErr w:type="spellEnd"/>
      <w:r w:rsidRPr="00187FD3">
        <w:rPr>
          <w:rFonts w:cs="Arial"/>
        </w:rPr>
        <w:t xml:space="preserve"> Scientific SM1333</w:t>
      </w:r>
      <w:r w:rsidRPr="00187FD3">
        <w:rPr>
          <w:rFonts w:eastAsia="Cambria" w:cs="Arial"/>
          <w:szCs w:val="24"/>
        </w:rPr>
        <w:t>).</w:t>
      </w:r>
      <w:r>
        <w:rPr>
          <w:rFonts w:eastAsia="Cambria" w:cs="Arial"/>
          <w:szCs w:val="24"/>
        </w:rPr>
        <w:t xml:space="preserve"> Gels were r</w:t>
      </w:r>
      <w:r w:rsidRPr="00187FD3">
        <w:rPr>
          <w:rFonts w:eastAsia="Cambria" w:cs="Arial"/>
          <w:szCs w:val="24"/>
        </w:rPr>
        <w:t xml:space="preserve">un at 100V until bands </w:t>
      </w:r>
      <w:r>
        <w:rPr>
          <w:rFonts w:eastAsia="Cambria" w:cs="Arial"/>
          <w:szCs w:val="24"/>
        </w:rPr>
        <w:t>were</w:t>
      </w:r>
      <w:r w:rsidRPr="00187FD3">
        <w:rPr>
          <w:rFonts w:eastAsia="Cambria" w:cs="Arial"/>
          <w:szCs w:val="24"/>
        </w:rPr>
        <w:t xml:space="preserve"> 70% down the gel.</w:t>
      </w:r>
      <w:r>
        <w:rPr>
          <w:rFonts w:eastAsia="Cambria" w:cs="Arial"/>
          <w:szCs w:val="24"/>
        </w:rPr>
        <w:t xml:space="preserve"> The </w:t>
      </w:r>
      <w:r w:rsidRPr="00187FD3">
        <w:rPr>
          <w:rFonts w:eastAsia="Cambria" w:cs="Arial"/>
          <w:szCs w:val="24"/>
        </w:rPr>
        <w:t xml:space="preserve">power </w:t>
      </w:r>
      <w:r>
        <w:rPr>
          <w:rFonts w:eastAsia="Cambria" w:cs="Arial"/>
          <w:szCs w:val="24"/>
        </w:rPr>
        <w:t xml:space="preserve">was turned off </w:t>
      </w:r>
      <w:r w:rsidRPr="00187FD3">
        <w:rPr>
          <w:rFonts w:eastAsia="Cambria" w:cs="Arial"/>
          <w:szCs w:val="24"/>
        </w:rPr>
        <w:t xml:space="preserve">and </w:t>
      </w:r>
      <w:r>
        <w:rPr>
          <w:rFonts w:eastAsia="Cambria" w:cs="Arial"/>
          <w:szCs w:val="24"/>
        </w:rPr>
        <w:t xml:space="preserve">the gel was </w:t>
      </w:r>
      <w:r w:rsidRPr="00187FD3">
        <w:rPr>
          <w:rFonts w:eastAsia="Cambria" w:cs="Arial"/>
          <w:szCs w:val="24"/>
        </w:rPr>
        <w:t>carefully place</w:t>
      </w:r>
      <w:r>
        <w:rPr>
          <w:rFonts w:eastAsia="Cambria" w:cs="Arial"/>
          <w:szCs w:val="24"/>
        </w:rPr>
        <w:t>d</w:t>
      </w:r>
      <w:r w:rsidRPr="00187FD3">
        <w:rPr>
          <w:rFonts w:eastAsia="Cambria" w:cs="Arial"/>
          <w:szCs w:val="24"/>
        </w:rPr>
        <w:t xml:space="preserve"> in a gel viewer.</w:t>
      </w:r>
      <w:r>
        <w:rPr>
          <w:rFonts w:eastAsia="Cambria" w:cs="Arial"/>
          <w:szCs w:val="24"/>
        </w:rPr>
        <w:t xml:space="preserve"> Ph</w:t>
      </w:r>
      <w:r w:rsidRPr="00187FD3">
        <w:rPr>
          <w:rFonts w:eastAsia="Cambria" w:cs="Arial"/>
          <w:szCs w:val="24"/>
        </w:rPr>
        <w:t xml:space="preserve">otos of </w:t>
      </w:r>
      <w:r>
        <w:rPr>
          <w:rFonts w:eastAsia="Cambria" w:cs="Arial"/>
          <w:szCs w:val="24"/>
        </w:rPr>
        <w:t xml:space="preserve">the </w:t>
      </w:r>
      <w:r w:rsidRPr="00187FD3">
        <w:rPr>
          <w:rFonts w:eastAsia="Cambria" w:cs="Arial"/>
          <w:szCs w:val="24"/>
        </w:rPr>
        <w:t>gel</w:t>
      </w:r>
      <w:r>
        <w:rPr>
          <w:rFonts w:eastAsia="Cambria" w:cs="Arial"/>
          <w:szCs w:val="24"/>
        </w:rPr>
        <w:t xml:space="preserve"> were taken</w:t>
      </w:r>
      <w:r w:rsidRPr="00187FD3">
        <w:rPr>
          <w:rFonts w:eastAsia="Cambria" w:cs="Arial"/>
          <w:szCs w:val="24"/>
        </w:rPr>
        <w:t>.</w:t>
      </w:r>
    </w:p>
    <w:p w14:paraId="1B4BCA15" w14:textId="77777777" w:rsidR="001270C0" w:rsidRPr="00187FD3" w:rsidRDefault="001270C0" w:rsidP="001270C0">
      <w:pPr>
        <w:pStyle w:val="Heading2"/>
      </w:pPr>
      <w:bookmarkStart w:id="10" w:name="_Toc143796658"/>
      <w:r w:rsidRPr="00187FD3">
        <w:t>Gel excision</w:t>
      </w:r>
      <w:bookmarkEnd w:id="10"/>
    </w:p>
    <w:p w14:paraId="45943A6E" w14:textId="162EF2FE" w:rsidR="001270C0" w:rsidRPr="00187FD3" w:rsidRDefault="001270C0" w:rsidP="001270C0">
      <w:pPr>
        <w:spacing w:before="0" w:after="160"/>
        <w:contextualSpacing/>
        <w:rPr>
          <w:rFonts w:eastAsia="Cambria" w:cs="Arial"/>
          <w:szCs w:val="24"/>
        </w:rPr>
      </w:pPr>
      <w:r w:rsidRPr="00187FD3">
        <w:rPr>
          <w:rFonts w:eastAsia="Cambria" w:cs="Arial"/>
          <w:szCs w:val="24"/>
        </w:rPr>
        <w:t xml:space="preserve">Under a gel visualiser, 8.5kb bands </w:t>
      </w:r>
      <w:r>
        <w:rPr>
          <w:rFonts w:eastAsia="Cambria" w:cs="Arial"/>
          <w:szCs w:val="24"/>
        </w:rPr>
        <w:t xml:space="preserve">were identified indicative </w:t>
      </w:r>
      <w:r w:rsidRPr="00187FD3">
        <w:rPr>
          <w:rFonts w:eastAsia="Cambria" w:cs="Arial"/>
          <w:szCs w:val="24"/>
        </w:rPr>
        <w:t xml:space="preserve">of </w:t>
      </w:r>
      <w:r w:rsidR="00DB01C0">
        <w:rPr>
          <w:rFonts w:eastAsia="Cambria" w:cs="Arial"/>
          <w:szCs w:val="24"/>
        </w:rPr>
        <w:t>single cell</w:t>
      </w:r>
      <w:r w:rsidRPr="00187FD3">
        <w:rPr>
          <w:rFonts w:eastAsia="Cambria" w:cs="Arial"/>
          <w:szCs w:val="24"/>
        </w:rPr>
        <w:t xml:space="preserve"> reactions, as illustrated by red rectangles in </w:t>
      </w:r>
      <w:r w:rsidRPr="00187FD3">
        <w:rPr>
          <w:rFonts w:eastAsia="Cambria" w:cs="Arial"/>
          <w:b/>
          <w:bCs/>
          <w:szCs w:val="24"/>
        </w:rPr>
        <w:t>Fig. 2G</w:t>
      </w:r>
      <w:r w:rsidRPr="00187FD3">
        <w:rPr>
          <w:rFonts w:eastAsia="Cambria" w:cs="Arial"/>
          <w:szCs w:val="24"/>
        </w:rPr>
        <w:t xml:space="preserve">. UV light exposure </w:t>
      </w:r>
      <w:r>
        <w:rPr>
          <w:rFonts w:eastAsia="Cambria" w:cs="Arial"/>
          <w:szCs w:val="24"/>
        </w:rPr>
        <w:t xml:space="preserve">was minimised </w:t>
      </w:r>
      <w:r w:rsidRPr="00187FD3">
        <w:rPr>
          <w:rFonts w:eastAsia="Cambria" w:cs="Arial"/>
          <w:szCs w:val="24"/>
        </w:rPr>
        <w:t xml:space="preserve">to </w:t>
      </w:r>
      <w:r>
        <w:rPr>
          <w:rFonts w:eastAsia="Cambria" w:cs="Arial"/>
          <w:szCs w:val="24"/>
        </w:rPr>
        <w:t xml:space="preserve">limit </w:t>
      </w:r>
      <w:r w:rsidRPr="00187FD3">
        <w:rPr>
          <w:rFonts w:eastAsia="Cambria" w:cs="Arial"/>
          <w:szCs w:val="24"/>
        </w:rPr>
        <w:t>degradation of DNA.</w:t>
      </w:r>
      <w:r>
        <w:rPr>
          <w:rFonts w:eastAsia="Cambria" w:cs="Arial"/>
          <w:szCs w:val="24"/>
        </w:rPr>
        <w:t xml:space="preserve"> </w:t>
      </w:r>
      <w:r w:rsidRPr="00187FD3">
        <w:rPr>
          <w:rFonts w:eastAsia="Cambria" w:cs="Arial"/>
          <w:szCs w:val="24"/>
        </w:rPr>
        <w:t xml:space="preserve">Using a new </w:t>
      </w:r>
      <w:r w:rsidR="00E56A04">
        <w:rPr>
          <w:rFonts w:eastAsia="Cambria" w:cs="Arial"/>
          <w:szCs w:val="24"/>
        </w:rPr>
        <w:t xml:space="preserve">sterile </w:t>
      </w:r>
      <w:r w:rsidRPr="00187FD3">
        <w:rPr>
          <w:rFonts w:eastAsia="Cambria" w:cs="Arial"/>
          <w:szCs w:val="24"/>
        </w:rPr>
        <w:t xml:space="preserve">disposable scalpel, the 8.5kb band </w:t>
      </w:r>
      <w:r>
        <w:rPr>
          <w:rFonts w:eastAsia="Cambria" w:cs="Arial"/>
          <w:szCs w:val="24"/>
        </w:rPr>
        <w:t xml:space="preserve">was excised </w:t>
      </w:r>
      <w:r w:rsidRPr="00187FD3">
        <w:rPr>
          <w:rFonts w:eastAsia="Cambria" w:cs="Arial"/>
          <w:szCs w:val="24"/>
        </w:rPr>
        <w:t>and place</w:t>
      </w:r>
      <w:r>
        <w:rPr>
          <w:rFonts w:eastAsia="Cambria" w:cs="Arial"/>
          <w:szCs w:val="24"/>
        </w:rPr>
        <w:t xml:space="preserve">d </w:t>
      </w:r>
      <w:r w:rsidRPr="00187FD3">
        <w:rPr>
          <w:rFonts w:eastAsia="Cambria" w:cs="Arial"/>
          <w:szCs w:val="24"/>
        </w:rPr>
        <w:t xml:space="preserve">in </w:t>
      </w:r>
      <w:r>
        <w:rPr>
          <w:rFonts w:eastAsia="Cambria" w:cs="Arial"/>
          <w:szCs w:val="24"/>
        </w:rPr>
        <w:t xml:space="preserve">a </w:t>
      </w:r>
      <w:r w:rsidRPr="00187FD3">
        <w:rPr>
          <w:rFonts w:eastAsia="Cambria" w:cs="Arial"/>
          <w:szCs w:val="24"/>
        </w:rPr>
        <w:t xml:space="preserve">1.5mL Eppendorf tube. </w:t>
      </w:r>
      <w:r>
        <w:rPr>
          <w:rFonts w:eastAsia="Cambria" w:cs="Arial"/>
          <w:szCs w:val="24"/>
        </w:rPr>
        <w:t xml:space="preserve">The blade was </w:t>
      </w:r>
      <w:r w:rsidRPr="00187FD3">
        <w:rPr>
          <w:rFonts w:eastAsia="Cambria" w:cs="Arial"/>
          <w:szCs w:val="24"/>
        </w:rPr>
        <w:t xml:space="preserve">thoroughly </w:t>
      </w:r>
      <w:r>
        <w:rPr>
          <w:rFonts w:eastAsia="Cambria" w:cs="Arial"/>
          <w:szCs w:val="24"/>
        </w:rPr>
        <w:t xml:space="preserve">cleaned </w:t>
      </w:r>
      <w:r w:rsidRPr="00187FD3">
        <w:rPr>
          <w:rFonts w:eastAsia="Cambria" w:cs="Arial"/>
          <w:szCs w:val="24"/>
        </w:rPr>
        <w:t>with 70% IPA</w:t>
      </w:r>
      <w:r w:rsidR="00E56A04">
        <w:rPr>
          <w:rFonts w:eastAsia="Cambria" w:cs="Arial"/>
          <w:szCs w:val="24"/>
        </w:rPr>
        <w:t xml:space="preserve"> and then reused</w:t>
      </w:r>
      <w:r w:rsidRPr="00187FD3">
        <w:rPr>
          <w:rFonts w:eastAsia="Cambria" w:cs="Arial"/>
          <w:szCs w:val="24"/>
        </w:rPr>
        <w:t>.</w:t>
      </w:r>
      <w:r>
        <w:rPr>
          <w:rFonts w:eastAsia="Cambria" w:cs="Arial"/>
          <w:szCs w:val="24"/>
        </w:rPr>
        <w:t xml:space="preserve"> T</w:t>
      </w:r>
      <w:r w:rsidRPr="00187FD3">
        <w:rPr>
          <w:rFonts w:eastAsia="Cambria" w:cs="Arial"/>
          <w:szCs w:val="24"/>
        </w:rPr>
        <w:t xml:space="preserve">he Y </w:t>
      </w:r>
      <w:r w:rsidR="00DB01C0">
        <w:rPr>
          <w:rFonts w:eastAsia="Cambria" w:cs="Arial"/>
          <w:szCs w:val="24"/>
        </w:rPr>
        <w:t>single cell</w:t>
      </w:r>
      <w:r w:rsidRPr="00187FD3">
        <w:rPr>
          <w:rFonts w:eastAsia="Cambria" w:cs="Arial"/>
          <w:szCs w:val="24"/>
        </w:rPr>
        <w:t xml:space="preserve"> sample </w:t>
      </w:r>
      <w:r>
        <w:rPr>
          <w:rFonts w:eastAsia="Cambria" w:cs="Arial"/>
          <w:szCs w:val="24"/>
        </w:rPr>
        <w:t xml:space="preserve">was equally isolated </w:t>
      </w:r>
      <w:r w:rsidRPr="00187FD3">
        <w:rPr>
          <w:rFonts w:eastAsia="Cambria" w:cs="Arial"/>
          <w:szCs w:val="24"/>
        </w:rPr>
        <w:t>and place</w:t>
      </w:r>
      <w:r>
        <w:rPr>
          <w:rFonts w:eastAsia="Cambria" w:cs="Arial"/>
          <w:szCs w:val="24"/>
        </w:rPr>
        <w:t xml:space="preserve">d </w:t>
      </w:r>
      <w:r w:rsidRPr="00187FD3">
        <w:rPr>
          <w:rFonts w:eastAsia="Cambria" w:cs="Arial"/>
          <w:szCs w:val="24"/>
        </w:rPr>
        <w:t>in a separate 1.5mL Eppendorf tube.</w:t>
      </w:r>
    </w:p>
    <w:p w14:paraId="62926DA5" w14:textId="77777777" w:rsidR="001270C0" w:rsidRPr="00187FD3" w:rsidRDefault="001270C0" w:rsidP="001270C0">
      <w:pPr>
        <w:pStyle w:val="Heading2"/>
        <w:rPr>
          <w:bCs/>
        </w:rPr>
      </w:pPr>
      <w:bookmarkStart w:id="11" w:name="_Toc143796659"/>
      <w:r w:rsidRPr="00187FD3">
        <w:t>Gel purification</w:t>
      </w:r>
      <w:bookmarkEnd w:id="11"/>
    </w:p>
    <w:p w14:paraId="26852B0F" w14:textId="77777777" w:rsidR="001270C0" w:rsidRPr="00187FD3" w:rsidRDefault="001270C0" w:rsidP="001270C0">
      <w:pPr>
        <w:spacing w:before="0" w:after="160"/>
        <w:contextualSpacing/>
        <w:rPr>
          <w:rFonts w:eastAsia="Cambria" w:cs="Arial"/>
          <w:szCs w:val="24"/>
        </w:rPr>
      </w:pPr>
      <w:r>
        <w:rPr>
          <w:rFonts w:eastAsia="Cambria" w:cs="Arial"/>
          <w:szCs w:val="24"/>
        </w:rPr>
        <w:t>The</w:t>
      </w:r>
      <w:r w:rsidRPr="00187FD3">
        <w:rPr>
          <w:rFonts w:eastAsia="Cambria" w:cs="Arial"/>
          <w:szCs w:val="24"/>
        </w:rPr>
        <w:t xml:space="preserve"> </w:t>
      </w:r>
      <w:proofErr w:type="spellStart"/>
      <w:r w:rsidRPr="00187FD3">
        <w:rPr>
          <w:rFonts w:eastAsia="Cambria" w:cs="Arial"/>
          <w:szCs w:val="24"/>
        </w:rPr>
        <w:t>QIAquick</w:t>
      </w:r>
      <w:proofErr w:type="spellEnd"/>
      <w:r w:rsidRPr="00187FD3">
        <w:rPr>
          <w:rFonts w:eastAsia="Cambria" w:cs="Arial"/>
          <w:szCs w:val="24"/>
        </w:rPr>
        <w:t xml:space="preserve"> Gel Extraction protocol for “</w:t>
      </w:r>
      <w:proofErr w:type="spellStart"/>
      <w:r w:rsidRPr="00187FD3">
        <w:rPr>
          <w:rFonts w:eastAsia="Cambria" w:cs="Arial"/>
          <w:szCs w:val="24"/>
        </w:rPr>
        <w:t>QIAquick</w:t>
      </w:r>
      <w:proofErr w:type="spellEnd"/>
      <w:r w:rsidRPr="00187FD3">
        <w:rPr>
          <w:rFonts w:eastAsia="Cambria" w:cs="Arial"/>
          <w:szCs w:val="24"/>
        </w:rPr>
        <w:t xml:space="preserve"> Gel Extraction using a Microcentrifuge”.</w:t>
      </w:r>
      <w:r>
        <w:rPr>
          <w:rFonts w:eastAsia="Cambria" w:cs="Arial"/>
          <w:szCs w:val="24"/>
        </w:rPr>
        <w:t xml:space="preserve"> </w:t>
      </w:r>
      <w:r w:rsidRPr="00187FD3">
        <w:rPr>
          <w:rFonts w:eastAsia="Cambria" w:cs="Arial"/>
          <w:szCs w:val="24"/>
        </w:rPr>
        <w:t xml:space="preserve">10uL of elution buffer </w:t>
      </w:r>
      <w:r>
        <w:rPr>
          <w:rFonts w:eastAsia="Cambria" w:cs="Arial"/>
          <w:szCs w:val="24"/>
        </w:rPr>
        <w:t xml:space="preserve">was used </w:t>
      </w:r>
      <w:r w:rsidRPr="00187FD3">
        <w:rPr>
          <w:rFonts w:eastAsia="Cambria" w:cs="Arial"/>
          <w:szCs w:val="24"/>
        </w:rPr>
        <w:t>to encourage a higher final concentration</w:t>
      </w:r>
      <w:r>
        <w:rPr>
          <w:rFonts w:eastAsia="Cambria" w:cs="Arial"/>
          <w:szCs w:val="24"/>
        </w:rPr>
        <w:t>.</w:t>
      </w:r>
    </w:p>
    <w:p w14:paraId="5DD1A94D" w14:textId="77777777" w:rsidR="001270C0" w:rsidRPr="00187FD3" w:rsidRDefault="001270C0" w:rsidP="001270C0">
      <w:pPr>
        <w:rPr>
          <w:rFonts w:cs="Arial"/>
        </w:rPr>
      </w:pPr>
      <w:r w:rsidRPr="00187FD3">
        <w:rPr>
          <w:rFonts w:cs="Arial"/>
        </w:rPr>
        <w:t>STOPPING POINT: Samples can be stored at -20</w:t>
      </w:r>
      <w:r>
        <w:rPr>
          <w:rFonts w:cs="Arial"/>
          <w:color w:val="4D5156"/>
          <w:sz w:val="21"/>
          <w:szCs w:val="21"/>
          <w:shd w:val="clear" w:color="auto" w:fill="FFFFFF"/>
        </w:rPr>
        <w:t>°</w:t>
      </w:r>
      <w:r w:rsidRPr="00187FD3">
        <w:rPr>
          <w:rFonts w:cs="Arial"/>
        </w:rPr>
        <w:t>C for 2 weeks.</w:t>
      </w:r>
    </w:p>
    <w:p w14:paraId="4F58DA6B" w14:textId="77777777" w:rsidR="001270C0" w:rsidRPr="00187FD3" w:rsidRDefault="001270C0" w:rsidP="001270C0">
      <w:pPr>
        <w:pStyle w:val="Heading2"/>
      </w:pPr>
      <w:bookmarkStart w:id="12" w:name="_Toc143796660"/>
      <w:r w:rsidRPr="00187FD3">
        <w:t>Equimolar combination</w:t>
      </w:r>
      <w:bookmarkEnd w:id="12"/>
    </w:p>
    <w:p w14:paraId="1EC026D8" w14:textId="1563B013" w:rsidR="001270C0" w:rsidRPr="00187FD3" w:rsidRDefault="001270C0" w:rsidP="001270C0">
      <w:pPr>
        <w:spacing w:before="0" w:after="160"/>
        <w:contextualSpacing/>
        <w:rPr>
          <w:rFonts w:eastAsia="Cambria" w:cs="Arial"/>
          <w:szCs w:val="24"/>
        </w:rPr>
      </w:pPr>
      <w:r>
        <w:rPr>
          <w:rFonts w:eastAsia="Cambria" w:cs="Arial"/>
          <w:szCs w:val="24"/>
        </w:rPr>
        <w:t>T</w:t>
      </w:r>
      <w:r w:rsidRPr="00187FD3">
        <w:rPr>
          <w:rFonts w:eastAsia="Cambria" w:cs="Arial"/>
          <w:szCs w:val="24"/>
        </w:rPr>
        <w:t>he Qubit 1x dsDNA HS kit (</w:t>
      </w:r>
      <w:r w:rsidRPr="00187FD3">
        <w:rPr>
          <w:rFonts w:cs="Arial"/>
        </w:rPr>
        <w:t>Invitrogen Q33230</w:t>
      </w:r>
      <w:r w:rsidRPr="00187FD3">
        <w:rPr>
          <w:rFonts w:eastAsia="Cambria" w:cs="Arial"/>
          <w:szCs w:val="24"/>
        </w:rPr>
        <w:t xml:space="preserve">) </w:t>
      </w:r>
      <w:r>
        <w:rPr>
          <w:rFonts w:eastAsia="Cambria" w:cs="Arial"/>
          <w:szCs w:val="24"/>
        </w:rPr>
        <w:t xml:space="preserve">was </w:t>
      </w:r>
      <w:r w:rsidRPr="00187FD3">
        <w:rPr>
          <w:rFonts w:eastAsia="Cambria" w:cs="Arial"/>
          <w:szCs w:val="24"/>
        </w:rPr>
        <w:t>used to quantify dsDNA.</w:t>
      </w:r>
      <w:r>
        <w:rPr>
          <w:rFonts w:eastAsia="Cambria" w:cs="Arial"/>
          <w:szCs w:val="24"/>
        </w:rPr>
        <w:t xml:space="preserve"> K</w:t>
      </w:r>
      <w:r w:rsidRPr="00187FD3">
        <w:rPr>
          <w:rFonts w:eastAsia="Cambria" w:cs="Arial"/>
          <w:szCs w:val="24"/>
        </w:rPr>
        <w:t xml:space="preserve">it components </w:t>
      </w:r>
      <w:r>
        <w:rPr>
          <w:rFonts w:eastAsia="Cambria" w:cs="Arial"/>
          <w:szCs w:val="24"/>
        </w:rPr>
        <w:t xml:space="preserve">were allowed </w:t>
      </w:r>
      <w:r w:rsidRPr="00187FD3">
        <w:rPr>
          <w:rFonts w:eastAsia="Cambria" w:cs="Arial"/>
          <w:szCs w:val="24"/>
        </w:rPr>
        <w:t xml:space="preserve">to equilibrate to room temperature for 30 mins. 10uL of Standard 1 </w:t>
      </w:r>
      <w:r>
        <w:rPr>
          <w:rFonts w:eastAsia="Cambria" w:cs="Arial"/>
          <w:szCs w:val="24"/>
        </w:rPr>
        <w:t xml:space="preserve">was added </w:t>
      </w:r>
      <w:r w:rsidRPr="00187FD3">
        <w:rPr>
          <w:rFonts w:eastAsia="Cambria" w:cs="Arial"/>
          <w:szCs w:val="24"/>
        </w:rPr>
        <w:t xml:space="preserve">to a Qubit tube, and 10uL Standard 2 to a separate Qubit tube. 190uL of 1x buffer </w:t>
      </w:r>
      <w:r>
        <w:rPr>
          <w:rFonts w:eastAsia="Cambria" w:cs="Arial"/>
          <w:szCs w:val="24"/>
        </w:rPr>
        <w:t xml:space="preserve">was added </w:t>
      </w:r>
      <w:r w:rsidRPr="00187FD3">
        <w:rPr>
          <w:rFonts w:eastAsia="Cambria" w:cs="Arial"/>
          <w:szCs w:val="24"/>
        </w:rPr>
        <w:t>to each. 1uL of each X and Y fragment</w:t>
      </w:r>
      <w:r>
        <w:rPr>
          <w:rFonts w:eastAsia="Cambria" w:cs="Arial"/>
          <w:szCs w:val="24"/>
        </w:rPr>
        <w:t>s</w:t>
      </w:r>
      <w:r w:rsidRPr="00187FD3">
        <w:rPr>
          <w:rFonts w:eastAsia="Cambria" w:cs="Arial"/>
          <w:szCs w:val="24"/>
        </w:rPr>
        <w:t xml:space="preserve"> </w:t>
      </w:r>
      <w:r>
        <w:rPr>
          <w:rFonts w:eastAsia="Cambria" w:cs="Arial"/>
          <w:szCs w:val="24"/>
        </w:rPr>
        <w:t xml:space="preserve">was added </w:t>
      </w:r>
      <w:r w:rsidRPr="00187FD3">
        <w:rPr>
          <w:rFonts w:eastAsia="Cambria" w:cs="Arial"/>
          <w:szCs w:val="24"/>
        </w:rPr>
        <w:t xml:space="preserve">to </w:t>
      </w:r>
      <w:r>
        <w:rPr>
          <w:rFonts w:eastAsia="Cambria" w:cs="Arial"/>
          <w:szCs w:val="24"/>
        </w:rPr>
        <w:t xml:space="preserve">the </w:t>
      </w:r>
      <w:r w:rsidRPr="00187FD3">
        <w:rPr>
          <w:rFonts w:eastAsia="Cambria" w:cs="Arial"/>
          <w:szCs w:val="24"/>
        </w:rPr>
        <w:t xml:space="preserve">separate Qubit tubes and 199uL of 1x buffer </w:t>
      </w:r>
      <w:r>
        <w:rPr>
          <w:rFonts w:eastAsia="Cambria" w:cs="Arial"/>
          <w:szCs w:val="24"/>
        </w:rPr>
        <w:t xml:space="preserve">was added </w:t>
      </w:r>
      <w:r w:rsidRPr="00187FD3">
        <w:rPr>
          <w:rFonts w:eastAsia="Cambria" w:cs="Arial"/>
          <w:szCs w:val="24"/>
        </w:rPr>
        <w:t>to each.</w:t>
      </w:r>
      <w:r>
        <w:rPr>
          <w:rFonts w:eastAsia="Cambria" w:cs="Arial"/>
          <w:szCs w:val="24"/>
        </w:rPr>
        <w:t xml:space="preserve"> Tubes were v</w:t>
      </w:r>
      <w:r w:rsidRPr="00187FD3">
        <w:rPr>
          <w:rFonts w:eastAsia="Cambria" w:cs="Arial"/>
          <w:szCs w:val="24"/>
        </w:rPr>
        <w:t>ortex</w:t>
      </w:r>
      <w:r>
        <w:rPr>
          <w:rFonts w:eastAsia="Cambria" w:cs="Arial"/>
          <w:szCs w:val="24"/>
        </w:rPr>
        <w:t>ed</w:t>
      </w:r>
      <w:r w:rsidRPr="00187FD3">
        <w:rPr>
          <w:rFonts w:eastAsia="Cambria" w:cs="Arial"/>
          <w:szCs w:val="24"/>
        </w:rPr>
        <w:t xml:space="preserve"> for 2-3 seconds and </w:t>
      </w:r>
      <w:r>
        <w:rPr>
          <w:rFonts w:eastAsia="Cambria" w:cs="Arial"/>
          <w:szCs w:val="24"/>
        </w:rPr>
        <w:t xml:space="preserve">left </w:t>
      </w:r>
      <w:r w:rsidRPr="00187FD3">
        <w:rPr>
          <w:rFonts w:eastAsia="Cambria" w:cs="Arial"/>
          <w:szCs w:val="24"/>
        </w:rPr>
        <w:t>at room temperature for 2 mins.</w:t>
      </w:r>
      <w:r>
        <w:rPr>
          <w:rFonts w:eastAsia="Cambria" w:cs="Arial"/>
          <w:szCs w:val="24"/>
        </w:rPr>
        <w:t xml:space="preserve"> The </w:t>
      </w:r>
      <w:r w:rsidRPr="00187FD3">
        <w:rPr>
          <w:rFonts w:eastAsia="Cambria" w:cs="Arial"/>
          <w:szCs w:val="24"/>
        </w:rPr>
        <w:t xml:space="preserve">concentration of standards 1 and 2 </w:t>
      </w:r>
      <w:r>
        <w:rPr>
          <w:rFonts w:eastAsia="Cambria" w:cs="Arial"/>
          <w:szCs w:val="24"/>
        </w:rPr>
        <w:t xml:space="preserve">were measured </w:t>
      </w:r>
      <w:r w:rsidRPr="00187FD3">
        <w:rPr>
          <w:rFonts w:eastAsia="Cambria" w:cs="Arial"/>
          <w:szCs w:val="24"/>
        </w:rPr>
        <w:t xml:space="preserve">using </w:t>
      </w:r>
      <w:r>
        <w:rPr>
          <w:rFonts w:eastAsia="Cambria" w:cs="Arial"/>
          <w:szCs w:val="24"/>
        </w:rPr>
        <w:t xml:space="preserve">the </w:t>
      </w:r>
      <w:r w:rsidRPr="00187FD3">
        <w:rPr>
          <w:rFonts w:eastAsia="Cambria" w:cs="Arial"/>
          <w:szCs w:val="24"/>
        </w:rPr>
        <w:t>Qubit (</w:t>
      </w:r>
      <w:r w:rsidRPr="00187FD3">
        <w:rPr>
          <w:rFonts w:cs="Arial"/>
        </w:rPr>
        <w:t>Invitrogen</w:t>
      </w:r>
      <w:r w:rsidRPr="00187FD3">
        <w:rPr>
          <w:rFonts w:eastAsia="Cambria" w:cs="Arial"/>
          <w:szCs w:val="24"/>
        </w:rPr>
        <w:t>).</w:t>
      </w:r>
      <w:r>
        <w:rPr>
          <w:rFonts w:eastAsia="Cambria" w:cs="Arial"/>
          <w:szCs w:val="24"/>
        </w:rPr>
        <w:t xml:space="preserve"> The </w:t>
      </w:r>
      <w:r w:rsidRPr="00187FD3">
        <w:rPr>
          <w:rFonts w:eastAsia="Cambria" w:cs="Arial"/>
          <w:szCs w:val="24"/>
        </w:rPr>
        <w:t xml:space="preserve">concentration of samples </w:t>
      </w:r>
      <w:r>
        <w:rPr>
          <w:rFonts w:eastAsia="Cambria" w:cs="Arial"/>
          <w:szCs w:val="24"/>
        </w:rPr>
        <w:t xml:space="preserve">was measured </w:t>
      </w:r>
      <w:r w:rsidRPr="00187FD3">
        <w:rPr>
          <w:rFonts w:eastAsia="Cambria" w:cs="Arial"/>
          <w:szCs w:val="24"/>
        </w:rPr>
        <w:t xml:space="preserve">using </w:t>
      </w:r>
      <w:r>
        <w:rPr>
          <w:rFonts w:eastAsia="Cambria" w:cs="Arial"/>
          <w:szCs w:val="24"/>
        </w:rPr>
        <w:t xml:space="preserve">the </w:t>
      </w:r>
      <w:r w:rsidRPr="00187FD3">
        <w:rPr>
          <w:rFonts w:eastAsia="Cambria" w:cs="Arial"/>
          <w:szCs w:val="24"/>
        </w:rPr>
        <w:t>Qubit.</w:t>
      </w:r>
      <w:r>
        <w:rPr>
          <w:rFonts w:eastAsia="Cambria" w:cs="Arial"/>
          <w:szCs w:val="24"/>
        </w:rPr>
        <w:t xml:space="preserve"> The </w:t>
      </w:r>
      <w:r w:rsidRPr="00187FD3">
        <w:rPr>
          <w:rFonts w:eastAsia="Cambria" w:cs="Arial"/>
          <w:szCs w:val="24"/>
        </w:rPr>
        <w:t xml:space="preserve">volume required to aliquot 1ng of the X fragment and Y fragment from the same cell </w:t>
      </w:r>
      <w:r>
        <w:rPr>
          <w:rFonts w:eastAsia="Cambria" w:cs="Arial"/>
          <w:szCs w:val="24"/>
        </w:rPr>
        <w:t xml:space="preserve">was calculated </w:t>
      </w:r>
      <w:r w:rsidRPr="00187FD3">
        <w:rPr>
          <w:rFonts w:eastAsia="Cambria" w:cs="Arial"/>
          <w:szCs w:val="24"/>
        </w:rPr>
        <w:t xml:space="preserve">and </w:t>
      </w:r>
      <w:r>
        <w:rPr>
          <w:rFonts w:eastAsia="Cambria" w:cs="Arial"/>
          <w:szCs w:val="24"/>
        </w:rPr>
        <w:t xml:space="preserve">these volumes </w:t>
      </w:r>
      <w:r w:rsidRPr="00187FD3">
        <w:rPr>
          <w:rFonts w:eastAsia="Cambria" w:cs="Arial"/>
          <w:szCs w:val="24"/>
        </w:rPr>
        <w:t>combine</w:t>
      </w:r>
      <w:r>
        <w:rPr>
          <w:rFonts w:eastAsia="Cambria" w:cs="Arial"/>
          <w:szCs w:val="24"/>
        </w:rPr>
        <w:t xml:space="preserve">d </w:t>
      </w:r>
      <w:r w:rsidRPr="00187FD3">
        <w:rPr>
          <w:rFonts w:eastAsia="Cambria" w:cs="Arial"/>
          <w:szCs w:val="24"/>
        </w:rPr>
        <w:t xml:space="preserve">in a new Lo-bind tube. There </w:t>
      </w:r>
      <w:r>
        <w:rPr>
          <w:rFonts w:eastAsia="Cambria" w:cs="Arial"/>
          <w:szCs w:val="24"/>
        </w:rPr>
        <w:t xml:space="preserve">should be </w:t>
      </w:r>
      <w:r w:rsidRPr="00187FD3">
        <w:rPr>
          <w:rFonts w:eastAsia="Cambria" w:cs="Arial"/>
          <w:szCs w:val="24"/>
        </w:rPr>
        <w:t xml:space="preserve">a total of 2ng of mtDNA from </w:t>
      </w:r>
      <w:r>
        <w:rPr>
          <w:rFonts w:eastAsia="Cambria" w:cs="Arial"/>
          <w:szCs w:val="24"/>
        </w:rPr>
        <w:t xml:space="preserve">each </w:t>
      </w:r>
      <w:r w:rsidR="00DB01C0">
        <w:rPr>
          <w:rFonts w:eastAsia="Cambria" w:cs="Arial"/>
          <w:szCs w:val="24"/>
        </w:rPr>
        <w:t>single cell</w:t>
      </w:r>
      <w:r>
        <w:rPr>
          <w:rFonts w:eastAsia="Cambria" w:cs="Arial"/>
          <w:szCs w:val="24"/>
        </w:rPr>
        <w:t>. L</w:t>
      </w:r>
      <w:r w:rsidRPr="00187FD3">
        <w:rPr>
          <w:rFonts w:eastAsia="Cambria" w:cs="Arial"/>
          <w:szCs w:val="24"/>
        </w:rPr>
        <w:t xml:space="preserve">ow concentrations </w:t>
      </w:r>
      <w:r>
        <w:rPr>
          <w:rFonts w:eastAsia="Cambria" w:cs="Arial"/>
          <w:szCs w:val="24"/>
        </w:rPr>
        <w:t xml:space="preserve">were expected </w:t>
      </w:r>
      <w:r w:rsidRPr="00187FD3">
        <w:rPr>
          <w:rFonts w:eastAsia="Cambria" w:cs="Arial"/>
          <w:szCs w:val="24"/>
        </w:rPr>
        <w:t xml:space="preserve">from our </w:t>
      </w:r>
      <w:r w:rsidR="00DB01C0">
        <w:rPr>
          <w:rFonts w:eastAsia="Cambria" w:cs="Arial"/>
          <w:szCs w:val="24"/>
        </w:rPr>
        <w:t>single cell</w:t>
      </w:r>
      <w:r w:rsidRPr="00187FD3">
        <w:rPr>
          <w:rFonts w:eastAsia="Cambria" w:cs="Arial"/>
          <w:szCs w:val="24"/>
        </w:rPr>
        <w:t xml:space="preserve"> samples.</w:t>
      </w:r>
    </w:p>
    <w:p w14:paraId="4C9EFC7E" w14:textId="77777777" w:rsidR="001270C0" w:rsidRPr="00187FD3" w:rsidRDefault="001270C0" w:rsidP="001270C0">
      <w:pPr>
        <w:pStyle w:val="Heading2"/>
      </w:pPr>
      <w:bookmarkStart w:id="13" w:name="_Toc143796661"/>
      <w:r w:rsidRPr="00187FD3">
        <w:t>Library Prep</w:t>
      </w:r>
      <w:bookmarkEnd w:id="13"/>
    </w:p>
    <w:p w14:paraId="2115618D" w14:textId="77777777" w:rsidR="00E56A04" w:rsidRDefault="001270C0" w:rsidP="001270C0">
      <w:pPr>
        <w:spacing w:before="0" w:after="160"/>
        <w:contextualSpacing/>
        <w:rPr>
          <w:rFonts w:cs="Arial"/>
        </w:rPr>
      </w:pPr>
      <w:r>
        <w:rPr>
          <w:rFonts w:eastAsia="Cambria" w:cs="Arial"/>
          <w:szCs w:val="24"/>
        </w:rPr>
        <w:t xml:space="preserve">The </w:t>
      </w:r>
      <w:r w:rsidRPr="00187FD3">
        <w:rPr>
          <w:rFonts w:eastAsia="Cambria" w:cs="Arial"/>
          <w:szCs w:val="24"/>
        </w:rPr>
        <w:t>Illumina DNA Prep protocol</w:t>
      </w:r>
      <w:r>
        <w:rPr>
          <w:rFonts w:eastAsia="Cambria" w:cs="Arial"/>
          <w:szCs w:val="24"/>
        </w:rPr>
        <w:t xml:space="preserve"> was followed</w:t>
      </w:r>
      <w:r w:rsidRPr="00187FD3">
        <w:rPr>
          <w:rFonts w:eastAsia="Cambria" w:cs="Arial"/>
          <w:szCs w:val="24"/>
        </w:rPr>
        <w:t xml:space="preserve">, using </w:t>
      </w:r>
      <w:r w:rsidRPr="00187FD3">
        <w:rPr>
          <w:rFonts w:cs="Arial"/>
        </w:rPr>
        <w:t xml:space="preserve">IDT for Illumina DNA/RNA UD Indexes Set A, </w:t>
      </w:r>
      <w:proofErr w:type="spellStart"/>
      <w:r w:rsidRPr="00187FD3">
        <w:rPr>
          <w:rFonts w:cs="Arial"/>
        </w:rPr>
        <w:t>Tagmentation</w:t>
      </w:r>
      <w:proofErr w:type="spellEnd"/>
      <w:r w:rsidRPr="00187FD3">
        <w:rPr>
          <w:rFonts w:cs="Arial"/>
        </w:rPr>
        <w:t xml:space="preserve"> (96 Indexes, 96 Samples) (Illumina 20027213)</w:t>
      </w:r>
      <w:r w:rsidRPr="00187FD3">
        <w:rPr>
          <w:rFonts w:eastAsia="Cambria" w:cs="Arial"/>
          <w:szCs w:val="24"/>
        </w:rPr>
        <w:t xml:space="preserve">. Each </w:t>
      </w:r>
      <w:r w:rsidR="00DB01C0">
        <w:rPr>
          <w:rFonts w:eastAsia="Cambria" w:cs="Arial"/>
          <w:szCs w:val="24"/>
        </w:rPr>
        <w:t>single cell</w:t>
      </w:r>
      <w:r w:rsidRPr="00187FD3">
        <w:rPr>
          <w:rFonts w:eastAsia="Cambria" w:cs="Arial"/>
          <w:szCs w:val="24"/>
        </w:rPr>
        <w:t xml:space="preserve"> should have a unique pair of indexes.</w:t>
      </w:r>
      <w:r>
        <w:rPr>
          <w:rFonts w:eastAsia="Cambria" w:cs="Arial"/>
          <w:szCs w:val="24"/>
        </w:rPr>
        <w:t xml:space="preserve"> The </w:t>
      </w:r>
      <w:r w:rsidRPr="00187FD3">
        <w:rPr>
          <w:rFonts w:eastAsia="Cambria" w:cs="Arial"/>
          <w:szCs w:val="24"/>
        </w:rPr>
        <w:t xml:space="preserve">library </w:t>
      </w:r>
      <w:r>
        <w:rPr>
          <w:rFonts w:eastAsia="Cambria" w:cs="Arial"/>
          <w:szCs w:val="24"/>
        </w:rPr>
        <w:t>q</w:t>
      </w:r>
      <w:r w:rsidRPr="00187FD3">
        <w:rPr>
          <w:rFonts w:eastAsia="Cambria" w:cs="Arial"/>
          <w:szCs w:val="24"/>
        </w:rPr>
        <w:t xml:space="preserve">uality of </w:t>
      </w:r>
      <w:r>
        <w:rPr>
          <w:rFonts w:eastAsia="Cambria" w:cs="Arial"/>
          <w:szCs w:val="24"/>
        </w:rPr>
        <w:t xml:space="preserve">the </w:t>
      </w:r>
      <w:r w:rsidRPr="00187FD3">
        <w:rPr>
          <w:rFonts w:eastAsia="Cambria" w:cs="Arial"/>
          <w:szCs w:val="24"/>
        </w:rPr>
        <w:t>cleaned</w:t>
      </w:r>
      <w:r>
        <w:rPr>
          <w:rFonts w:eastAsia="Cambria" w:cs="Arial"/>
          <w:szCs w:val="24"/>
        </w:rPr>
        <w:t>-</w:t>
      </w:r>
      <w:r w:rsidRPr="00187FD3">
        <w:rPr>
          <w:rFonts w:eastAsia="Cambria" w:cs="Arial"/>
          <w:szCs w:val="24"/>
        </w:rPr>
        <w:t xml:space="preserve">up library </w:t>
      </w:r>
      <w:r>
        <w:rPr>
          <w:rFonts w:eastAsia="Cambria" w:cs="Arial"/>
          <w:szCs w:val="24"/>
        </w:rPr>
        <w:t xml:space="preserve">was checked </w:t>
      </w:r>
      <w:r w:rsidRPr="00187FD3">
        <w:rPr>
          <w:rFonts w:eastAsia="Cambria" w:cs="Arial"/>
          <w:szCs w:val="24"/>
        </w:rPr>
        <w:t>by running 1uL on a Tapestation D5000 microwell.</w:t>
      </w:r>
      <w:r>
        <w:rPr>
          <w:rFonts w:eastAsia="Cambria" w:cs="Arial"/>
          <w:szCs w:val="24"/>
        </w:rPr>
        <w:t xml:space="preserve"> The libraries were c</w:t>
      </w:r>
      <w:r w:rsidRPr="00187FD3">
        <w:rPr>
          <w:rFonts w:eastAsia="Cambria" w:cs="Arial"/>
          <w:szCs w:val="24"/>
        </w:rPr>
        <w:t>ombine</w:t>
      </w:r>
      <w:r>
        <w:rPr>
          <w:rFonts w:eastAsia="Cambria" w:cs="Arial"/>
          <w:szCs w:val="24"/>
        </w:rPr>
        <w:t>d</w:t>
      </w:r>
      <w:r w:rsidRPr="00187FD3">
        <w:rPr>
          <w:rFonts w:eastAsia="Cambria" w:cs="Arial"/>
          <w:szCs w:val="24"/>
        </w:rPr>
        <w:t xml:space="preserve"> and dilute</w:t>
      </w:r>
      <w:r>
        <w:rPr>
          <w:rFonts w:eastAsia="Cambria" w:cs="Arial"/>
          <w:szCs w:val="24"/>
        </w:rPr>
        <w:t>d</w:t>
      </w:r>
      <w:r w:rsidRPr="00187FD3">
        <w:rPr>
          <w:rFonts w:eastAsia="Cambria" w:cs="Arial"/>
          <w:szCs w:val="24"/>
        </w:rPr>
        <w:t xml:space="preserve"> to a 2nM starting concentration as per </w:t>
      </w:r>
      <w:r>
        <w:rPr>
          <w:rFonts w:eastAsia="Cambria" w:cs="Arial"/>
          <w:szCs w:val="24"/>
        </w:rPr>
        <w:t xml:space="preserve">the </w:t>
      </w:r>
      <w:r w:rsidRPr="00187FD3">
        <w:rPr>
          <w:rFonts w:eastAsia="Cambria" w:cs="Arial"/>
          <w:szCs w:val="24"/>
        </w:rPr>
        <w:t>manufacturer’s instructions.</w:t>
      </w:r>
      <w:r>
        <w:rPr>
          <w:rFonts w:eastAsia="Cambria" w:cs="Arial"/>
          <w:szCs w:val="24"/>
        </w:rPr>
        <w:t xml:space="preserve"> </w:t>
      </w:r>
    </w:p>
    <w:p w14:paraId="0A494751" w14:textId="55B8D1F8" w:rsidR="001270C0" w:rsidRPr="00187FD3" w:rsidRDefault="00E56A04" w:rsidP="001270C0">
      <w:pPr>
        <w:spacing w:before="0" w:after="160"/>
        <w:contextualSpacing/>
        <w:rPr>
          <w:rFonts w:cs="Arial"/>
        </w:rPr>
      </w:pPr>
      <w:r>
        <w:rPr>
          <w:rFonts w:cs="Arial"/>
        </w:rPr>
        <w:t>STOPPING POINT: Sa</w:t>
      </w:r>
      <w:r w:rsidR="001270C0">
        <w:rPr>
          <w:rFonts w:cs="Arial"/>
        </w:rPr>
        <w:t>mple</w:t>
      </w:r>
      <w:r>
        <w:rPr>
          <w:rFonts w:cs="Arial"/>
        </w:rPr>
        <w:t>s</w:t>
      </w:r>
      <w:r w:rsidR="001270C0">
        <w:rPr>
          <w:rFonts w:cs="Arial"/>
        </w:rPr>
        <w:t xml:space="preserve"> </w:t>
      </w:r>
      <w:r w:rsidR="001270C0" w:rsidRPr="00187FD3">
        <w:rPr>
          <w:rFonts w:cs="Arial"/>
        </w:rPr>
        <w:t xml:space="preserve">can </w:t>
      </w:r>
      <w:r w:rsidR="001270C0">
        <w:rPr>
          <w:rFonts w:cs="Arial"/>
        </w:rPr>
        <w:t xml:space="preserve">be </w:t>
      </w:r>
      <w:r w:rsidR="001270C0" w:rsidRPr="00187FD3">
        <w:rPr>
          <w:rFonts w:cs="Arial"/>
        </w:rPr>
        <w:t>store</w:t>
      </w:r>
      <w:r w:rsidR="001270C0">
        <w:rPr>
          <w:rFonts w:cs="Arial"/>
        </w:rPr>
        <w:t>d</w:t>
      </w:r>
      <w:r w:rsidR="001270C0" w:rsidRPr="00187FD3">
        <w:rPr>
          <w:rFonts w:cs="Arial"/>
        </w:rPr>
        <w:t xml:space="preserve"> at -20</w:t>
      </w:r>
      <w:r w:rsidR="001270C0">
        <w:rPr>
          <w:rFonts w:cs="Arial"/>
          <w:color w:val="4D5156"/>
          <w:sz w:val="21"/>
          <w:szCs w:val="21"/>
          <w:shd w:val="clear" w:color="auto" w:fill="FFFFFF"/>
        </w:rPr>
        <w:t>°</w:t>
      </w:r>
      <w:r w:rsidR="001270C0" w:rsidRPr="00187FD3">
        <w:rPr>
          <w:rFonts w:cs="Arial"/>
        </w:rPr>
        <w:t>C for 30 days</w:t>
      </w:r>
      <w:r w:rsidR="00DB01C0">
        <w:rPr>
          <w:rFonts w:cs="Arial"/>
        </w:rPr>
        <w:t>.</w:t>
      </w:r>
    </w:p>
    <w:p w14:paraId="3841A43A" w14:textId="77777777" w:rsidR="001270C0" w:rsidRPr="00187FD3" w:rsidRDefault="001270C0" w:rsidP="001270C0">
      <w:pPr>
        <w:pStyle w:val="Heading2"/>
      </w:pPr>
      <w:bookmarkStart w:id="14" w:name="_Toc143796662"/>
      <w:r w:rsidRPr="00187FD3">
        <w:lastRenderedPageBreak/>
        <w:t>Sequencing</w:t>
      </w:r>
      <w:bookmarkEnd w:id="14"/>
    </w:p>
    <w:p w14:paraId="49460895" w14:textId="77777777" w:rsidR="001270C0" w:rsidRPr="00187FD3" w:rsidRDefault="001270C0" w:rsidP="001270C0">
      <w:pPr>
        <w:rPr>
          <w:rFonts w:cs="Arial"/>
        </w:rPr>
      </w:pPr>
      <w:r w:rsidRPr="00187FD3">
        <w:rPr>
          <w:rFonts w:cs="Arial"/>
        </w:rPr>
        <w:t xml:space="preserve">Libraries generated using Illumina DNA Prep </w:t>
      </w:r>
      <w:r>
        <w:rPr>
          <w:rFonts w:cs="Arial"/>
        </w:rPr>
        <w:t>were</w:t>
      </w:r>
      <w:r w:rsidRPr="00187FD3">
        <w:rPr>
          <w:rFonts w:cs="Arial"/>
        </w:rPr>
        <w:t xml:space="preserve"> compatible with a wide range of Illumina sequencers including </w:t>
      </w:r>
      <w:proofErr w:type="spellStart"/>
      <w:r w:rsidRPr="00187FD3">
        <w:rPr>
          <w:rFonts w:cs="Arial"/>
        </w:rPr>
        <w:t>HiSeq</w:t>
      </w:r>
      <w:proofErr w:type="spellEnd"/>
      <w:r w:rsidRPr="00187FD3">
        <w:rPr>
          <w:rFonts w:cs="Arial"/>
        </w:rPr>
        <w:t xml:space="preserve">, iSeq100, </w:t>
      </w:r>
      <w:proofErr w:type="spellStart"/>
      <w:r w:rsidRPr="00187FD3">
        <w:rPr>
          <w:rFonts w:cs="Arial"/>
        </w:rPr>
        <w:t>MiniSeq</w:t>
      </w:r>
      <w:proofErr w:type="spellEnd"/>
      <w:r w:rsidRPr="00187FD3">
        <w:rPr>
          <w:rFonts w:cs="Arial"/>
        </w:rPr>
        <w:t xml:space="preserve">, </w:t>
      </w:r>
      <w:proofErr w:type="spellStart"/>
      <w:r w:rsidRPr="00187FD3">
        <w:rPr>
          <w:rFonts w:cs="Arial"/>
        </w:rPr>
        <w:t>Ne</w:t>
      </w:r>
      <w:r>
        <w:rPr>
          <w:rFonts w:cs="Arial"/>
        </w:rPr>
        <w:t>xtSeq</w:t>
      </w:r>
      <w:proofErr w:type="spellEnd"/>
      <w:r>
        <w:rPr>
          <w:rFonts w:cs="Arial"/>
        </w:rPr>
        <w:t xml:space="preserve"> and </w:t>
      </w:r>
      <w:proofErr w:type="spellStart"/>
      <w:r>
        <w:rPr>
          <w:rFonts w:cs="Arial"/>
        </w:rPr>
        <w:t>NovaSeq</w:t>
      </w:r>
      <w:proofErr w:type="spellEnd"/>
      <w:r>
        <w:rPr>
          <w:rFonts w:cs="Arial"/>
        </w:rPr>
        <w:t xml:space="preserve"> technologies.</w:t>
      </w:r>
    </w:p>
    <w:p w14:paraId="1EC408DC" w14:textId="1FA92168" w:rsidR="001270C0" w:rsidRPr="00187FD3" w:rsidRDefault="001270C0" w:rsidP="001270C0">
      <w:pPr>
        <w:spacing w:before="0" w:after="160"/>
        <w:contextualSpacing/>
        <w:rPr>
          <w:rFonts w:eastAsia="Cambria" w:cs="Arial"/>
          <w:szCs w:val="24"/>
        </w:rPr>
      </w:pPr>
      <w:r>
        <w:rPr>
          <w:rFonts w:eastAsia="Cambria" w:cs="Arial"/>
          <w:szCs w:val="24"/>
        </w:rPr>
        <w:t xml:space="preserve">The </w:t>
      </w:r>
      <w:r w:rsidRPr="00187FD3">
        <w:rPr>
          <w:rFonts w:eastAsia="Cambria" w:cs="Arial"/>
          <w:szCs w:val="24"/>
        </w:rPr>
        <w:t xml:space="preserve">iSeq cartridge and flow cell </w:t>
      </w:r>
      <w:r>
        <w:rPr>
          <w:rFonts w:eastAsia="Cambria" w:cs="Arial"/>
          <w:szCs w:val="24"/>
        </w:rPr>
        <w:t xml:space="preserve">were prepared </w:t>
      </w:r>
      <w:r w:rsidRPr="00187FD3">
        <w:rPr>
          <w:rFonts w:eastAsia="Cambria" w:cs="Arial"/>
          <w:szCs w:val="24"/>
        </w:rPr>
        <w:t xml:space="preserve">as per </w:t>
      </w:r>
      <w:r>
        <w:rPr>
          <w:rFonts w:eastAsia="Cambria" w:cs="Arial"/>
          <w:szCs w:val="24"/>
        </w:rPr>
        <w:t xml:space="preserve">the </w:t>
      </w:r>
      <w:r w:rsidRPr="00187FD3">
        <w:rPr>
          <w:rFonts w:eastAsia="Cambria" w:cs="Arial"/>
          <w:szCs w:val="24"/>
        </w:rPr>
        <w:t>manufacturer’s instructions (</w:t>
      </w:r>
      <w:r w:rsidRPr="00187FD3">
        <w:rPr>
          <w:rFonts w:cs="Arial"/>
        </w:rPr>
        <w:t>Illumina 20031371</w:t>
      </w:r>
      <w:r w:rsidRPr="00187FD3">
        <w:rPr>
          <w:rFonts w:eastAsia="Cambria" w:cs="Arial"/>
          <w:szCs w:val="24"/>
        </w:rPr>
        <w:t xml:space="preserve">). 2% </w:t>
      </w:r>
      <w:proofErr w:type="spellStart"/>
      <w:r w:rsidRPr="00187FD3">
        <w:rPr>
          <w:rFonts w:eastAsia="Cambria" w:cs="Arial"/>
          <w:szCs w:val="24"/>
        </w:rPr>
        <w:t>PhiX</w:t>
      </w:r>
      <w:proofErr w:type="spellEnd"/>
      <w:r w:rsidRPr="00187FD3">
        <w:rPr>
          <w:rFonts w:eastAsia="Cambria" w:cs="Arial"/>
          <w:szCs w:val="24"/>
        </w:rPr>
        <w:t xml:space="preserve"> (</w:t>
      </w:r>
      <w:r w:rsidRPr="00187FD3">
        <w:rPr>
          <w:rFonts w:cs="Arial"/>
        </w:rPr>
        <w:t>Illumina FC-110-3001</w:t>
      </w:r>
      <w:r w:rsidRPr="00187FD3">
        <w:rPr>
          <w:rFonts w:eastAsia="Cambria" w:cs="Arial"/>
          <w:szCs w:val="24"/>
        </w:rPr>
        <w:t>) spike-in</w:t>
      </w:r>
      <w:r>
        <w:rPr>
          <w:rFonts w:eastAsia="Cambria" w:cs="Arial"/>
          <w:szCs w:val="24"/>
        </w:rPr>
        <w:t xml:space="preserve"> was added</w:t>
      </w:r>
      <w:r w:rsidRPr="00187FD3">
        <w:rPr>
          <w:rFonts w:eastAsia="Cambria" w:cs="Arial"/>
          <w:szCs w:val="24"/>
        </w:rPr>
        <w:t>.</w:t>
      </w:r>
      <w:r>
        <w:rPr>
          <w:rFonts w:eastAsia="Cambria" w:cs="Arial"/>
          <w:szCs w:val="24"/>
        </w:rPr>
        <w:t xml:space="preserve"> The </w:t>
      </w:r>
      <w:r w:rsidRPr="00187FD3">
        <w:rPr>
          <w:rFonts w:eastAsia="Cambria" w:cs="Arial"/>
          <w:szCs w:val="24"/>
        </w:rPr>
        <w:t xml:space="preserve">sample sheet loaded onto iSeq </w:t>
      </w:r>
      <w:r>
        <w:rPr>
          <w:rFonts w:eastAsia="Cambria" w:cs="Arial"/>
          <w:szCs w:val="24"/>
        </w:rPr>
        <w:t xml:space="preserve">was checked to ensure </w:t>
      </w:r>
      <w:r w:rsidR="00DB01C0">
        <w:rPr>
          <w:rFonts w:eastAsia="Cambria" w:cs="Arial"/>
          <w:szCs w:val="24"/>
        </w:rPr>
        <w:t>correspondence</w:t>
      </w:r>
      <w:r w:rsidRPr="00187FD3">
        <w:rPr>
          <w:rFonts w:eastAsia="Cambria" w:cs="Arial"/>
          <w:szCs w:val="24"/>
        </w:rPr>
        <w:t xml:space="preserve"> to </w:t>
      </w:r>
      <w:r>
        <w:rPr>
          <w:rFonts w:eastAsia="Cambria" w:cs="Arial"/>
          <w:szCs w:val="24"/>
        </w:rPr>
        <w:t xml:space="preserve">the </w:t>
      </w:r>
      <w:r w:rsidRPr="00187FD3">
        <w:rPr>
          <w:rFonts w:eastAsia="Cambria" w:cs="Arial"/>
          <w:szCs w:val="24"/>
        </w:rPr>
        <w:t>sample sheet from Library Prep.</w:t>
      </w:r>
      <w:r>
        <w:rPr>
          <w:rFonts w:eastAsia="Cambria" w:cs="Arial"/>
          <w:szCs w:val="24"/>
        </w:rPr>
        <w:t xml:space="preserve"> The </w:t>
      </w:r>
      <w:r w:rsidRPr="00187FD3">
        <w:rPr>
          <w:rFonts w:eastAsia="Cambria" w:cs="Arial"/>
          <w:szCs w:val="24"/>
        </w:rPr>
        <w:t xml:space="preserve">cartridge </w:t>
      </w:r>
      <w:r>
        <w:rPr>
          <w:rFonts w:eastAsia="Cambria" w:cs="Arial"/>
          <w:szCs w:val="24"/>
        </w:rPr>
        <w:t xml:space="preserve">was </w:t>
      </w:r>
      <w:r w:rsidR="00DB01C0">
        <w:rPr>
          <w:rFonts w:eastAsia="Cambria" w:cs="Arial"/>
          <w:szCs w:val="24"/>
        </w:rPr>
        <w:t>loaded,</w:t>
      </w:r>
      <w:r>
        <w:rPr>
          <w:rFonts w:eastAsia="Cambria" w:cs="Arial"/>
          <w:szCs w:val="24"/>
        </w:rPr>
        <w:t xml:space="preserve"> and the </w:t>
      </w:r>
      <w:r w:rsidRPr="00187FD3">
        <w:rPr>
          <w:rFonts w:eastAsia="Cambria" w:cs="Arial"/>
          <w:szCs w:val="24"/>
        </w:rPr>
        <w:t xml:space="preserve">run </w:t>
      </w:r>
      <w:r>
        <w:rPr>
          <w:rFonts w:eastAsia="Cambria" w:cs="Arial"/>
          <w:szCs w:val="24"/>
        </w:rPr>
        <w:t xml:space="preserve">performed </w:t>
      </w:r>
      <w:r w:rsidRPr="00187FD3">
        <w:rPr>
          <w:rFonts w:eastAsia="Cambria" w:cs="Arial"/>
          <w:szCs w:val="24"/>
        </w:rPr>
        <w:t>as per manufacturer’s instructions.</w:t>
      </w:r>
      <w:r>
        <w:rPr>
          <w:rFonts w:eastAsia="Cambria" w:cs="Arial"/>
          <w:szCs w:val="24"/>
        </w:rPr>
        <w:t xml:space="preserve"> </w:t>
      </w:r>
      <w:r w:rsidRPr="00187FD3">
        <w:rPr>
          <w:rFonts w:eastAsia="Cambria" w:cs="Arial"/>
          <w:szCs w:val="24"/>
        </w:rPr>
        <w:t>After run</w:t>
      </w:r>
      <w:r>
        <w:rPr>
          <w:rFonts w:eastAsia="Cambria" w:cs="Arial"/>
          <w:szCs w:val="24"/>
        </w:rPr>
        <w:t>ning</w:t>
      </w:r>
      <w:r w:rsidRPr="00187FD3">
        <w:rPr>
          <w:rFonts w:eastAsia="Cambria" w:cs="Arial"/>
          <w:szCs w:val="24"/>
        </w:rPr>
        <w:t xml:space="preserve">, </w:t>
      </w:r>
      <w:r>
        <w:rPr>
          <w:rFonts w:eastAsia="Cambria" w:cs="Arial"/>
          <w:szCs w:val="24"/>
        </w:rPr>
        <w:t xml:space="preserve">the </w:t>
      </w:r>
      <w:r w:rsidRPr="00187FD3">
        <w:rPr>
          <w:rFonts w:eastAsia="Cambria" w:cs="Arial"/>
          <w:szCs w:val="24"/>
        </w:rPr>
        <w:t>data</w:t>
      </w:r>
      <w:r>
        <w:rPr>
          <w:rFonts w:eastAsia="Cambria" w:cs="Arial"/>
          <w:szCs w:val="24"/>
        </w:rPr>
        <w:t xml:space="preserve"> was downloaded and b</w:t>
      </w:r>
      <w:r w:rsidRPr="00187FD3">
        <w:rPr>
          <w:rFonts w:eastAsia="Cambria" w:cs="Arial"/>
          <w:szCs w:val="24"/>
        </w:rPr>
        <w:t>ack</w:t>
      </w:r>
      <w:r>
        <w:rPr>
          <w:rFonts w:eastAsia="Cambria" w:cs="Arial"/>
          <w:szCs w:val="24"/>
        </w:rPr>
        <w:t>ed</w:t>
      </w:r>
      <w:r w:rsidRPr="00187FD3">
        <w:rPr>
          <w:rFonts w:eastAsia="Cambria" w:cs="Arial"/>
          <w:szCs w:val="24"/>
        </w:rPr>
        <w:t xml:space="preserve">-up </w:t>
      </w:r>
      <w:r>
        <w:rPr>
          <w:rFonts w:eastAsia="Cambria" w:cs="Arial"/>
          <w:szCs w:val="24"/>
        </w:rPr>
        <w:t xml:space="preserve">on an </w:t>
      </w:r>
      <w:r w:rsidRPr="00187FD3">
        <w:rPr>
          <w:rFonts w:eastAsia="Cambria" w:cs="Arial"/>
          <w:szCs w:val="24"/>
        </w:rPr>
        <w:t>external hard drive.</w:t>
      </w:r>
    </w:p>
    <w:p w14:paraId="2E7CE66B" w14:textId="77777777" w:rsidR="00747376" w:rsidRPr="00187FD3" w:rsidRDefault="00747376" w:rsidP="001270C0">
      <w:pPr>
        <w:pStyle w:val="Heading2"/>
      </w:pPr>
      <w:bookmarkStart w:id="15" w:name="_Toc140679826"/>
      <w:r w:rsidRPr="00187FD3">
        <w:t>Data preprocessing</w:t>
      </w:r>
      <w:bookmarkEnd w:id="15"/>
    </w:p>
    <w:p w14:paraId="08A0615B" w14:textId="77777777" w:rsidR="00747376" w:rsidRPr="00187FD3" w:rsidRDefault="00747376" w:rsidP="00747376">
      <w:pPr>
        <w:rPr>
          <w:rFonts w:cs="Arial"/>
        </w:rPr>
      </w:pPr>
      <w:r w:rsidRPr="00187FD3">
        <w:rPr>
          <w:rFonts w:cs="Arial"/>
        </w:rPr>
        <w:t>Git</w:t>
      </w:r>
      <w:r>
        <w:rPr>
          <w:rFonts w:cs="Arial"/>
        </w:rPr>
        <w:t>H</w:t>
      </w:r>
      <w:r w:rsidRPr="00187FD3">
        <w:rPr>
          <w:rFonts w:cs="Arial"/>
        </w:rPr>
        <w:t xml:space="preserve">ub repository: </w:t>
      </w:r>
      <w:hyperlink r:id="rId8" w:history="1">
        <w:r w:rsidRPr="00187FD3">
          <w:rPr>
            <w:rFonts w:cs="Arial"/>
            <w:color w:val="0000FF"/>
            <w:u w:val="single"/>
          </w:rPr>
          <w:t>https://github.com/alanfoleynibrt/SingleCellmtDNA</w:t>
        </w:r>
      </w:hyperlink>
    </w:p>
    <w:p w14:paraId="0BC3824E" w14:textId="79D38472" w:rsidR="00747376" w:rsidRPr="00187FD3" w:rsidRDefault="00747376" w:rsidP="00747376">
      <w:pPr>
        <w:rPr>
          <w:rFonts w:cs="Arial"/>
        </w:rPr>
      </w:pPr>
      <w:r w:rsidRPr="00187FD3">
        <w:rPr>
          <w:rFonts w:cs="Arial"/>
        </w:rPr>
        <w:t xml:space="preserve">The bioinformatics pipeline is available in the above </w:t>
      </w:r>
      <w:r>
        <w:rPr>
          <w:rFonts w:cs="Arial"/>
        </w:rPr>
        <w:t>GitH</w:t>
      </w:r>
      <w:r w:rsidRPr="00187FD3">
        <w:rPr>
          <w:rFonts w:cs="Arial"/>
        </w:rPr>
        <w:t xml:space="preserve">ub repository. Initial processing of data is performed in Linux and figures are </w:t>
      </w:r>
      <w:r w:rsidR="005F609D">
        <w:rPr>
          <w:rFonts w:cs="Arial"/>
        </w:rPr>
        <w:t>generated</w:t>
      </w:r>
      <w:r w:rsidRPr="00187FD3">
        <w:rPr>
          <w:rFonts w:cs="Arial"/>
        </w:rPr>
        <w:t xml:space="preserve"> in R. All raw FASTQ data analysed is made available in this pipeline.</w:t>
      </w:r>
      <w:r w:rsidR="00B56604">
        <w:rPr>
          <w:rFonts w:cs="Arial"/>
        </w:rPr>
        <w:t xml:space="preserve"> A step-by-step protocol and all materials are also available.</w:t>
      </w:r>
    </w:p>
    <w:p w14:paraId="666A9E2F" w14:textId="3164DB58" w:rsidR="00747376" w:rsidRDefault="00747376" w:rsidP="00747376">
      <w:pPr>
        <w:rPr>
          <w:rFonts w:cs="Arial"/>
        </w:rPr>
      </w:pPr>
      <w:r w:rsidRPr="00187FD3">
        <w:rPr>
          <w:rFonts w:cs="Arial"/>
        </w:rPr>
        <w:t xml:space="preserve">Briefly, </w:t>
      </w:r>
      <w:proofErr w:type="spellStart"/>
      <w:r w:rsidRPr="00187FD3">
        <w:rPr>
          <w:rFonts w:cs="Arial"/>
        </w:rPr>
        <w:t>trim_galore</w:t>
      </w:r>
      <w:proofErr w:type="spellEnd"/>
      <w:r w:rsidRPr="00187FD3">
        <w:rPr>
          <w:rFonts w:cs="Arial"/>
        </w:rPr>
        <w:t xml:space="preserve"> (0.4.3) </w:t>
      </w:r>
      <w:r w:rsidR="00D134A1">
        <w:rPr>
          <w:rFonts w:cs="Arial"/>
        </w:rPr>
        <w:t xml:space="preserve">used to </w:t>
      </w:r>
      <w:r w:rsidRPr="00187FD3">
        <w:rPr>
          <w:rFonts w:cs="Arial"/>
        </w:rPr>
        <w:t xml:space="preserve">trim adapter sequences in FASTQ files. </w:t>
      </w:r>
      <w:r w:rsidR="00D134A1">
        <w:rPr>
          <w:rFonts w:cs="Arial"/>
        </w:rPr>
        <w:t>B</w:t>
      </w:r>
      <w:r w:rsidRPr="00187FD3">
        <w:rPr>
          <w:rFonts w:cs="Arial"/>
        </w:rPr>
        <w:t xml:space="preserve">owtie-2 (2.3.4.1) </w:t>
      </w:r>
      <w:r w:rsidR="00D134A1">
        <w:rPr>
          <w:rFonts w:cs="Arial"/>
        </w:rPr>
        <w:t xml:space="preserve">used to </w:t>
      </w:r>
      <w:r w:rsidRPr="00187FD3">
        <w:rPr>
          <w:rFonts w:cs="Arial"/>
        </w:rPr>
        <w:t xml:space="preserve">map reads to the KX576660.1 CHO mtDNA reference genome. Picard (1.199) tools </w:t>
      </w:r>
      <w:r w:rsidR="00D134A1">
        <w:rPr>
          <w:rFonts w:cs="Arial"/>
        </w:rPr>
        <w:t>identified</w:t>
      </w:r>
      <w:r w:rsidRPr="00187FD3">
        <w:rPr>
          <w:rFonts w:cs="Arial"/>
        </w:rPr>
        <w:t xml:space="preserve"> duplicates (</w:t>
      </w:r>
      <w:proofErr w:type="spellStart"/>
      <w:r w:rsidRPr="00187FD3">
        <w:rPr>
          <w:rFonts w:cs="Arial"/>
        </w:rPr>
        <w:t>MarkDuplicates</w:t>
      </w:r>
      <w:proofErr w:type="spellEnd"/>
      <w:r w:rsidRPr="00187FD3">
        <w:rPr>
          <w:rFonts w:cs="Arial"/>
        </w:rPr>
        <w:t>), added read groups (</w:t>
      </w:r>
      <w:proofErr w:type="spellStart"/>
      <w:r w:rsidRPr="00187FD3">
        <w:rPr>
          <w:rFonts w:cs="Arial"/>
        </w:rPr>
        <w:t>AddOrReplaceReadGroups</w:t>
      </w:r>
      <w:proofErr w:type="spellEnd"/>
      <w:r w:rsidRPr="00187FD3">
        <w:rPr>
          <w:rFonts w:cs="Arial"/>
        </w:rPr>
        <w:t>) and built a BAM index (</w:t>
      </w:r>
      <w:proofErr w:type="spellStart"/>
      <w:r w:rsidRPr="00187FD3">
        <w:rPr>
          <w:rFonts w:cs="Arial"/>
        </w:rPr>
        <w:t>BuildBamIndex</w:t>
      </w:r>
      <w:proofErr w:type="spellEnd"/>
      <w:r w:rsidRPr="00187FD3">
        <w:rPr>
          <w:rFonts w:cs="Arial"/>
        </w:rPr>
        <w:t xml:space="preserve">). Gatk3.8-0 </w:t>
      </w:r>
      <w:r w:rsidR="00D134A1">
        <w:rPr>
          <w:rFonts w:cs="Arial"/>
        </w:rPr>
        <w:t xml:space="preserve">implemented to </w:t>
      </w:r>
      <w:r w:rsidRPr="00187FD3">
        <w:rPr>
          <w:rFonts w:cs="Arial"/>
        </w:rPr>
        <w:t xml:space="preserve">realign </w:t>
      </w:r>
      <w:proofErr w:type="spellStart"/>
      <w:r w:rsidRPr="00187FD3">
        <w:rPr>
          <w:rFonts w:cs="Arial"/>
        </w:rPr>
        <w:t>indels</w:t>
      </w:r>
      <w:proofErr w:type="spellEnd"/>
      <w:r w:rsidRPr="00187FD3">
        <w:rPr>
          <w:rFonts w:cs="Arial"/>
        </w:rPr>
        <w:t xml:space="preserve"> (</w:t>
      </w:r>
      <w:proofErr w:type="spellStart"/>
      <w:r w:rsidRPr="00187FD3">
        <w:rPr>
          <w:rFonts w:cs="Arial"/>
        </w:rPr>
        <w:t>IndelRealigner</w:t>
      </w:r>
      <w:proofErr w:type="spellEnd"/>
      <w:r w:rsidRPr="00187FD3">
        <w:rPr>
          <w:rFonts w:cs="Arial"/>
        </w:rPr>
        <w:t>) and recalibrate bases (</w:t>
      </w:r>
      <w:proofErr w:type="spellStart"/>
      <w:r w:rsidRPr="00187FD3">
        <w:rPr>
          <w:rFonts w:cs="Arial"/>
        </w:rPr>
        <w:t>BaseRecalibrator</w:t>
      </w:r>
      <w:proofErr w:type="spellEnd"/>
      <w:r w:rsidRPr="00187FD3">
        <w:rPr>
          <w:rFonts w:cs="Arial"/>
        </w:rPr>
        <w:t xml:space="preserve">). </w:t>
      </w:r>
      <w:r w:rsidR="00D134A1">
        <w:rPr>
          <w:rFonts w:cs="Arial"/>
        </w:rPr>
        <w:t>Two</w:t>
      </w:r>
      <w:r w:rsidRPr="00187FD3">
        <w:rPr>
          <w:rFonts w:cs="Arial"/>
        </w:rPr>
        <w:t xml:space="preserve"> separate mutation calling software</w:t>
      </w:r>
      <w:r w:rsidR="00D134A1">
        <w:rPr>
          <w:rFonts w:cs="Arial"/>
        </w:rPr>
        <w:t xml:space="preserve"> programs</w:t>
      </w:r>
      <w:r w:rsidRPr="00187FD3">
        <w:rPr>
          <w:rFonts w:cs="Arial"/>
        </w:rPr>
        <w:t xml:space="preserve"> were used: lofreq_star-2.1.2 and varscan.v2.3.9. When a mutation was called by both, it was brought forward for analysis. If a mutation allele frequency was between </w:t>
      </w:r>
      <w:r w:rsidR="00347451">
        <w:rPr>
          <w:rFonts w:cs="Arial"/>
        </w:rPr>
        <w:t>0.04 and 0.96</w:t>
      </w:r>
      <w:r w:rsidRPr="00187FD3">
        <w:rPr>
          <w:rFonts w:cs="Arial"/>
        </w:rPr>
        <w:t xml:space="preserve">, it was considered “heteroplasmic”. </w:t>
      </w:r>
      <w:r w:rsidR="00D134A1">
        <w:rPr>
          <w:rFonts w:cs="Arial"/>
        </w:rPr>
        <w:t>The potential impact of identified m</w:t>
      </w:r>
      <w:r w:rsidRPr="00187FD3">
        <w:rPr>
          <w:rFonts w:cs="Arial"/>
        </w:rPr>
        <w:t>utation</w:t>
      </w:r>
      <w:r w:rsidR="00D134A1">
        <w:rPr>
          <w:rFonts w:cs="Arial"/>
        </w:rPr>
        <w:t>s</w:t>
      </w:r>
      <w:r w:rsidRPr="00187FD3">
        <w:rPr>
          <w:rFonts w:cs="Arial"/>
        </w:rPr>
        <w:t xml:space="preserve"> </w:t>
      </w:r>
      <w:r w:rsidR="00D134A1">
        <w:rPr>
          <w:rFonts w:cs="Arial"/>
        </w:rPr>
        <w:t xml:space="preserve">was predicted using </w:t>
      </w:r>
      <w:r w:rsidR="00D134A1" w:rsidRPr="00187FD3">
        <w:rPr>
          <w:rFonts w:cs="Arial"/>
        </w:rPr>
        <w:t>SnpEff</w:t>
      </w:r>
      <w:r w:rsidRPr="00187FD3">
        <w:rPr>
          <w:rFonts w:cs="Arial"/>
        </w:rPr>
        <w:t xml:space="preserve">. In tandem, analysis was repeated using a shifted mtDNA reference genome to complete coverage over the D-loop region. Unshifted mutation calls were concatenated with </w:t>
      </w:r>
      <w:r w:rsidR="00D134A1">
        <w:rPr>
          <w:rFonts w:cs="Arial"/>
        </w:rPr>
        <w:t xml:space="preserve">those from the </w:t>
      </w:r>
      <w:r w:rsidRPr="00187FD3">
        <w:rPr>
          <w:rFonts w:cs="Arial"/>
        </w:rPr>
        <w:t>shifted</w:t>
      </w:r>
      <w:r w:rsidR="00D134A1">
        <w:rPr>
          <w:rFonts w:cs="Arial"/>
        </w:rPr>
        <w:t xml:space="preserve"> reference </w:t>
      </w:r>
      <w:r w:rsidR="001270C0">
        <w:rPr>
          <w:rFonts w:cs="Arial"/>
        </w:rPr>
        <w:t>sequence</w:t>
      </w:r>
      <w:r w:rsidRPr="00187FD3">
        <w:rPr>
          <w:rFonts w:cs="Arial"/>
        </w:rPr>
        <w:t xml:space="preserve"> to provide full coverage. ggplot2 in R was used to generate figures.</w:t>
      </w:r>
    </w:p>
    <w:p w14:paraId="1954A7E2" w14:textId="77777777" w:rsidR="00563DB0" w:rsidRPr="00563DB0" w:rsidRDefault="00563DB0" w:rsidP="00563DB0"/>
    <w:p w14:paraId="322D7844" w14:textId="2D8CC5E6" w:rsidR="00B657B8" w:rsidRDefault="00FA75DA" w:rsidP="00DE5681">
      <w:pPr>
        <w:pStyle w:val="Heading1"/>
        <w:rPr>
          <w:bCs/>
          <w:lang w:val="en-GB"/>
        </w:rPr>
      </w:pPr>
      <w:r w:rsidRPr="00DE5681">
        <w:rPr>
          <w:bCs/>
          <w:lang w:val="en-GB"/>
        </w:rPr>
        <w:t>Results</w:t>
      </w:r>
    </w:p>
    <w:p w14:paraId="2A9469B6" w14:textId="5BB762E9" w:rsidR="006A16E4" w:rsidRPr="006A16E4" w:rsidRDefault="006A16E4" w:rsidP="006A16E4">
      <w:pPr>
        <w:pStyle w:val="Heading2"/>
        <w:rPr>
          <w:lang w:val="en-GB"/>
        </w:rPr>
      </w:pPr>
      <w:r>
        <w:rPr>
          <w:lang w:val="en-GB"/>
        </w:rPr>
        <w:t>Single Cell Isolation</w:t>
      </w:r>
    </w:p>
    <w:p w14:paraId="48891FEF" w14:textId="7367612A" w:rsidR="006A16E4" w:rsidRDefault="002D17B5" w:rsidP="006A16E4">
      <w:pPr>
        <w:rPr>
          <w:rFonts w:cs="Arial"/>
          <w:lang w:val="en-GB" w:eastAsia="en-GB"/>
        </w:rPr>
      </w:pPr>
      <w:r>
        <w:rPr>
          <w:rFonts w:cs="Arial"/>
          <w:lang w:val="en-GB" w:eastAsia="en-GB"/>
        </w:rPr>
        <w:t xml:space="preserve">The overall aim of this project was to </w:t>
      </w:r>
      <w:r w:rsidR="005436D5">
        <w:rPr>
          <w:rFonts w:cs="Arial"/>
          <w:lang w:val="en-GB" w:eastAsia="en-GB"/>
        </w:rPr>
        <w:t xml:space="preserve">create a workflow for </w:t>
      </w:r>
      <w:r w:rsidR="00C13785">
        <w:rPr>
          <w:rFonts w:cs="Arial"/>
          <w:lang w:val="en-GB" w:eastAsia="en-GB"/>
        </w:rPr>
        <w:t>single cell</w:t>
      </w:r>
      <w:r>
        <w:rPr>
          <w:rFonts w:cs="Arial"/>
          <w:lang w:val="en-GB" w:eastAsia="en-GB"/>
        </w:rPr>
        <w:t xml:space="preserve"> mtDNA </w:t>
      </w:r>
      <w:r w:rsidR="005436D5">
        <w:rPr>
          <w:rFonts w:cs="Arial"/>
          <w:lang w:val="en-GB" w:eastAsia="en-GB"/>
        </w:rPr>
        <w:t>analysis in</w:t>
      </w:r>
      <w:r>
        <w:rPr>
          <w:rFonts w:cs="Arial"/>
          <w:lang w:val="en-GB" w:eastAsia="en-GB"/>
        </w:rPr>
        <w:t xml:space="preserve"> CHO cells. </w:t>
      </w:r>
      <w:r w:rsidR="006A16E4">
        <w:rPr>
          <w:rFonts w:cs="Arial"/>
          <w:lang w:val="en-GB" w:eastAsia="en-GB"/>
        </w:rPr>
        <w:t xml:space="preserve">We first sought to </w:t>
      </w:r>
      <w:r w:rsidR="006A16E4" w:rsidRPr="00187FD3">
        <w:rPr>
          <w:rFonts w:cs="Arial"/>
          <w:lang w:val="en-GB" w:eastAsia="en-GB"/>
        </w:rPr>
        <w:t xml:space="preserve">isolate </w:t>
      </w:r>
      <w:r w:rsidR="00C13785">
        <w:rPr>
          <w:rFonts w:cs="Arial"/>
          <w:lang w:val="en-GB" w:eastAsia="en-GB"/>
        </w:rPr>
        <w:t>single cell</w:t>
      </w:r>
      <w:r w:rsidR="006A16E4">
        <w:rPr>
          <w:rFonts w:cs="Arial"/>
          <w:lang w:val="en-GB" w:eastAsia="en-GB"/>
        </w:rPr>
        <w:t>s in a reproducible manner</w:t>
      </w:r>
      <w:r w:rsidR="006A16E4" w:rsidRPr="00187FD3">
        <w:rPr>
          <w:rFonts w:cs="Arial"/>
          <w:lang w:val="en-GB" w:eastAsia="en-GB"/>
        </w:rPr>
        <w:t xml:space="preserve">. </w:t>
      </w:r>
      <w:r w:rsidR="005436D5">
        <w:rPr>
          <w:rFonts w:cs="Arial"/>
          <w:lang w:val="en-GB" w:eastAsia="en-GB"/>
        </w:rPr>
        <w:t>C</w:t>
      </w:r>
      <w:r w:rsidR="006A16E4">
        <w:rPr>
          <w:rFonts w:cs="Arial"/>
          <w:lang w:val="en-GB" w:eastAsia="en-GB"/>
        </w:rPr>
        <w:t>lonal populations of CHO cells</w:t>
      </w:r>
      <w:r w:rsidR="005436D5">
        <w:rPr>
          <w:rFonts w:cs="Arial"/>
          <w:lang w:val="en-GB" w:eastAsia="en-GB"/>
        </w:rPr>
        <w:t xml:space="preserve"> are often generated using</w:t>
      </w:r>
      <w:r w:rsidR="006A16E4">
        <w:rPr>
          <w:rFonts w:cs="Arial"/>
          <w:lang w:val="en-GB" w:eastAsia="en-GB"/>
        </w:rPr>
        <w:t xml:space="preserve"> </w:t>
      </w:r>
      <w:r w:rsidR="005436D5">
        <w:rPr>
          <w:rFonts w:cs="Arial"/>
          <w:lang w:val="en-GB" w:eastAsia="en-GB"/>
        </w:rPr>
        <w:t xml:space="preserve">the </w:t>
      </w:r>
      <w:r w:rsidR="006A16E4">
        <w:rPr>
          <w:rFonts w:cs="Arial"/>
          <w:lang w:val="en-GB" w:eastAsia="en-GB"/>
        </w:rPr>
        <w:t xml:space="preserve">“serial dilution” method whereby a known number of cells is progressively diluted to approximate a </w:t>
      </w:r>
      <w:r w:rsidR="00C13785">
        <w:rPr>
          <w:rFonts w:cs="Arial"/>
          <w:lang w:val="en-GB" w:eastAsia="en-GB"/>
        </w:rPr>
        <w:t>single cell</w:t>
      </w:r>
      <w:r w:rsidR="005436D5">
        <w:rPr>
          <w:rFonts w:cs="Arial"/>
          <w:lang w:val="en-GB" w:eastAsia="en-GB"/>
        </w:rPr>
        <w:t xml:space="preserve"> per unit volume</w:t>
      </w:r>
      <w:r w:rsidR="006A16E4">
        <w:rPr>
          <w:rFonts w:cs="Arial"/>
          <w:lang w:val="en-GB" w:eastAsia="en-GB"/>
        </w:rPr>
        <w:t>. However, the nature of</w:t>
      </w:r>
      <w:r w:rsidR="005436D5">
        <w:rPr>
          <w:rFonts w:cs="Arial"/>
          <w:lang w:val="en-GB" w:eastAsia="en-GB"/>
        </w:rPr>
        <w:t xml:space="preserve"> cell distribution </w:t>
      </w:r>
      <w:r w:rsidR="00D131CE">
        <w:rPr>
          <w:rFonts w:cs="Arial"/>
          <w:lang w:val="en-GB" w:eastAsia="en-GB"/>
        </w:rPr>
        <w:t>in each</w:t>
      </w:r>
      <w:r w:rsidR="006A16E4">
        <w:rPr>
          <w:rFonts w:cs="Arial"/>
          <w:lang w:val="en-GB" w:eastAsia="en-GB"/>
        </w:rPr>
        <w:t xml:space="preserve"> dilution mean</w:t>
      </w:r>
      <w:r w:rsidR="005436D5">
        <w:rPr>
          <w:rFonts w:cs="Arial"/>
          <w:lang w:val="en-GB" w:eastAsia="en-GB"/>
        </w:rPr>
        <w:t>s</w:t>
      </w:r>
      <w:r w:rsidR="006A16E4">
        <w:rPr>
          <w:rFonts w:cs="Arial"/>
          <w:lang w:val="en-GB" w:eastAsia="en-GB"/>
        </w:rPr>
        <w:t xml:space="preserve"> the final </w:t>
      </w:r>
      <w:r w:rsidR="005436D5">
        <w:rPr>
          <w:rFonts w:cs="Arial"/>
          <w:lang w:val="en-GB" w:eastAsia="en-GB"/>
        </w:rPr>
        <w:t xml:space="preserve">dispensed </w:t>
      </w:r>
      <w:r w:rsidR="006A16E4">
        <w:rPr>
          <w:rFonts w:cs="Arial"/>
          <w:lang w:val="en-GB" w:eastAsia="en-GB"/>
        </w:rPr>
        <w:t xml:space="preserve">sample could indeed have a </w:t>
      </w:r>
      <w:r w:rsidR="00C13785">
        <w:rPr>
          <w:rFonts w:cs="Arial"/>
          <w:lang w:val="en-GB" w:eastAsia="en-GB"/>
        </w:rPr>
        <w:t>single cell</w:t>
      </w:r>
      <w:r w:rsidR="006A16E4">
        <w:rPr>
          <w:rFonts w:cs="Arial"/>
          <w:lang w:val="en-GB" w:eastAsia="en-GB"/>
        </w:rPr>
        <w:t xml:space="preserve">, but it could also have 0 cells or multiple cells. We reasoned that a FACS-based method would be more accurate and reproducible. Additionally, there is less manual work when scaling to </w:t>
      </w:r>
      <w:r w:rsidR="005436D5">
        <w:rPr>
          <w:rFonts w:cs="Arial"/>
          <w:lang w:val="en-GB" w:eastAsia="en-GB"/>
        </w:rPr>
        <w:t>generate large numbers of clones</w:t>
      </w:r>
      <w:r w:rsidR="006A16E4">
        <w:rPr>
          <w:rFonts w:cs="Arial"/>
          <w:lang w:val="en-GB" w:eastAsia="en-GB"/>
        </w:rPr>
        <w:t xml:space="preserve">. We loaded the </w:t>
      </w:r>
      <w:r w:rsidR="005436D5">
        <w:rPr>
          <w:rFonts w:cs="Arial"/>
          <w:lang w:val="en-GB" w:eastAsia="en-GB"/>
        </w:rPr>
        <w:t>sorter (</w:t>
      </w:r>
      <w:r w:rsidR="006A16E4">
        <w:rPr>
          <w:rFonts w:cs="Arial"/>
          <w:lang w:val="en-GB" w:eastAsia="en-GB"/>
        </w:rPr>
        <w:t>FACS Melody</w:t>
      </w:r>
      <w:r w:rsidR="005436D5">
        <w:rPr>
          <w:rFonts w:cs="Arial"/>
          <w:lang w:val="en-GB" w:eastAsia="en-GB"/>
        </w:rPr>
        <w:t>, BD)</w:t>
      </w:r>
      <w:r w:rsidR="006A16E4">
        <w:rPr>
          <w:rFonts w:cs="Arial"/>
          <w:lang w:val="en-GB" w:eastAsia="en-GB"/>
        </w:rPr>
        <w:t xml:space="preserve"> with CHO-GS cells which had been stained with an AB-FITC conjugate and DAPI.</w:t>
      </w:r>
    </w:p>
    <w:p w14:paraId="4889B92F" w14:textId="5DAF59AF" w:rsidR="006A16E4" w:rsidRPr="006A16E4" w:rsidRDefault="006A16E4" w:rsidP="006A16E4">
      <w:pPr>
        <w:rPr>
          <w:rFonts w:cs="Arial"/>
          <w:b/>
          <w:lang w:val="en-GB" w:eastAsia="en-GB"/>
        </w:rPr>
      </w:pPr>
      <w:r>
        <w:rPr>
          <w:rFonts w:cs="Arial"/>
          <w:b/>
          <w:lang w:val="en-GB" w:eastAsia="en-GB"/>
        </w:rPr>
        <w:t>Fig. 2</w:t>
      </w:r>
    </w:p>
    <w:p w14:paraId="4F9AF754" w14:textId="0AB4201F" w:rsidR="006A16E4" w:rsidRDefault="006A16E4" w:rsidP="006A16E4">
      <w:pPr>
        <w:rPr>
          <w:rFonts w:cs="Arial"/>
          <w:lang w:val="en-GB" w:eastAsia="en-GB"/>
        </w:rPr>
      </w:pPr>
      <w:r>
        <w:rPr>
          <w:rFonts w:cs="Arial"/>
          <w:lang w:val="en-GB" w:eastAsia="en-GB"/>
        </w:rPr>
        <w:t>We followed basic guidelines for flow cytometry (Bio-Rad</w:t>
      </w:r>
      <w:r w:rsidR="007E7ACC">
        <w:rPr>
          <w:rFonts w:cs="Arial"/>
          <w:lang w:val="en-GB" w:eastAsia="en-GB"/>
        </w:rPr>
        <w:t>,</w:t>
      </w:r>
      <w:r>
        <w:rPr>
          <w:rFonts w:cs="Arial"/>
          <w:lang w:val="en-GB" w:eastAsia="en-GB"/>
        </w:rPr>
        <w:t xml:space="preserve"> 202</w:t>
      </w:r>
      <w:r w:rsidR="00D131CE">
        <w:rPr>
          <w:rFonts w:cs="Arial"/>
          <w:lang w:val="en-GB" w:eastAsia="en-GB"/>
        </w:rPr>
        <w:t>2</w:t>
      </w:r>
      <w:r>
        <w:rPr>
          <w:rFonts w:cs="Arial"/>
          <w:lang w:val="en-GB" w:eastAsia="en-GB"/>
        </w:rPr>
        <w:t>). We first used a</w:t>
      </w:r>
      <w:r w:rsidR="007E7ACC">
        <w:rPr>
          <w:rFonts w:cs="Arial"/>
          <w:lang w:val="en-GB" w:eastAsia="en-GB"/>
        </w:rPr>
        <w:t>n</w:t>
      </w:r>
      <w:r>
        <w:rPr>
          <w:rFonts w:cs="Arial"/>
          <w:lang w:val="en-GB" w:eastAsia="en-GB"/>
        </w:rPr>
        <w:t xml:space="preserve"> SSC-A against FSC-A </w:t>
      </w:r>
      <w:r w:rsidR="007E7ACC">
        <w:rPr>
          <w:rFonts w:cs="Arial"/>
          <w:lang w:val="en-GB" w:eastAsia="en-GB"/>
        </w:rPr>
        <w:t>dot plot</w:t>
      </w:r>
      <w:r>
        <w:rPr>
          <w:rFonts w:cs="Arial"/>
          <w:lang w:val="en-GB" w:eastAsia="en-GB"/>
        </w:rPr>
        <w:t xml:space="preserve"> with calibrated voltages (</w:t>
      </w:r>
      <w:r>
        <w:rPr>
          <w:rFonts w:cs="Arial"/>
          <w:b/>
          <w:lang w:val="en-GB" w:eastAsia="en-GB"/>
        </w:rPr>
        <w:t xml:space="preserve">Fig. </w:t>
      </w:r>
      <w:r w:rsidR="004F327C">
        <w:rPr>
          <w:rFonts w:cs="Arial"/>
          <w:b/>
          <w:lang w:val="en-GB" w:eastAsia="en-GB"/>
        </w:rPr>
        <w:t>2</w:t>
      </w:r>
      <w:r>
        <w:rPr>
          <w:rFonts w:cs="Arial"/>
          <w:b/>
          <w:lang w:val="en-GB" w:eastAsia="en-GB"/>
        </w:rPr>
        <w:t>A</w:t>
      </w:r>
      <w:r>
        <w:rPr>
          <w:rFonts w:cs="Arial"/>
          <w:lang w:val="en-GB" w:eastAsia="en-GB"/>
        </w:rPr>
        <w:t xml:space="preserve">). A gate of the main cell population was selected, </w:t>
      </w:r>
      <w:r>
        <w:rPr>
          <w:rFonts w:cs="Arial"/>
          <w:lang w:val="en-GB" w:eastAsia="en-GB"/>
        </w:rPr>
        <w:lastRenderedPageBreak/>
        <w:t xml:space="preserve">excluding instrument noise and cell debris. We next used </w:t>
      </w:r>
      <w:r w:rsidR="007E7ACC">
        <w:rPr>
          <w:rFonts w:cs="Arial"/>
          <w:lang w:val="en-GB" w:eastAsia="en-GB"/>
        </w:rPr>
        <w:t>an</w:t>
      </w:r>
      <w:r>
        <w:rPr>
          <w:rFonts w:cs="Arial"/>
          <w:lang w:val="en-GB" w:eastAsia="en-GB"/>
        </w:rPr>
        <w:t xml:space="preserve"> FSC-H against FSC-A graph (</w:t>
      </w:r>
      <w:r>
        <w:rPr>
          <w:rFonts w:cs="Arial"/>
          <w:b/>
          <w:lang w:val="en-GB" w:eastAsia="en-GB"/>
        </w:rPr>
        <w:t xml:space="preserve">Fig. </w:t>
      </w:r>
      <w:r w:rsidR="004F327C">
        <w:rPr>
          <w:rFonts w:cs="Arial"/>
          <w:b/>
          <w:lang w:val="en-GB" w:eastAsia="en-GB"/>
        </w:rPr>
        <w:t>2</w:t>
      </w:r>
      <w:r>
        <w:rPr>
          <w:rFonts w:cs="Arial"/>
          <w:b/>
          <w:lang w:val="en-GB" w:eastAsia="en-GB"/>
        </w:rPr>
        <w:t>B</w:t>
      </w:r>
      <w:r>
        <w:rPr>
          <w:rFonts w:cs="Arial"/>
          <w:lang w:val="en-GB" w:eastAsia="en-GB"/>
        </w:rPr>
        <w:t>). Since forward scatter determines the “size” of particles, the “height” against the “area” determines the ratio of the cell height against the cell area. A singlet will have 1x area, 1x width and 1x height. Doublets would have 2x area, 2x width but 1x height. Thus to discriminate between singlets and doublets, the ratio of area to height</w:t>
      </w:r>
      <w:r w:rsidR="005436D5">
        <w:rPr>
          <w:rFonts w:cs="Arial"/>
          <w:lang w:val="en-GB" w:eastAsia="en-GB"/>
        </w:rPr>
        <w:t xml:space="preserve"> is considered</w:t>
      </w:r>
      <w:r w:rsidR="007E7ACC">
        <w:rPr>
          <w:rFonts w:cs="Arial"/>
          <w:lang w:val="en-GB" w:eastAsia="en-GB"/>
        </w:rPr>
        <w:t xml:space="preserve"> (Bio-Rad, 2022)</w:t>
      </w:r>
      <w:r>
        <w:rPr>
          <w:rFonts w:cs="Arial"/>
          <w:lang w:val="en-GB" w:eastAsia="en-GB"/>
        </w:rPr>
        <w:t>. We used a gate to select only singlets.</w:t>
      </w:r>
    </w:p>
    <w:p w14:paraId="33480CC9" w14:textId="3FCF2C36" w:rsidR="00393D7B" w:rsidRDefault="00393D7B" w:rsidP="00393D7B">
      <w:pPr>
        <w:rPr>
          <w:rFonts w:cs="Arial"/>
          <w:lang w:val="en-GB" w:eastAsia="en-GB"/>
        </w:rPr>
      </w:pPr>
      <w:r>
        <w:rPr>
          <w:rFonts w:cs="Arial"/>
          <w:lang w:val="en-GB" w:eastAsia="en-GB"/>
        </w:rPr>
        <w:t xml:space="preserve">We next </w:t>
      </w:r>
      <w:r w:rsidR="005436D5">
        <w:rPr>
          <w:rFonts w:cs="Arial"/>
          <w:lang w:val="en-GB" w:eastAsia="en-GB"/>
        </w:rPr>
        <w:t>focused on</w:t>
      </w:r>
      <w:r>
        <w:rPr>
          <w:rFonts w:cs="Arial"/>
          <w:lang w:val="en-GB" w:eastAsia="en-GB"/>
        </w:rPr>
        <w:t xml:space="preserve"> FITC</w:t>
      </w:r>
      <w:r w:rsidR="005436D5">
        <w:rPr>
          <w:rFonts w:cs="Arial"/>
          <w:lang w:val="en-GB" w:eastAsia="en-GB"/>
        </w:rPr>
        <w:t xml:space="preserve"> staining</w:t>
      </w:r>
      <w:r>
        <w:rPr>
          <w:rFonts w:cs="Arial"/>
          <w:lang w:val="en-GB" w:eastAsia="en-GB"/>
        </w:rPr>
        <w:t xml:space="preserve"> (due to our AB-FITC conjugate) and BV510-A (due to DAPI). DAPI increases in fluorescence when binding to DNA; therefore it has applications for live/dead cell gating in flow cytometry. Live cells would have lower BV510-A fluorescence, while dead cells would have greater BV510-A fluorescence. We first loaded a population of dead/dying CHO cells with 5% viability and viewed the population </w:t>
      </w:r>
      <w:r w:rsidR="005436D5">
        <w:rPr>
          <w:rFonts w:cs="Arial"/>
          <w:lang w:val="en-GB" w:eastAsia="en-GB"/>
        </w:rPr>
        <w:t>in</w:t>
      </w:r>
      <w:r>
        <w:rPr>
          <w:rFonts w:cs="Arial"/>
          <w:lang w:val="en-GB" w:eastAsia="en-GB"/>
        </w:rPr>
        <w:t xml:space="preserve"> a histogram of BV510-A fluorescence (</w:t>
      </w:r>
      <w:r>
        <w:rPr>
          <w:rFonts w:cs="Arial"/>
          <w:b/>
          <w:lang w:val="en-GB" w:eastAsia="en-GB"/>
        </w:rPr>
        <w:t xml:space="preserve">Fig. </w:t>
      </w:r>
      <w:r w:rsidR="004F327C">
        <w:rPr>
          <w:rFonts w:cs="Arial"/>
          <w:b/>
          <w:lang w:val="en-GB" w:eastAsia="en-GB"/>
        </w:rPr>
        <w:t>2</w:t>
      </w:r>
      <w:r>
        <w:rPr>
          <w:rFonts w:cs="Arial"/>
          <w:b/>
          <w:lang w:val="en-GB" w:eastAsia="en-GB"/>
        </w:rPr>
        <w:t>C</w:t>
      </w:r>
      <w:r>
        <w:rPr>
          <w:rFonts w:cs="Arial"/>
          <w:lang w:val="en-GB" w:eastAsia="en-GB"/>
        </w:rPr>
        <w:t>). We calibrated the BV510-A voltage to allow space for “lower” BV510-A fluorescence to which we set a 5% gate. Thus, only 5% of the dead/dying population was within our lower BV510-A fluorescence gate. We then ran live cells with 95% viability (</w:t>
      </w:r>
      <w:r>
        <w:rPr>
          <w:rFonts w:cs="Arial"/>
          <w:b/>
          <w:lang w:val="en-GB" w:eastAsia="en-GB"/>
        </w:rPr>
        <w:t xml:space="preserve">Fig. </w:t>
      </w:r>
      <w:r w:rsidR="004F327C">
        <w:rPr>
          <w:rFonts w:cs="Arial"/>
          <w:b/>
          <w:lang w:val="en-GB" w:eastAsia="en-GB"/>
        </w:rPr>
        <w:t>2</w:t>
      </w:r>
      <w:r>
        <w:rPr>
          <w:rFonts w:cs="Arial"/>
          <w:b/>
          <w:lang w:val="en-GB" w:eastAsia="en-GB"/>
        </w:rPr>
        <w:t>D</w:t>
      </w:r>
      <w:r>
        <w:rPr>
          <w:rFonts w:cs="Arial"/>
          <w:lang w:val="en-GB" w:eastAsia="en-GB"/>
        </w:rPr>
        <w:t xml:space="preserve">). As expected, the population migrated to our “live” gate, thus </w:t>
      </w:r>
      <w:r w:rsidR="005436D5">
        <w:rPr>
          <w:rFonts w:cs="Arial"/>
          <w:lang w:val="en-GB" w:eastAsia="en-GB"/>
        </w:rPr>
        <w:t xml:space="preserve">allowing us to </w:t>
      </w:r>
      <w:r>
        <w:rPr>
          <w:rFonts w:cs="Arial"/>
          <w:lang w:val="en-GB" w:eastAsia="en-GB"/>
        </w:rPr>
        <w:t>select for live cells.</w:t>
      </w:r>
    </w:p>
    <w:p w14:paraId="6E1F54A2" w14:textId="4EBA5DC2" w:rsidR="00393D7B" w:rsidRDefault="005436D5" w:rsidP="00393D7B">
      <w:pPr>
        <w:rPr>
          <w:rFonts w:cs="Arial"/>
          <w:lang w:val="en-GB" w:eastAsia="en-GB"/>
        </w:rPr>
      </w:pPr>
      <w:r>
        <w:rPr>
          <w:rFonts w:cs="Arial"/>
          <w:lang w:val="en-GB" w:eastAsia="en-GB"/>
        </w:rPr>
        <w:t>To identify mAb-secreting CHO cells</w:t>
      </w:r>
      <w:r w:rsidR="00393D7B">
        <w:rPr>
          <w:rFonts w:cs="Arial"/>
          <w:lang w:val="en-GB" w:eastAsia="en-GB"/>
        </w:rPr>
        <w:t xml:space="preserve">, we exploited </w:t>
      </w:r>
      <w:r>
        <w:rPr>
          <w:rFonts w:cs="Arial"/>
          <w:lang w:val="en-GB" w:eastAsia="en-GB"/>
        </w:rPr>
        <w:t>the</w:t>
      </w:r>
      <w:r w:rsidR="00B56604">
        <w:rPr>
          <w:rFonts w:cs="Arial"/>
          <w:lang w:val="en-GB" w:eastAsia="en-GB"/>
        </w:rPr>
        <w:t xml:space="preserve"> </w:t>
      </w:r>
      <w:r w:rsidR="00393D7B">
        <w:rPr>
          <w:rFonts w:cs="Arial"/>
          <w:lang w:val="en-GB" w:eastAsia="en-GB"/>
        </w:rPr>
        <w:t>AB-FITC staining to select for cells with a mAb in “stasis” in the CHO cell membrane. We first ran a sample with a non-producing CHO cell line and ran the population on a histogram of FITC fluorescence (</w:t>
      </w:r>
      <w:r w:rsidR="00393D7B">
        <w:rPr>
          <w:rFonts w:cs="Arial"/>
          <w:b/>
          <w:lang w:val="en-GB" w:eastAsia="en-GB"/>
        </w:rPr>
        <w:t xml:space="preserve">Fig. </w:t>
      </w:r>
      <w:r w:rsidR="004F327C">
        <w:rPr>
          <w:rFonts w:cs="Arial"/>
          <w:b/>
          <w:lang w:val="en-GB" w:eastAsia="en-GB"/>
        </w:rPr>
        <w:t>2</w:t>
      </w:r>
      <w:r w:rsidR="00393D7B">
        <w:rPr>
          <w:rFonts w:cs="Arial"/>
          <w:b/>
          <w:lang w:val="en-GB" w:eastAsia="en-GB"/>
        </w:rPr>
        <w:t>E</w:t>
      </w:r>
      <w:r w:rsidR="00393D7B">
        <w:rPr>
          <w:rFonts w:cs="Arial"/>
          <w:lang w:val="en-GB" w:eastAsia="en-GB"/>
        </w:rPr>
        <w:t xml:space="preserve">). If the stain specifically binds to </w:t>
      </w:r>
      <w:r w:rsidR="003A3D31">
        <w:rPr>
          <w:rFonts w:cs="Arial"/>
          <w:lang w:val="en-GB" w:eastAsia="en-GB"/>
        </w:rPr>
        <w:t>mAb-</w:t>
      </w:r>
      <w:r w:rsidR="00393D7B">
        <w:rPr>
          <w:rFonts w:cs="Arial"/>
          <w:lang w:val="en-GB" w:eastAsia="en-GB"/>
        </w:rPr>
        <w:t>producing CHO cells, there should be a shift of the population to greater FITC fluorescence from non-producing to producing. We therefore set a gate for greater FITC fluorescence with 0% of cells from the non-producing cell line. When we ran the same settings for our produc</w:t>
      </w:r>
      <w:r w:rsidR="003A3D31">
        <w:rPr>
          <w:rFonts w:cs="Arial"/>
          <w:lang w:val="en-GB" w:eastAsia="en-GB"/>
        </w:rPr>
        <w:t>er</w:t>
      </w:r>
      <w:r w:rsidR="00393D7B">
        <w:rPr>
          <w:rFonts w:cs="Arial"/>
          <w:lang w:val="en-GB" w:eastAsia="en-GB"/>
        </w:rPr>
        <w:t xml:space="preserve"> CHO cell line (</w:t>
      </w:r>
      <w:r w:rsidR="00393D7B">
        <w:rPr>
          <w:rFonts w:cs="Arial"/>
          <w:b/>
          <w:lang w:val="en-GB" w:eastAsia="en-GB"/>
        </w:rPr>
        <w:t xml:space="preserve">Fig. </w:t>
      </w:r>
      <w:r w:rsidR="004F327C">
        <w:rPr>
          <w:rFonts w:cs="Arial"/>
          <w:b/>
          <w:lang w:val="en-GB" w:eastAsia="en-GB"/>
        </w:rPr>
        <w:t>2</w:t>
      </w:r>
      <w:r w:rsidR="00393D7B">
        <w:rPr>
          <w:rFonts w:cs="Arial"/>
          <w:b/>
          <w:lang w:val="en-GB" w:eastAsia="en-GB"/>
        </w:rPr>
        <w:t>F</w:t>
      </w:r>
      <w:r w:rsidR="00393D7B">
        <w:rPr>
          <w:rFonts w:cs="Arial"/>
          <w:lang w:val="en-GB" w:eastAsia="en-GB"/>
        </w:rPr>
        <w:t xml:space="preserve">), we observed an overall “shift” of the population </w:t>
      </w:r>
      <w:r>
        <w:rPr>
          <w:rFonts w:cs="Arial"/>
          <w:lang w:val="en-GB" w:eastAsia="en-GB"/>
        </w:rPr>
        <w:t>towards greater</w:t>
      </w:r>
      <w:r w:rsidR="00393D7B">
        <w:rPr>
          <w:rFonts w:cs="Arial"/>
          <w:lang w:val="en-GB" w:eastAsia="en-GB"/>
        </w:rPr>
        <w:t xml:space="preserve"> FITC fluorescence. </w:t>
      </w:r>
      <w:r>
        <w:rPr>
          <w:rFonts w:cs="Arial"/>
          <w:lang w:val="en-GB" w:eastAsia="en-GB"/>
        </w:rPr>
        <w:t>This</w:t>
      </w:r>
      <w:r w:rsidR="00393D7B">
        <w:rPr>
          <w:rFonts w:cs="Arial"/>
          <w:lang w:val="en-GB" w:eastAsia="en-GB"/>
        </w:rPr>
        <w:t xml:space="preserve"> finalised our FACS-based method which selects for </w:t>
      </w:r>
      <w:r>
        <w:rPr>
          <w:rFonts w:cs="Arial"/>
          <w:lang w:val="en-GB" w:eastAsia="en-GB"/>
        </w:rPr>
        <w:t>viable</w:t>
      </w:r>
      <w:r w:rsidR="00393D7B">
        <w:rPr>
          <w:rFonts w:cs="Arial"/>
          <w:lang w:val="en-GB" w:eastAsia="en-GB"/>
        </w:rPr>
        <w:t xml:space="preserve">, singlet and </w:t>
      </w:r>
      <w:r w:rsidR="003A3D31">
        <w:rPr>
          <w:rFonts w:cs="Arial"/>
          <w:lang w:val="en-GB" w:eastAsia="en-GB"/>
        </w:rPr>
        <w:t>mAb-</w:t>
      </w:r>
      <w:r w:rsidR="00393D7B">
        <w:rPr>
          <w:rFonts w:cs="Arial"/>
          <w:lang w:val="en-GB" w:eastAsia="en-GB"/>
        </w:rPr>
        <w:t xml:space="preserve">producing CHO cells. </w:t>
      </w:r>
      <w:r w:rsidR="00C07462">
        <w:rPr>
          <w:rFonts w:cs="Arial"/>
          <w:lang w:val="en-GB" w:eastAsia="en-GB"/>
        </w:rPr>
        <w:t>Cell</w:t>
      </w:r>
      <w:r w:rsidR="00393D7B">
        <w:rPr>
          <w:rFonts w:cs="Arial"/>
          <w:lang w:val="en-GB" w:eastAsia="en-GB"/>
        </w:rPr>
        <w:t>s that fulfil</w:t>
      </w:r>
      <w:r w:rsidR="00C07462">
        <w:rPr>
          <w:rFonts w:cs="Arial"/>
          <w:lang w:val="en-GB" w:eastAsia="en-GB"/>
        </w:rPr>
        <w:t>led</w:t>
      </w:r>
      <w:r w:rsidR="00393D7B">
        <w:rPr>
          <w:rFonts w:cs="Arial"/>
          <w:lang w:val="en-GB" w:eastAsia="en-GB"/>
        </w:rPr>
        <w:t xml:space="preserve"> our gating strategy were sorted into wells of a 96-well plate with lysis buffer; choosing a U-bottom plate to encourage a central location for the 5uL of lysis buffer within each well.</w:t>
      </w:r>
    </w:p>
    <w:p w14:paraId="7998AE53" w14:textId="77777777" w:rsidR="00674BCC" w:rsidRDefault="00674BCC" w:rsidP="00674BCC">
      <w:pPr>
        <w:pStyle w:val="Heading2"/>
        <w:rPr>
          <w:lang w:val="en-GB" w:eastAsia="en-GB"/>
        </w:rPr>
      </w:pPr>
      <w:r>
        <w:rPr>
          <w:lang w:val="en-GB" w:eastAsia="en-GB"/>
        </w:rPr>
        <w:t>DNA Purification</w:t>
      </w:r>
    </w:p>
    <w:p w14:paraId="7164A8E6" w14:textId="72333757" w:rsidR="00674BCC" w:rsidRPr="006A16E4" w:rsidRDefault="00674BCC" w:rsidP="00674BCC">
      <w:pPr>
        <w:rPr>
          <w:lang w:val="en-GB" w:eastAsia="en-GB"/>
        </w:rPr>
      </w:pPr>
      <w:r w:rsidRPr="006A16E4">
        <w:rPr>
          <w:lang w:val="en-GB" w:eastAsia="en-GB"/>
        </w:rPr>
        <w:t xml:space="preserve">Previous bulk analysis of CHO mtDNA used mini-prep kits (QIAGEN) to </w:t>
      </w:r>
      <w:r w:rsidR="009E51A3">
        <w:rPr>
          <w:lang w:val="en-GB" w:eastAsia="en-GB"/>
        </w:rPr>
        <w:t>enrich</w:t>
      </w:r>
      <w:r w:rsidRPr="006A16E4">
        <w:rPr>
          <w:lang w:val="en-GB" w:eastAsia="en-GB"/>
        </w:rPr>
        <w:t xml:space="preserve"> the plasmid-like mtDNA </w:t>
      </w:r>
      <w:r w:rsidR="009E51A3">
        <w:rPr>
          <w:lang w:val="en-GB" w:eastAsia="en-GB"/>
        </w:rPr>
        <w:t>and reduce capture of</w:t>
      </w:r>
      <w:r w:rsidRPr="006A16E4">
        <w:rPr>
          <w:lang w:val="en-GB" w:eastAsia="en-GB"/>
        </w:rPr>
        <w:t xml:space="preserve"> the linear nuclear DNA (Kelly. P et al., 2017). This method proved to be in</w:t>
      </w:r>
      <w:r w:rsidR="009E51A3">
        <w:rPr>
          <w:lang w:val="en-GB" w:eastAsia="en-GB"/>
        </w:rPr>
        <w:t>efficient</w:t>
      </w:r>
      <w:r w:rsidRPr="006A16E4">
        <w:rPr>
          <w:lang w:val="en-GB" w:eastAsia="en-GB"/>
        </w:rPr>
        <w:t xml:space="preserve"> for </w:t>
      </w:r>
      <w:r w:rsidR="00C13785">
        <w:rPr>
          <w:lang w:val="en-GB" w:eastAsia="en-GB"/>
        </w:rPr>
        <w:t>single cell</w:t>
      </w:r>
      <w:r w:rsidRPr="006A16E4">
        <w:rPr>
          <w:lang w:val="en-GB" w:eastAsia="en-GB"/>
        </w:rPr>
        <w:t xml:space="preserve"> samples whose mtDNA mass was much smaller. The </w:t>
      </w:r>
      <w:r w:rsidR="009E51A3">
        <w:rPr>
          <w:lang w:val="en-GB" w:eastAsia="en-GB"/>
        </w:rPr>
        <w:t>phys</w:t>
      </w:r>
      <w:r w:rsidRPr="006A16E4">
        <w:rPr>
          <w:lang w:val="en-GB" w:eastAsia="en-GB"/>
        </w:rPr>
        <w:t>ical filtration system require</w:t>
      </w:r>
      <w:r w:rsidR="007E7ACC">
        <w:rPr>
          <w:lang w:val="en-GB" w:eastAsia="en-GB"/>
        </w:rPr>
        <w:t>d</w:t>
      </w:r>
      <w:r w:rsidRPr="006A16E4">
        <w:rPr>
          <w:lang w:val="en-GB" w:eastAsia="en-GB"/>
        </w:rPr>
        <w:t xml:space="preserve"> quenching meaning</w:t>
      </w:r>
      <w:r w:rsidR="009E51A3">
        <w:rPr>
          <w:lang w:val="en-GB" w:eastAsia="en-GB"/>
        </w:rPr>
        <w:t xml:space="preserve"> that</w:t>
      </w:r>
      <w:r w:rsidRPr="006A16E4">
        <w:rPr>
          <w:lang w:val="en-GB" w:eastAsia="en-GB"/>
        </w:rPr>
        <w:t xml:space="preserve"> low initial volumes, as </w:t>
      </w:r>
      <w:r w:rsidR="009E51A3">
        <w:rPr>
          <w:lang w:val="en-GB" w:eastAsia="en-GB"/>
        </w:rPr>
        <w:t>with</w:t>
      </w:r>
      <w:r w:rsidRPr="006A16E4">
        <w:rPr>
          <w:lang w:val="en-GB" w:eastAsia="en-GB"/>
        </w:rPr>
        <w:t xml:space="preserve"> </w:t>
      </w:r>
      <w:r w:rsidR="00C13785">
        <w:rPr>
          <w:lang w:val="en-GB" w:eastAsia="en-GB"/>
        </w:rPr>
        <w:t>single cell</w:t>
      </w:r>
      <w:r w:rsidRPr="006A16E4">
        <w:rPr>
          <w:lang w:val="en-GB" w:eastAsia="en-GB"/>
        </w:rPr>
        <w:t xml:space="preserve"> samples, </w:t>
      </w:r>
      <w:r w:rsidR="007E7ACC">
        <w:rPr>
          <w:lang w:val="en-GB" w:eastAsia="en-GB"/>
        </w:rPr>
        <w:t>were</w:t>
      </w:r>
      <w:r w:rsidRPr="006A16E4">
        <w:rPr>
          <w:lang w:val="en-GB" w:eastAsia="en-GB"/>
        </w:rPr>
        <w:t xml:space="preserve"> lost. </w:t>
      </w:r>
      <w:proofErr w:type="spellStart"/>
      <w:r w:rsidRPr="006A16E4">
        <w:rPr>
          <w:lang w:val="en-GB" w:eastAsia="en-GB"/>
        </w:rPr>
        <w:t>AMPure</w:t>
      </w:r>
      <w:proofErr w:type="spellEnd"/>
      <w:r w:rsidRPr="006A16E4">
        <w:rPr>
          <w:lang w:val="en-GB" w:eastAsia="en-GB"/>
        </w:rPr>
        <w:t xml:space="preserve"> bead purification emerged as a viable alternative since adaptation to lower volume samples simply required volume reduction of all reagents. </w:t>
      </w:r>
      <w:r>
        <w:rPr>
          <w:lang w:val="en-GB" w:eastAsia="en-GB"/>
        </w:rPr>
        <w:t>Here, p</w:t>
      </w:r>
      <w:r w:rsidRPr="006A16E4">
        <w:rPr>
          <w:lang w:val="en-GB" w:eastAsia="en-GB"/>
        </w:rPr>
        <w:t xml:space="preserve">urification was performed by adding </w:t>
      </w:r>
      <w:proofErr w:type="spellStart"/>
      <w:r w:rsidRPr="006A16E4">
        <w:rPr>
          <w:lang w:val="en-GB" w:eastAsia="en-GB"/>
        </w:rPr>
        <w:t>AMPure</w:t>
      </w:r>
      <w:proofErr w:type="spellEnd"/>
      <w:r w:rsidRPr="006A16E4">
        <w:rPr>
          <w:lang w:val="en-GB" w:eastAsia="en-GB"/>
        </w:rPr>
        <w:t xml:space="preserve"> beads to </w:t>
      </w:r>
      <w:r w:rsidR="00C13785">
        <w:rPr>
          <w:lang w:val="en-GB" w:eastAsia="en-GB"/>
        </w:rPr>
        <w:t>single cell</w:t>
      </w:r>
      <w:r w:rsidRPr="006A16E4">
        <w:rPr>
          <w:lang w:val="en-GB" w:eastAsia="en-GB"/>
        </w:rPr>
        <w:t xml:space="preserve"> samples, applying a magnet, washing with ethanol and eluting with elution buffer. However, caution is advised since nuclear DNA is </w:t>
      </w:r>
      <w:r w:rsidR="00C07462">
        <w:rPr>
          <w:lang w:val="en-GB" w:eastAsia="en-GB"/>
        </w:rPr>
        <w:t>also captured</w:t>
      </w:r>
      <w:r w:rsidRPr="006A16E4">
        <w:rPr>
          <w:lang w:val="en-GB" w:eastAsia="en-GB"/>
        </w:rPr>
        <w:t>.</w:t>
      </w:r>
    </w:p>
    <w:p w14:paraId="35690138" w14:textId="60153585" w:rsidR="00674BCC" w:rsidRDefault="00674BCC" w:rsidP="006A16E4">
      <w:pPr>
        <w:rPr>
          <w:rFonts w:cs="Arial"/>
          <w:lang w:val="en-GB" w:eastAsia="en-GB"/>
        </w:rPr>
      </w:pPr>
      <w:r w:rsidRPr="006A16E4">
        <w:rPr>
          <w:lang w:val="en-GB" w:eastAsia="en-GB"/>
        </w:rPr>
        <w:t xml:space="preserve">The miniprep kit had concomitantly provided some protection against </w:t>
      </w:r>
      <w:proofErr w:type="spellStart"/>
      <w:r w:rsidRPr="006A16E4">
        <w:rPr>
          <w:lang w:val="en-GB" w:eastAsia="en-GB"/>
        </w:rPr>
        <w:t>Numts</w:t>
      </w:r>
      <w:proofErr w:type="spellEnd"/>
      <w:r w:rsidRPr="006A16E4">
        <w:rPr>
          <w:lang w:val="en-GB" w:eastAsia="en-GB"/>
        </w:rPr>
        <w:t xml:space="preserve"> since it is designed to purify circular mtDNA away from linear nuclear DNA</w:t>
      </w:r>
      <w:r w:rsidR="007E7ACC">
        <w:rPr>
          <w:lang w:val="en-GB" w:eastAsia="en-GB"/>
        </w:rPr>
        <w:t xml:space="preserve"> (Kelly. P et al., 2017)</w:t>
      </w:r>
      <w:r w:rsidRPr="006A16E4">
        <w:rPr>
          <w:lang w:val="en-GB" w:eastAsia="en-GB"/>
        </w:rPr>
        <w:t xml:space="preserve">. </w:t>
      </w:r>
      <w:r w:rsidR="00C07462">
        <w:rPr>
          <w:lang w:val="en-GB" w:eastAsia="en-GB"/>
        </w:rPr>
        <w:t>Having eliminated the</w:t>
      </w:r>
      <w:r w:rsidRPr="006A16E4">
        <w:rPr>
          <w:lang w:val="en-GB" w:eastAsia="en-GB"/>
        </w:rPr>
        <w:t xml:space="preserve"> miniprep step, we sought to incorporate additional protection against </w:t>
      </w:r>
      <w:proofErr w:type="spellStart"/>
      <w:r w:rsidRPr="006A16E4">
        <w:rPr>
          <w:lang w:val="en-GB" w:eastAsia="en-GB"/>
        </w:rPr>
        <w:t>Numts</w:t>
      </w:r>
      <w:proofErr w:type="spellEnd"/>
      <w:r w:rsidRPr="006A16E4">
        <w:rPr>
          <w:lang w:val="en-GB" w:eastAsia="en-GB"/>
        </w:rPr>
        <w:t xml:space="preserve">. We </w:t>
      </w:r>
      <w:r w:rsidR="00C07462">
        <w:rPr>
          <w:lang w:val="en-GB" w:eastAsia="en-GB"/>
        </w:rPr>
        <w:t xml:space="preserve">performed a BLAST </w:t>
      </w:r>
      <w:r w:rsidRPr="006A16E4">
        <w:rPr>
          <w:lang w:val="en-GB" w:eastAsia="en-GB"/>
        </w:rPr>
        <w:t>search</w:t>
      </w:r>
      <w:r w:rsidR="00C07462">
        <w:rPr>
          <w:lang w:val="en-GB" w:eastAsia="en-GB"/>
        </w:rPr>
        <w:t xml:space="preserve"> of</w:t>
      </w:r>
      <w:r w:rsidRPr="006A16E4">
        <w:rPr>
          <w:lang w:val="en-GB" w:eastAsia="en-GB"/>
        </w:rPr>
        <w:t xml:space="preserve"> our mtDNA amplification primer sequences against the nuclear CHO reference genomes </w:t>
      </w:r>
      <w:r w:rsidR="00C07462">
        <w:rPr>
          <w:lang w:val="en-GB" w:eastAsia="en-GB"/>
        </w:rPr>
        <w:t>and found</w:t>
      </w:r>
      <w:r w:rsidRPr="006A16E4">
        <w:rPr>
          <w:lang w:val="en-GB" w:eastAsia="en-GB"/>
        </w:rPr>
        <w:t xml:space="preserve"> no matches, suggesting there are no nuclear sequences to which our primers should bind. Also, </w:t>
      </w:r>
      <w:proofErr w:type="spellStart"/>
      <w:r w:rsidRPr="006A16E4">
        <w:rPr>
          <w:lang w:val="en-GB" w:eastAsia="en-GB"/>
        </w:rPr>
        <w:t>Numts</w:t>
      </w:r>
      <w:proofErr w:type="spellEnd"/>
      <w:r w:rsidRPr="006A16E4">
        <w:rPr>
          <w:lang w:val="en-GB" w:eastAsia="en-GB"/>
        </w:rPr>
        <w:t xml:space="preserve"> tend to be shorter sequences</w:t>
      </w:r>
      <w:r w:rsidR="00841CF7">
        <w:rPr>
          <w:lang w:val="en-GB" w:eastAsia="en-GB"/>
        </w:rPr>
        <w:t xml:space="preserve">, with 78% </w:t>
      </w:r>
      <w:r w:rsidR="00C07462">
        <w:rPr>
          <w:lang w:val="en-GB" w:eastAsia="en-GB"/>
        </w:rPr>
        <w:t>shorter</w:t>
      </w:r>
      <w:r w:rsidR="00841CF7">
        <w:rPr>
          <w:lang w:val="en-GB" w:eastAsia="en-GB"/>
        </w:rPr>
        <w:t xml:space="preserve"> than 500bp in human mtDNA (Wei et al. 2022)</w:t>
      </w:r>
      <w:r w:rsidRPr="006A16E4">
        <w:rPr>
          <w:lang w:val="en-GB" w:eastAsia="en-GB"/>
        </w:rPr>
        <w:t xml:space="preserve">. Therefore, we reasoned that specific gel purification of 8.5kb </w:t>
      </w:r>
      <w:r w:rsidR="00C07462">
        <w:rPr>
          <w:lang w:val="en-GB" w:eastAsia="en-GB"/>
        </w:rPr>
        <w:t>amplicons</w:t>
      </w:r>
      <w:r w:rsidR="00C07462" w:rsidRPr="006A16E4">
        <w:rPr>
          <w:lang w:val="en-GB" w:eastAsia="en-GB"/>
        </w:rPr>
        <w:t xml:space="preserve"> </w:t>
      </w:r>
      <w:r w:rsidRPr="006A16E4">
        <w:rPr>
          <w:lang w:val="en-GB" w:eastAsia="en-GB"/>
        </w:rPr>
        <w:t xml:space="preserve">would be unlikely to </w:t>
      </w:r>
      <w:r w:rsidR="00C07462">
        <w:rPr>
          <w:lang w:val="en-GB" w:eastAsia="en-GB"/>
        </w:rPr>
        <w:t>be contaminated with</w:t>
      </w:r>
      <w:r w:rsidRPr="006A16E4">
        <w:rPr>
          <w:lang w:val="en-GB" w:eastAsia="en-GB"/>
        </w:rPr>
        <w:t xml:space="preserve"> </w:t>
      </w:r>
      <w:proofErr w:type="spellStart"/>
      <w:r w:rsidRPr="006A16E4">
        <w:rPr>
          <w:lang w:val="en-GB" w:eastAsia="en-GB"/>
        </w:rPr>
        <w:t>Numts</w:t>
      </w:r>
      <w:proofErr w:type="spellEnd"/>
      <w:r w:rsidRPr="006A16E4">
        <w:rPr>
          <w:lang w:val="en-GB" w:eastAsia="en-GB"/>
        </w:rPr>
        <w:t>.</w:t>
      </w:r>
    </w:p>
    <w:p w14:paraId="536F8A56" w14:textId="5F6C5DF8" w:rsidR="006A16E4" w:rsidRDefault="006A16E4" w:rsidP="006A16E4">
      <w:pPr>
        <w:pStyle w:val="Heading2"/>
        <w:rPr>
          <w:lang w:val="en-GB" w:eastAsia="en-GB"/>
        </w:rPr>
      </w:pPr>
      <w:r>
        <w:rPr>
          <w:lang w:val="en-GB" w:eastAsia="en-GB"/>
        </w:rPr>
        <w:lastRenderedPageBreak/>
        <w:t>DNA Amplification</w:t>
      </w:r>
    </w:p>
    <w:p w14:paraId="6ED47F8B" w14:textId="6E41D488" w:rsidR="006A16E4" w:rsidRDefault="00674BCC" w:rsidP="006A16E4">
      <w:pPr>
        <w:rPr>
          <w:rFonts w:cs="Arial"/>
          <w:lang w:val="en-GB" w:eastAsia="en-GB"/>
        </w:rPr>
      </w:pPr>
      <w:r>
        <w:rPr>
          <w:rFonts w:cs="Arial"/>
          <w:lang w:val="en-GB" w:eastAsia="en-GB"/>
        </w:rPr>
        <w:t xml:space="preserve">The </w:t>
      </w:r>
      <w:r w:rsidR="006A16E4">
        <w:rPr>
          <w:rFonts w:cs="Arial"/>
          <w:lang w:val="en-GB" w:eastAsia="en-GB"/>
        </w:rPr>
        <w:t xml:space="preserve">biggest </w:t>
      </w:r>
      <w:r w:rsidR="006A16E4" w:rsidRPr="00187FD3">
        <w:rPr>
          <w:rFonts w:cs="Arial"/>
          <w:lang w:val="en-GB" w:eastAsia="en-GB"/>
        </w:rPr>
        <w:t xml:space="preserve">bottleneck for </w:t>
      </w:r>
      <w:r w:rsidR="00C13785">
        <w:rPr>
          <w:rFonts w:cs="Arial"/>
          <w:lang w:val="en-GB" w:eastAsia="en-GB"/>
        </w:rPr>
        <w:t>single cell</w:t>
      </w:r>
      <w:r w:rsidR="006A16E4" w:rsidRPr="00187FD3">
        <w:rPr>
          <w:rFonts w:cs="Arial"/>
          <w:lang w:val="en-GB" w:eastAsia="en-GB"/>
        </w:rPr>
        <w:t xml:space="preserve"> mtDNA </w:t>
      </w:r>
      <w:r w:rsidR="006A16E4">
        <w:rPr>
          <w:rFonts w:cs="Arial"/>
          <w:lang w:val="en-GB" w:eastAsia="en-GB"/>
        </w:rPr>
        <w:t xml:space="preserve">sequencing </w:t>
      </w:r>
      <w:r w:rsidR="00F643C6">
        <w:rPr>
          <w:rFonts w:cs="Arial"/>
          <w:lang w:val="en-GB" w:eastAsia="en-GB"/>
        </w:rPr>
        <w:t>was</w:t>
      </w:r>
      <w:r w:rsidR="006A16E4">
        <w:rPr>
          <w:rFonts w:cs="Arial"/>
          <w:lang w:val="en-GB" w:eastAsia="en-GB"/>
        </w:rPr>
        <w:t xml:space="preserve"> the DNA amplification step. </w:t>
      </w:r>
      <w:r>
        <w:rPr>
          <w:rFonts w:cs="Arial"/>
          <w:lang w:val="en-GB" w:eastAsia="en-GB"/>
        </w:rPr>
        <w:t xml:space="preserve">Adaptation of the DNA amplification centred on compatibility with </w:t>
      </w:r>
      <w:r w:rsidR="00F432EE">
        <w:rPr>
          <w:rFonts w:cs="Arial"/>
          <w:lang w:val="en-GB" w:eastAsia="en-GB"/>
        </w:rPr>
        <w:t xml:space="preserve">as much as a </w:t>
      </w:r>
      <w:r>
        <w:rPr>
          <w:rFonts w:cs="Arial"/>
          <w:lang w:val="en-GB" w:eastAsia="en-GB"/>
        </w:rPr>
        <w:t>million</w:t>
      </w:r>
      <w:r w:rsidR="008B29A0">
        <w:rPr>
          <w:rFonts w:cs="Arial"/>
          <w:lang w:val="en-GB" w:eastAsia="en-GB"/>
        </w:rPr>
        <w:t>-fold</w:t>
      </w:r>
      <w:r>
        <w:rPr>
          <w:rFonts w:cs="Arial"/>
          <w:lang w:val="en-GB" w:eastAsia="en-GB"/>
        </w:rPr>
        <w:t xml:space="preserve"> </w:t>
      </w:r>
      <w:r w:rsidR="008B29A0">
        <w:rPr>
          <w:rFonts w:cs="Arial"/>
          <w:lang w:val="en-GB" w:eastAsia="en-GB"/>
        </w:rPr>
        <w:t>lower</w:t>
      </w:r>
      <w:r>
        <w:rPr>
          <w:rFonts w:cs="Arial"/>
          <w:lang w:val="en-GB" w:eastAsia="en-GB"/>
        </w:rPr>
        <w:t xml:space="preserve"> </w:t>
      </w:r>
      <w:r w:rsidR="00F432EE">
        <w:rPr>
          <w:rFonts w:cs="Arial"/>
          <w:lang w:val="en-GB" w:eastAsia="en-GB"/>
        </w:rPr>
        <w:t xml:space="preserve">starting </w:t>
      </w:r>
      <w:r>
        <w:rPr>
          <w:rFonts w:cs="Arial"/>
          <w:lang w:val="en-GB" w:eastAsia="en-GB"/>
        </w:rPr>
        <w:t xml:space="preserve">DNA </w:t>
      </w:r>
      <w:r w:rsidR="008B29A0">
        <w:rPr>
          <w:rFonts w:cs="Arial"/>
          <w:lang w:val="en-GB" w:eastAsia="en-GB"/>
        </w:rPr>
        <w:t>material</w:t>
      </w:r>
      <w:r w:rsidR="00F432EE">
        <w:rPr>
          <w:rFonts w:cs="Arial"/>
          <w:lang w:val="en-GB" w:eastAsia="en-GB"/>
        </w:rPr>
        <w:t xml:space="preserve"> compared to extracting from a standard cell population sample</w:t>
      </w:r>
      <w:r>
        <w:rPr>
          <w:rFonts w:cs="Arial"/>
          <w:lang w:val="en-GB" w:eastAsia="en-GB"/>
        </w:rPr>
        <w:t xml:space="preserve">. </w:t>
      </w:r>
      <w:r w:rsidR="006A16E4">
        <w:rPr>
          <w:rFonts w:cs="Arial"/>
          <w:lang w:val="en-GB" w:eastAsia="en-GB"/>
        </w:rPr>
        <w:t>We first selected a high-fidelity</w:t>
      </w:r>
      <w:r w:rsidR="00937238">
        <w:rPr>
          <w:rFonts w:cs="Arial"/>
          <w:lang w:val="en-GB" w:eastAsia="en-GB"/>
        </w:rPr>
        <w:t>, long-range</w:t>
      </w:r>
      <w:r w:rsidR="006A16E4">
        <w:rPr>
          <w:rFonts w:cs="Arial"/>
          <w:lang w:val="en-GB" w:eastAsia="en-GB"/>
        </w:rPr>
        <w:t xml:space="preserve"> LR</w:t>
      </w:r>
      <w:r w:rsidR="00937238">
        <w:rPr>
          <w:rFonts w:cs="Arial"/>
          <w:lang w:val="en-GB" w:eastAsia="en-GB"/>
        </w:rPr>
        <w:t>-</w:t>
      </w:r>
      <w:r w:rsidR="006A16E4">
        <w:rPr>
          <w:rFonts w:cs="Arial"/>
          <w:lang w:val="en-GB" w:eastAsia="en-GB"/>
        </w:rPr>
        <w:t>PCR kit (</w:t>
      </w:r>
      <w:proofErr w:type="spellStart"/>
      <w:r w:rsidR="006A16E4">
        <w:rPr>
          <w:rFonts w:cs="Arial"/>
          <w:lang w:val="en-GB" w:eastAsia="en-GB"/>
        </w:rPr>
        <w:t>SuperFi</w:t>
      </w:r>
      <w:proofErr w:type="spellEnd"/>
      <w:r w:rsidR="006A16E4">
        <w:rPr>
          <w:rFonts w:cs="Arial"/>
          <w:lang w:val="en-GB" w:eastAsia="en-GB"/>
        </w:rPr>
        <w:t xml:space="preserve"> II. </w:t>
      </w:r>
      <w:r w:rsidR="00F643C6" w:rsidRPr="00187FD3">
        <w:t>Invitrogen 12361010)</w:t>
      </w:r>
      <w:r w:rsidR="006A16E4">
        <w:rPr>
          <w:rFonts w:cs="Arial"/>
          <w:lang w:val="en-GB" w:eastAsia="en-GB"/>
        </w:rPr>
        <w:t xml:space="preserve">). We then designed primers </w:t>
      </w:r>
      <w:r w:rsidR="00937238">
        <w:rPr>
          <w:rFonts w:cs="Arial"/>
          <w:lang w:val="en-GB" w:eastAsia="en-GB"/>
        </w:rPr>
        <w:t>to</w:t>
      </w:r>
      <w:r w:rsidR="006A16E4">
        <w:rPr>
          <w:rFonts w:cs="Arial"/>
          <w:lang w:val="en-GB" w:eastAsia="en-GB"/>
        </w:rPr>
        <w:t xml:space="preserve"> amplify the mtDNA in </w:t>
      </w:r>
      <w:r w:rsidR="00F432EE">
        <w:rPr>
          <w:rFonts w:cs="Arial"/>
          <w:lang w:val="en-GB" w:eastAsia="en-GB"/>
        </w:rPr>
        <w:t>two</w:t>
      </w:r>
      <w:r w:rsidR="006A16E4">
        <w:rPr>
          <w:rFonts w:cs="Arial"/>
          <w:lang w:val="en-GB" w:eastAsia="en-GB"/>
        </w:rPr>
        <w:t xml:space="preserve"> separate overlapping fragments, as previously done for bulk analysis (Kelly et al., 2017). </w:t>
      </w:r>
      <w:r w:rsidR="00F432EE">
        <w:rPr>
          <w:rFonts w:cs="Arial"/>
          <w:lang w:val="en-GB" w:eastAsia="en-GB"/>
        </w:rPr>
        <w:t>T</w:t>
      </w:r>
      <w:r w:rsidR="006A16E4">
        <w:rPr>
          <w:rFonts w:cs="Arial"/>
          <w:lang w:val="en-GB" w:eastAsia="en-GB"/>
        </w:rPr>
        <w:t>he</w:t>
      </w:r>
      <w:r w:rsidR="006A16E4" w:rsidRPr="00187FD3">
        <w:rPr>
          <w:rFonts w:cs="Arial"/>
          <w:lang w:val="en-GB" w:eastAsia="en-GB"/>
        </w:rPr>
        <w:t xml:space="preserve"> mini-prep kit</w:t>
      </w:r>
      <w:r w:rsidR="00A61DE5">
        <w:rPr>
          <w:rFonts w:cs="Arial"/>
          <w:lang w:val="en-GB" w:eastAsia="en-GB"/>
        </w:rPr>
        <w:t>, as previously used by Kelly et al.,</w:t>
      </w:r>
      <w:r w:rsidR="006A16E4" w:rsidRPr="00187FD3">
        <w:rPr>
          <w:rFonts w:cs="Arial"/>
          <w:lang w:val="en-GB" w:eastAsia="en-GB"/>
        </w:rPr>
        <w:t xml:space="preserve"> utilise</w:t>
      </w:r>
      <w:r w:rsidR="00A61DE5">
        <w:rPr>
          <w:rFonts w:cs="Arial"/>
          <w:lang w:val="en-GB" w:eastAsia="en-GB"/>
        </w:rPr>
        <w:t>d</w:t>
      </w:r>
      <w:r w:rsidR="006A16E4" w:rsidRPr="00187FD3">
        <w:rPr>
          <w:rFonts w:cs="Arial"/>
          <w:lang w:val="en-GB" w:eastAsia="en-GB"/>
        </w:rPr>
        <w:t xml:space="preserve"> a bacterial</w:t>
      </w:r>
      <w:r w:rsidR="006A16E4">
        <w:rPr>
          <w:rFonts w:cs="Arial"/>
          <w:lang w:val="en-GB" w:eastAsia="en-GB"/>
        </w:rPr>
        <w:t>-</w:t>
      </w:r>
      <w:r w:rsidR="00F432EE">
        <w:rPr>
          <w:rFonts w:cs="Arial"/>
          <w:lang w:val="en-GB" w:eastAsia="en-GB"/>
        </w:rPr>
        <w:t>specific</w:t>
      </w:r>
      <w:r w:rsidR="006A16E4" w:rsidRPr="00187FD3">
        <w:rPr>
          <w:rFonts w:cs="Arial"/>
          <w:lang w:val="en-GB" w:eastAsia="en-GB"/>
        </w:rPr>
        <w:t xml:space="preserve"> lysis method. </w:t>
      </w:r>
      <w:r w:rsidRPr="00187FD3">
        <w:rPr>
          <w:rFonts w:cs="Arial"/>
          <w:lang w:val="en-GB" w:eastAsia="en-GB"/>
        </w:rPr>
        <w:t xml:space="preserve">We </w:t>
      </w:r>
      <w:r w:rsidR="00F432EE">
        <w:rPr>
          <w:rFonts w:cs="Arial"/>
          <w:lang w:val="en-GB" w:eastAsia="en-GB"/>
        </w:rPr>
        <w:t>anticipated</w:t>
      </w:r>
      <w:r>
        <w:rPr>
          <w:rFonts w:cs="Arial"/>
          <w:lang w:val="en-GB" w:eastAsia="en-GB"/>
        </w:rPr>
        <w:t xml:space="preserve"> that </w:t>
      </w:r>
      <w:r w:rsidRPr="00187FD3">
        <w:rPr>
          <w:rFonts w:cs="Arial"/>
          <w:lang w:val="en-GB" w:eastAsia="en-GB"/>
        </w:rPr>
        <w:t>a mammalian</w:t>
      </w:r>
      <w:r>
        <w:rPr>
          <w:rFonts w:cs="Arial"/>
          <w:lang w:val="en-GB" w:eastAsia="en-GB"/>
        </w:rPr>
        <w:t>-</w:t>
      </w:r>
      <w:r w:rsidR="00F432EE">
        <w:rPr>
          <w:rFonts w:cs="Arial"/>
          <w:lang w:val="en-GB" w:eastAsia="en-GB"/>
        </w:rPr>
        <w:t>specific</w:t>
      </w:r>
      <w:r w:rsidRPr="00187FD3">
        <w:rPr>
          <w:rFonts w:cs="Arial"/>
          <w:lang w:val="en-GB" w:eastAsia="en-GB"/>
        </w:rPr>
        <w:t xml:space="preserve"> lysis buffer </w:t>
      </w:r>
      <w:r w:rsidR="00F432EE">
        <w:rPr>
          <w:rFonts w:cs="Arial"/>
          <w:lang w:val="en-GB" w:eastAsia="en-GB"/>
        </w:rPr>
        <w:t>might</w:t>
      </w:r>
      <w:r w:rsidRPr="00187FD3">
        <w:rPr>
          <w:rFonts w:cs="Arial"/>
          <w:lang w:val="en-GB" w:eastAsia="en-GB"/>
        </w:rPr>
        <w:t xml:space="preserve"> liberate more mtDNA </w:t>
      </w:r>
      <w:r>
        <w:rPr>
          <w:rFonts w:cs="Arial"/>
          <w:lang w:val="en-GB" w:eastAsia="en-GB"/>
        </w:rPr>
        <w:t xml:space="preserve">than </w:t>
      </w:r>
      <w:r w:rsidR="00A61DE5">
        <w:rPr>
          <w:rFonts w:cs="Arial"/>
          <w:lang w:val="en-GB" w:eastAsia="en-GB"/>
        </w:rPr>
        <w:t xml:space="preserve">a </w:t>
      </w:r>
      <w:r>
        <w:rPr>
          <w:rFonts w:cs="Arial"/>
          <w:lang w:val="en-GB" w:eastAsia="en-GB"/>
        </w:rPr>
        <w:t>bacterial lysis buffer</w:t>
      </w:r>
      <w:r w:rsidR="00937238">
        <w:rPr>
          <w:rFonts w:cs="Arial"/>
          <w:lang w:val="en-GB" w:eastAsia="en-GB"/>
        </w:rPr>
        <w:t>,</w:t>
      </w:r>
      <w:r>
        <w:rPr>
          <w:rFonts w:cs="Arial"/>
          <w:lang w:val="en-GB" w:eastAsia="en-GB"/>
        </w:rPr>
        <w:t xml:space="preserve"> </w:t>
      </w:r>
      <w:r w:rsidR="00F432EE">
        <w:rPr>
          <w:rFonts w:cs="Arial"/>
          <w:lang w:val="en-GB" w:eastAsia="en-GB"/>
        </w:rPr>
        <w:t>accounting for</w:t>
      </w:r>
      <w:r>
        <w:rPr>
          <w:rFonts w:cs="Arial"/>
          <w:lang w:val="en-GB" w:eastAsia="en-GB"/>
        </w:rPr>
        <w:t xml:space="preserve"> the presence of</w:t>
      </w:r>
      <w:r w:rsidRPr="00187FD3">
        <w:rPr>
          <w:rFonts w:cs="Arial"/>
          <w:lang w:val="en-GB" w:eastAsia="en-GB"/>
        </w:rPr>
        <w:t xml:space="preserve"> both the outer cell membrane and the double-membrane </w:t>
      </w:r>
      <w:r>
        <w:rPr>
          <w:rFonts w:cs="Arial"/>
          <w:lang w:val="en-GB" w:eastAsia="en-GB"/>
        </w:rPr>
        <w:t>of the mitochondria</w:t>
      </w:r>
      <w:r w:rsidR="00F643C6">
        <w:rPr>
          <w:rFonts w:cs="Arial"/>
          <w:lang w:val="en-GB" w:eastAsia="en-GB"/>
        </w:rPr>
        <w:t xml:space="preserve"> (</w:t>
      </w:r>
      <w:r w:rsidR="00F643C6">
        <w:rPr>
          <w:rFonts w:cs="Arial"/>
          <w:b/>
          <w:bCs/>
          <w:lang w:val="en-GB" w:eastAsia="en-GB"/>
        </w:rPr>
        <w:t>Fig. 1A</w:t>
      </w:r>
      <w:r w:rsidR="00F643C6">
        <w:rPr>
          <w:rFonts w:cs="Arial"/>
          <w:lang w:val="en-GB" w:eastAsia="en-GB"/>
        </w:rPr>
        <w:t>)</w:t>
      </w:r>
      <w:r>
        <w:rPr>
          <w:rFonts w:cs="Arial"/>
          <w:lang w:val="en-GB" w:eastAsia="en-GB"/>
        </w:rPr>
        <w:t>.</w:t>
      </w:r>
    </w:p>
    <w:p w14:paraId="67238ABD" w14:textId="0A7C1B61" w:rsidR="00393D7B" w:rsidRDefault="00F432EE" w:rsidP="00393D7B">
      <w:pPr>
        <w:rPr>
          <w:rFonts w:cs="Arial"/>
          <w:lang w:val="en-GB" w:eastAsia="en-GB"/>
        </w:rPr>
      </w:pPr>
      <w:r w:rsidRPr="00F432EE">
        <w:rPr>
          <w:rFonts w:cs="Arial"/>
          <w:lang w:val="en-GB" w:eastAsia="en-GB"/>
        </w:rPr>
        <w:t>We found that PCR component storage and utilisation was a c</w:t>
      </w:r>
      <w:r w:rsidR="00937238" w:rsidRPr="00F432EE">
        <w:rPr>
          <w:rFonts w:cs="Arial"/>
          <w:lang w:val="en-GB" w:eastAsia="en-GB"/>
        </w:rPr>
        <w:t xml:space="preserve">ritical </w:t>
      </w:r>
      <w:r w:rsidRPr="00F432EE">
        <w:rPr>
          <w:rFonts w:cs="Arial"/>
          <w:lang w:val="en-GB" w:eastAsia="en-GB"/>
        </w:rPr>
        <w:t>element of the protocol being successful.</w:t>
      </w:r>
      <w:r w:rsidR="00937238" w:rsidRPr="00F432EE">
        <w:rPr>
          <w:rFonts w:cs="Arial"/>
          <w:lang w:val="en-GB" w:eastAsia="en-GB"/>
        </w:rPr>
        <w:t xml:space="preserve"> </w:t>
      </w:r>
      <w:r w:rsidR="00674BCC" w:rsidRPr="00F432EE">
        <w:rPr>
          <w:rFonts w:cs="Arial"/>
          <w:lang w:val="en-GB" w:eastAsia="en-GB"/>
        </w:rPr>
        <w:t xml:space="preserve">Immediately on component arrival, </w:t>
      </w:r>
      <w:r w:rsidR="00937238" w:rsidRPr="00F432EE">
        <w:rPr>
          <w:rFonts w:cs="Arial"/>
          <w:lang w:val="en-GB" w:eastAsia="en-GB"/>
        </w:rPr>
        <w:t>dNTPs and primers</w:t>
      </w:r>
      <w:r w:rsidR="00674BCC" w:rsidRPr="00F432EE">
        <w:rPr>
          <w:rFonts w:cs="Arial"/>
          <w:lang w:val="en-GB" w:eastAsia="en-GB"/>
        </w:rPr>
        <w:t xml:space="preserve"> were diluted to the desired </w:t>
      </w:r>
      <w:r w:rsidR="00674BCC" w:rsidRPr="00187FD3">
        <w:rPr>
          <w:rFonts w:cs="Arial"/>
          <w:lang w:val="en-GB" w:eastAsia="en-GB"/>
        </w:rPr>
        <w:t>concentrations, aliquoted into microtubes and stored at -80</w:t>
      </w:r>
      <w:r w:rsidR="00674BCC" w:rsidRPr="004C72DC">
        <w:rPr>
          <w:rFonts w:cs="Arial"/>
          <w:lang w:val="en-GB" w:eastAsia="en-GB"/>
        </w:rPr>
        <w:t>°</w:t>
      </w:r>
      <w:r w:rsidR="00674BCC" w:rsidRPr="00187FD3">
        <w:rPr>
          <w:rFonts w:cs="Arial"/>
          <w:lang w:val="en-GB" w:eastAsia="en-GB"/>
        </w:rPr>
        <w:t>C. For each LRPCR reaction, a new aliquot was thawed, used and the aliquot discarded.</w:t>
      </w:r>
      <w:r w:rsidR="00F643C6">
        <w:rPr>
          <w:rFonts w:cs="Arial"/>
          <w:lang w:val="en-GB" w:eastAsia="en-GB"/>
        </w:rPr>
        <w:t xml:space="preserve"> </w:t>
      </w:r>
      <w:r>
        <w:rPr>
          <w:rFonts w:cs="Arial"/>
          <w:lang w:val="en-GB" w:eastAsia="en-GB"/>
        </w:rPr>
        <w:t>As a precaution</w:t>
      </w:r>
      <w:r w:rsidR="00393D7B">
        <w:rPr>
          <w:rFonts w:cs="Arial"/>
          <w:lang w:val="en-GB" w:eastAsia="en-GB"/>
        </w:rPr>
        <w:t>, we sorted 0 cells into a 96-well plate (</w:t>
      </w:r>
      <w:r w:rsidR="00393D7B">
        <w:rPr>
          <w:rFonts w:cs="Arial"/>
          <w:b/>
          <w:lang w:val="en-GB" w:eastAsia="en-GB"/>
        </w:rPr>
        <w:t xml:space="preserve">Fig. </w:t>
      </w:r>
      <w:r w:rsidR="004F327C">
        <w:rPr>
          <w:rFonts w:cs="Arial"/>
          <w:b/>
          <w:lang w:val="en-GB" w:eastAsia="en-GB"/>
        </w:rPr>
        <w:t>2</w:t>
      </w:r>
      <w:r w:rsidR="00393D7B">
        <w:rPr>
          <w:rFonts w:cs="Arial"/>
          <w:b/>
          <w:lang w:val="en-GB" w:eastAsia="en-GB"/>
        </w:rPr>
        <w:t>G</w:t>
      </w:r>
      <w:r w:rsidR="00393D7B">
        <w:rPr>
          <w:rFonts w:cs="Arial"/>
          <w:lang w:val="en-GB" w:eastAsia="en-GB"/>
        </w:rPr>
        <w:t>)</w:t>
      </w:r>
      <w:r>
        <w:rPr>
          <w:rFonts w:cs="Arial"/>
          <w:lang w:val="en-GB" w:eastAsia="en-GB"/>
        </w:rPr>
        <w:t xml:space="preserve"> </w:t>
      </w:r>
      <w:r w:rsidR="00393D7B">
        <w:rPr>
          <w:rFonts w:cs="Arial"/>
          <w:lang w:val="en-GB" w:eastAsia="en-GB"/>
        </w:rPr>
        <w:t xml:space="preserve">to test for sources of contamination </w:t>
      </w:r>
      <w:r w:rsidR="00201260">
        <w:rPr>
          <w:rFonts w:cs="Arial"/>
          <w:lang w:val="en-GB" w:eastAsia="en-GB"/>
        </w:rPr>
        <w:t>during the</w:t>
      </w:r>
      <w:r w:rsidR="00393D7B">
        <w:rPr>
          <w:rFonts w:cs="Arial"/>
          <w:lang w:val="en-GB" w:eastAsia="en-GB"/>
        </w:rPr>
        <w:t xml:space="preserve"> protocol that could lead to</w:t>
      </w:r>
      <w:r w:rsidR="00201260">
        <w:rPr>
          <w:rFonts w:cs="Arial"/>
          <w:lang w:val="en-GB" w:eastAsia="en-GB"/>
        </w:rPr>
        <w:t xml:space="preserve"> non-specific</w:t>
      </w:r>
      <w:r w:rsidR="00393D7B">
        <w:rPr>
          <w:rFonts w:cs="Arial"/>
          <w:lang w:val="en-GB" w:eastAsia="en-GB"/>
        </w:rPr>
        <w:t xml:space="preserve"> amplification. We did not observe any </w:t>
      </w:r>
      <w:r>
        <w:rPr>
          <w:rFonts w:cs="Arial"/>
          <w:lang w:val="en-GB" w:eastAsia="en-GB"/>
        </w:rPr>
        <w:t>amplicons from these wells</w:t>
      </w:r>
      <w:r w:rsidR="00393D7B">
        <w:rPr>
          <w:rFonts w:cs="Arial"/>
          <w:lang w:val="en-GB" w:eastAsia="en-GB"/>
        </w:rPr>
        <w:t xml:space="preserve">. We then applied the method to a </w:t>
      </w:r>
      <w:r w:rsidR="00C13785">
        <w:rPr>
          <w:rFonts w:cs="Arial"/>
          <w:lang w:val="en-GB" w:eastAsia="en-GB"/>
        </w:rPr>
        <w:t>single cell</w:t>
      </w:r>
      <w:r w:rsidR="00393D7B">
        <w:rPr>
          <w:rFonts w:cs="Arial"/>
          <w:lang w:val="en-GB" w:eastAsia="en-GB"/>
        </w:rPr>
        <w:t xml:space="preserve"> sample, and also to a 1000 cell sample (</w:t>
      </w:r>
      <w:r w:rsidR="00393D7B">
        <w:rPr>
          <w:rFonts w:cs="Arial"/>
          <w:b/>
          <w:lang w:val="en-GB" w:eastAsia="en-GB"/>
        </w:rPr>
        <w:t xml:space="preserve">Fig. </w:t>
      </w:r>
      <w:r w:rsidR="004F327C">
        <w:rPr>
          <w:rFonts w:cs="Arial"/>
          <w:b/>
          <w:lang w:val="en-GB" w:eastAsia="en-GB"/>
        </w:rPr>
        <w:t>2</w:t>
      </w:r>
      <w:r w:rsidR="00393D7B">
        <w:rPr>
          <w:rFonts w:cs="Arial"/>
          <w:b/>
          <w:lang w:val="en-GB" w:eastAsia="en-GB"/>
        </w:rPr>
        <w:t>G</w:t>
      </w:r>
      <w:r w:rsidR="00393D7B">
        <w:rPr>
          <w:rFonts w:cs="Arial"/>
          <w:lang w:val="en-GB" w:eastAsia="en-GB"/>
        </w:rPr>
        <w:t>). We observed successful amplification of</w:t>
      </w:r>
      <w:r w:rsidR="00201260">
        <w:rPr>
          <w:rFonts w:cs="Arial"/>
          <w:lang w:val="en-GB" w:eastAsia="en-GB"/>
        </w:rPr>
        <w:t xml:space="preserve"> both amplicons of</w:t>
      </w:r>
      <w:r w:rsidR="00393D7B">
        <w:rPr>
          <w:rFonts w:cs="Arial"/>
          <w:lang w:val="en-GB" w:eastAsia="en-GB"/>
        </w:rPr>
        <w:t xml:space="preserve"> mtDNA from both 1000 cells and a </w:t>
      </w:r>
      <w:r w:rsidR="00C13785">
        <w:rPr>
          <w:rFonts w:cs="Arial"/>
          <w:lang w:val="en-GB" w:eastAsia="en-GB"/>
        </w:rPr>
        <w:t>single cell</w:t>
      </w:r>
      <w:r w:rsidR="00F643C6">
        <w:rPr>
          <w:rFonts w:cs="Arial"/>
          <w:lang w:val="en-GB" w:eastAsia="en-GB"/>
        </w:rPr>
        <w:t>.</w:t>
      </w:r>
    </w:p>
    <w:p w14:paraId="0FD3D70A" w14:textId="26E08ABC" w:rsidR="00DE5681" w:rsidRDefault="00A61DE5" w:rsidP="006A16E4">
      <w:pPr>
        <w:pStyle w:val="Heading2"/>
        <w:rPr>
          <w:lang w:val="en-GB" w:eastAsia="en-GB"/>
        </w:rPr>
      </w:pPr>
      <w:r>
        <w:rPr>
          <w:lang w:val="en-GB" w:eastAsia="en-GB"/>
        </w:rPr>
        <w:t>Sample Generation and Library Preparation</w:t>
      </w:r>
    </w:p>
    <w:p w14:paraId="7E21A811" w14:textId="792586B9" w:rsidR="00393D7B" w:rsidRDefault="00266FAC" w:rsidP="00393D7B">
      <w:pPr>
        <w:rPr>
          <w:rFonts w:cs="Arial"/>
          <w:lang w:val="en-GB" w:eastAsia="en-GB"/>
        </w:rPr>
      </w:pPr>
      <w:r>
        <w:rPr>
          <w:rFonts w:cs="Arial"/>
          <w:lang w:val="en-GB" w:eastAsia="en-GB"/>
        </w:rPr>
        <w:t xml:space="preserve">Once </w:t>
      </w:r>
      <w:r w:rsidR="00393D7B">
        <w:rPr>
          <w:rFonts w:cs="Arial"/>
          <w:lang w:val="en-GB" w:eastAsia="en-GB"/>
        </w:rPr>
        <w:t>amplif</w:t>
      </w:r>
      <w:r>
        <w:rPr>
          <w:rFonts w:cs="Arial"/>
          <w:lang w:val="en-GB" w:eastAsia="en-GB"/>
        </w:rPr>
        <w:t>ication of</w:t>
      </w:r>
      <w:r w:rsidR="00393D7B">
        <w:rPr>
          <w:rFonts w:cs="Arial"/>
          <w:lang w:val="en-GB" w:eastAsia="en-GB"/>
        </w:rPr>
        <w:t xml:space="preserve"> mtDNA from </w:t>
      </w:r>
      <w:r w:rsidR="00C13785">
        <w:rPr>
          <w:rFonts w:cs="Arial"/>
          <w:lang w:val="en-GB" w:eastAsia="en-GB"/>
        </w:rPr>
        <w:t>single cell</w:t>
      </w:r>
      <w:r w:rsidR="00393D7B">
        <w:rPr>
          <w:rFonts w:cs="Arial"/>
          <w:lang w:val="en-GB" w:eastAsia="en-GB"/>
        </w:rPr>
        <w:t>s</w:t>
      </w:r>
      <w:r>
        <w:rPr>
          <w:rFonts w:cs="Arial"/>
          <w:lang w:val="en-GB" w:eastAsia="en-GB"/>
        </w:rPr>
        <w:t xml:space="preserve"> was achieved</w:t>
      </w:r>
      <w:r w:rsidR="00393D7B">
        <w:rPr>
          <w:rFonts w:cs="Arial"/>
          <w:lang w:val="en-GB" w:eastAsia="en-GB"/>
        </w:rPr>
        <w:t xml:space="preserve">, </w:t>
      </w:r>
      <w:r w:rsidR="00F643C6">
        <w:rPr>
          <w:rFonts w:cs="Arial"/>
          <w:lang w:val="en-GB" w:eastAsia="en-GB"/>
        </w:rPr>
        <w:t xml:space="preserve">we reasoned </w:t>
      </w:r>
      <w:r w:rsidR="00393D7B">
        <w:rPr>
          <w:rFonts w:cs="Arial"/>
          <w:lang w:val="en-GB" w:eastAsia="en-GB"/>
        </w:rPr>
        <w:t xml:space="preserve">the later steps of library preparation, sequencing and bioinformatic analysis </w:t>
      </w:r>
      <w:r>
        <w:rPr>
          <w:rFonts w:cs="Arial"/>
          <w:lang w:val="en-GB" w:eastAsia="en-GB"/>
        </w:rPr>
        <w:t>sh</w:t>
      </w:r>
      <w:r w:rsidR="00393D7B">
        <w:rPr>
          <w:rFonts w:cs="Arial"/>
          <w:lang w:val="en-GB" w:eastAsia="en-GB"/>
        </w:rPr>
        <w:t xml:space="preserve">ould be largely unchanged. To </w:t>
      </w:r>
      <w:r w:rsidR="00201260">
        <w:rPr>
          <w:rFonts w:cs="Arial"/>
          <w:lang w:val="en-GB" w:eastAsia="en-GB"/>
        </w:rPr>
        <w:t>verify this</w:t>
      </w:r>
      <w:r w:rsidR="00393D7B">
        <w:rPr>
          <w:rFonts w:cs="Arial"/>
          <w:lang w:val="en-GB" w:eastAsia="en-GB"/>
        </w:rPr>
        <w:t xml:space="preserve">, </w:t>
      </w:r>
      <w:r>
        <w:rPr>
          <w:rFonts w:cs="Arial"/>
          <w:lang w:val="en-GB" w:eastAsia="en-GB"/>
        </w:rPr>
        <w:t>four</w:t>
      </w:r>
      <w:r w:rsidR="00393D7B">
        <w:rPr>
          <w:rFonts w:cs="Arial"/>
          <w:lang w:val="en-GB" w:eastAsia="en-GB"/>
        </w:rPr>
        <w:t xml:space="preserve"> </w:t>
      </w:r>
      <w:r w:rsidR="00C13785">
        <w:rPr>
          <w:rFonts w:cs="Arial"/>
          <w:lang w:val="en-GB" w:eastAsia="en-GB"/>
        </w:rPr>
        <w:t>single cell</w:t>
      </w:r>
      <w:r w:rsidR="00393D7B">
        <w:rPr>
          <w:rFonts w:cs="Arial"/>
          <w:lang w:val="en-GB" w:eastAsia="en-GB"/>
        </w:rPr>
        <w:t>s and a bulk sample</w:t>
      </w:r>
      <w:r w:rsidR="00E56A04">
        <w:rPr>
          <w:rFonts w:cs="Arial"/>
          <w:lang w:val="en-GB" w:eastAsia="en-GB"/>
        </w:rPr>
        <w:t xml:space="preserve"> (4000 cells)</w:t>
      </w:r>
      <w:r w:rsidR="00393D7B">
        <w:rPr>
          <w:rFonts w:cs="Arial"/>
          <w:lang w:val="en-GB" w:eastAsia="en-GB"/>
        </w:rPr>
        <w:t xml:space="preserve"> for comparison</w:t>
      </w:r>
      <w:r>
        <w:rPr>
          <w:rFonts w:cs="Arial"/>
          <w:lang w:val="en-GB" w:eastAsia="en-GB"/>
        </w:rPr>
        <w:t xml:space="preserve"> were sorted</w:t>
      </w:r>
      <w:r w:rsidR="00393D7B">
        <w:rPr>
          <w:rFonts w:cs="Arial"/>
          <w:lang w:val="en-GB" w:eastAsia="en-GB"/>
        </w:rPr>
        <w:t xml:space="preserve"> into 5uL of TCL lysis buffer. </w:t>
      </w:r>
      <w:r w:rsidR="002E7863">
        <w:rPr>
          <w:rFonts w:cs="Arial"/>
          <w:lang w:val="en-GB" w:eastAsia="en-GB"/>
        </w:rPr>
        <w:t xml:space="preserve">Samples were </w:t>
      </w:r>
      <w:r w:rsidR="00393D7B">
        <w:rPr>
          <w:rFonts w:cs="Arial"/>
          <w:lang w:val="en-GB" w:eastAsia="en-GB"/>
        </w:rPr>
        <w:t xml:space="preserve">purified, split into </w:t>
      </w:r>
      <w:r w:rsidR="002E7863">
        <w:rPr>
          <w:rFonts w:cs="Arial"/>
          <w:lang w:val="en-GB" w:eastAsia="en-GB"/>
        </w:rPr>
        <w:t>two</w:t>
      </w:r>
      <w:r w:rsidR="00393D7B">
        <w:rPr>
          <w:rFonts w:cs="Arial"/>
          <w:lang w:val="en-GB" w:eastAsia="en-GB"/>
        </w:rPr>
        <w:t xml:space="preserve"> equal portions and separately </w:t>
      </w:r>
      <w:r w:rsidR="002E7863">
        <w:rPr>
          <w:rFonts w:cs="Arial"/>
          <w:lang w:val="en-GB" w:eastAsia="en-GB"/>
        </w:rPr>
        <w:t>amplified by</w:t>
      </w:r>
      <w:r w:rsidR="00393D7B">
        <w:rPr>
          <w:rFonts w:cs="Arial"/>
          <w:lang w:val="en-GB" w:eastAsia="en-GB"/>
        </w:rPr>
        <w:t xml:space="preserve"> LRPCR; which we</w:t>
      </w:r>
      <w:r>
        <w:rPr>
          <w:rFonts w:cs="Arial"/>
          <w:lang w:val="en-GB" w:eastAsia="en-GB"/>
        </w:rPr>
        <w:t>re</w:t>
      </w:r>
      <w:r w:rsidR="00393D7B">
        <w:rPr>
          <w:rFonts w:cs="Arial"/>
          <w:lang w:val="en-GB" w:eastAsia="en-GB"/>
        </w:rPr>
        <w:t xml:space="preserve"> then visualised on agarose gel. </w:t>
      </w:r>
      <w:r w:rsidR="00F643C6">
        <w:rPr>
          <w:rFonts w:cs="Arial"/>
          <w:lang w:val="en-GB" w:eastAsia="en-GB"/>
        </w:rPr>
        <w:t>m</w:t>
      </w:r>
      <w:r w:rsidR="00393D7B">
        <w:rPr>
          <w:rFonts w:cs="Arial"/>
          <w:lang w:val="en-GB" w:eastAsia="en-GB"/>
        </w:rPr>
        <w:t xml:space="preserve">tDNA-specific bands </w:t>
      </w:r>
      <w:r w:rsidR="002E7863">
        <w:rPr>
          <w:rFonts w:cs="Arial"/>
          <w:lang w:val="en-GB" w:eastAsia="en-GB"/>
        </w:rPr>
        <w:t>were excised for</w:t>
      </w:r>
      <w:r w:rsidR="00393D7B">
        <w:rPr>
          <w:rFonts w:cs="Arial"/>
          <w:lang w:val="en-GB" w:eastAsia="en-GB"/>
        </w:rPr>
        <w:t xml:space="preserve"> both amplified fragments. </w:t>
      </w:r>
      <w:r w:rsidR="002E7863">
        <w:rPr>
          <w:rFonts w:cs="Arial"/>
          <w:lang w:val="en-GB" w:eastAsia="en-GB"/>
        </w:rPr>
        <w:t>Amplicons were recovered by</w:t>
      </w:r>
      <w:r w:rsidR="00393D7B">
        <w:rPr>
          <w:rFonts w:cs="Arial"/>
          <w:lang w:val="en-GB" w:eastAsia="en-GB"/>
        </w:rPr>
        <w:t xml:space="preserve"> gel purification. After quantifying </w:t>
      </w:r>
      <w:r w:rsidR="002E7863">
        <w:rPr>
          <w:rFonts w:cs="Arial"/>
          <w:lang w:val="en-GB" w:eastAsia="en-GB"/>
        </w:rPr>
        <w:t xml:space="preserve">this </w:t>
      </w:r>
      <w:r w:rsidR="00393D7B">
        <w:rPr>
          <w:rFonts w:cs="Arial"/>
          <w:lang w:val="en-GB" w:eastAsia="en-GB"/>
        </w:rPr>
        <w:t>dsDNA using the Qubit 1x dsDNA HD kit, equimolar</w:t>
      </w:r>
      <w:r w:rsidR="002834CE">
        <w:rPr>
          <w:rFonts w:cs="Arial"/>
          <w:lang w:val="en-GB" w:eastAsia="en-GB"/>
        </w:rPr>
        <w:t xml:space="preserve"> quantit</w:t>
      </w:r>
      <w:r>
        <w:rPr>
          <w:rFonts w:cs="Arial"/>
          <w:lang w:val="en-GB" w:eastAsia="en-GB"/>
        </w:rPr>
        <w:t>ies</w:t>
      </w:r>
      <w:r w:rsidR="00393D7B">
        <w:rPr>
          <w:rFonts w:cs="Arial"/>
          <w:lang w:val="en-GB" w:eastAsia="en-GB"/>
        </w:rPr>
        <w:t xml:space="preserve"> of each fragment from the same cell</w:t>
      </w:r>
      <w:r>
        <w:rPr>
          <w:rFonts w:cs="Arial"/>
          <w:lang w:val="en-GB" w:eastAsia="en-GB"/>
        </w:rPr>
        <w:t xml:space="preserve"> were added</w:t>
      </w:r>
      <w:r w:rsidR="00393D7B">
        <w:rPr>
          <w:rFonts w:cs="Arial"/>
          <w:lang w:val="en-GB" w:eastAsia="en-GB"/>
        </w:rPr>
        <w:t xml:space="preserve"> into a single tube.</w:t>
      </w:r>
    </w:p>
    <w:p w14:paraId="6C3995CD" w14:textId="53CEC70F" w:rsidR="00393D7B" w:rsidRDefault="00393D7B" w:rsidP="00393D7B">
      <w:pPr>
        <w:rPr>
          <w:rFonts w:cs="Arial"/>
          <w:lang w:val="en-GB" w:eastAsia="en-GB"/>
        </w:rPr>
      </w:pPr>
      <w:r>
        <w:rPr>
          <w:rFonts w:cs="Arial"/>
          <w:lang w:val="en-GB" w:eastAsia="en-GB"/>
        </w:rPr>
        <w:t>For library preparation, the Illumina DNA Prep protocol</w:t>
      </w:r>
      <w:r w:rsidR="00892C03">
        <w:rPr>
          <w:rFonts w:cs="Arial"/>
          <w:lang w:val="en-GB" w:eastAsia="en-GB"/>
        </w:rPr>
        <w:t xml:space="preserve"> (</w:t>
      </w:r>
      <w:r w:rsidR="00892C03" w:rsidRPr="00892C03">
        <w:rPr>
          <w:rFonts w:cs="Arial"/>
          <w:lang w:val="en-GB" w:eastAsia="en-GB"/>
        </w:rPr>
        <w:t>20018705</w:t>
      </w:r>
      <w:r w:rsidR="00892C03">
        <w:rPr>
          <w:rFonts w:cs="Arial"/>
          <w:lang w:val="en-GB" w:eastAsia="en-GB"/>
        </w:rPr>
        <w:t xml:space="preserve">) </w:t>
      </w:r>
      <w:r>
        <w:rPr>
          <w:rFonts w:cs="Arial"/>
          <w:lang w:val="en-GB" w:eastAsia="en-GB"/>
        </w:rPr>
        <w:t>with IDT for Illumina DNA/RNA UD Indexes Set A</w:t>
      </w:r>
      <w:r w:rsidR="00266FAC">
        <w:rPr>
          <w:rFonts w:cs="Arial"/>
          <w:lang w:val="en-GB" w:eastAsia="en-GB"/>
        </w:rPr>
        <w:t xml:space="preserve"> was implemented</w:t>
      </w:r>
      <w:r>
        <w:rPr>
          <w:rFonts w:cs="Arial"/>
          <w:lang w:val="en-GB" w:eastAsia="en-GB"/>
        </w:rPr>
        <w:t xml:space="preserve">. Each </w:t>
      </w:r>
      <w:r w:rsidR="00C13785">
        <w:rPr>
          <w:rFonts w:cs="Arial"/>
          <w:lang w:val="en-GB" w:eastAsia="en-GB"/>
        </w:rPr>
        <w:t>single cell</w:t>
      </w:r>
      <w:r>
        <w:rPr>
          <w:rFonts w:cs="Arial"/>
          <w:lang w:val="en-GB" w:eastAsia="en-GB"/>
        </w:rPr>
        <w:t xml:space="preserve"> was separately assigned ind</w:t>
      </w:r>
      <w:r w:rsidR="00266FAC">
        <w:rPr>
          <w:rFonts w:cs="Arial"/>
          <w:lang w:val="en-GB" w:eastAsia="en-GB"/>
        </w:rPr>
        <w:t>ice</w:t>
      </w:r>
      <w:r>
        <w:rPr>
          <w:rFonts w:cs="Arial"/>
          <w:lang w:val="en-GB" w:eastAsia="en-GB"/>
        </w:rPr>
        <w:t xml:space="preserve">s </w:t>
      </w:r>
      <w:r w:rsidR="00266FAC">
        <w:rPr>
          <w:rFonts w:cs="Arial"/>
          <w:lang w:val="en-GB" w:eastAsia="en-GB"/>
        </w:rPr>
        <w:t xml:space="preserve">to </w:t>
      </w:r>
      <w:r>
        <w:rPr>
          <w:rFonts w:cs="Arial"/>
          <w:lang w:val="en-GB" w:eastAsia="en-GB"/>
        </w:rPr>
        <w:t xml:space="preserve">be used to demultiplex </w:t>
      </w:r>
      <w:r w:rsidR="00C13785">
        <w:rPr>
          <w:rFonts w:cs="Arial"/>
          <w:lang w:val="en-GB" w:eastAsia="en-GB"/>
        </w:rPr>
        <w:t>single cell</w:t>
      </w:r>
      <w:r>
        <w:rPr>
          <w:rFonts w:cs="Arial"/>
          <w:lang w:val="en-GB" w:eastAsia="en-GB"/>
        </w:rPr>
        <w:t>s</w:t>
      </w:r>
      <w:r w:rsidR="00266FAC">
        <w:rPr>
          <w:rFonts w:cs="Arial"/>
          <w:lang w:val="en-GB" w:eastAsia="en-GB"/>
        </w:rPr>
        <w:t xml:space="preserve"> later</w:t>
      </w:r>
      <w:r>
        <w:rPr>
          <w:rFonts w:cs="Arial"/>
          <w:lang w:val="en-GB" w:eastAsia="en-GB"/>
        </w:rPr>
        <w:t>. Separate libraries were combined</w:t>
      </w:r>
      <w:r w:rsidR="00266FAC">
        <w:rPr>
          <w:rFonts w:cs="Arial"/>
          <w:lang w:val="en-GB" w:eastAsia="en-GB"/>
        </w:rPr>
        <w:t>,</w:t>
      </w:r>
      <w:r>
        <w:rPr>
          <w:rFonts w:cs="Arial"/>
          <w:lang w:val="en-GB" w:eastAsia="en-GB"/>
        </w:rPr>
        <w:t xml:space="preserve"> diluted to 2nM and loaded onto the Illumina iSeq for PE150 sequencing. A 2% </w:t>
      </w:r>
      <w:proofErr w:type="spellStart"/>
      <w:r>
        <w:rPr>
          <w:rFonts w:cs="Arial"/>
          <w:lang w:val="en-GB" w:eastAsia="en-GB"/>
        </w:rPr>
        <w:t>PhiX</w:t>
      </w:r>
      <w:proofErr w:type="spellEnd"/>
      <w:r>
        <w:rPr>
          <w:rFonts w:cs="Arial"/>
          <w:lang w:val="en-GB" w:eastAsia="en-GB"/>
        </w:rPr>
        <w:t xml:space="preserve"> library control spike-in was added. The iSeq had the option to include a “sample sheet” to which the index combinations </w:t>
      </w:r>
      <w:r w:rsidR="00266FAC">
        <w:rPr>
          <w:rFonts w:cs="Arial"/>
          <w:lang w:val="en-GB" w:eastAsia="en-GB"/>
        </w:rPr>
        <w:t>were</w:t>
      </w:r>
      <w:r>
        <w:rPr>
          <w:rFonts w:cs="Arial"/>
          <w:lang w:val="en-GB" w:eastAsia="en-GB"/>
        </w:rPr>
        <w:t xml:space="preserve"> added. The iSeq was run to completion with an output of fastq.gz files ready for </w:t>
      </w:r>
      <w:r w:rsidR="00266FAC">
        <w:rPr>
          <w:rFonts w:cs="Arial"/>
          <w:lang w:val="en-GB" w:eastAsia="en-GB"/>
        </w:rPr>
        <w:t>the</w:t>
      </w:r>
      <w:r>
        <w:rPr>
          <w:rFonts w:cs="Arial"/>
          <w:lang w:val="en-GB" w:eastAsia="en-GB"/>
        </w:rPr>
        <w:t xml:space="preserve"> bioinformatics pipeline.</w:t>
      </w:r>
    </w:p>
    <w:p w14:paraId="7639175D" w14:textId="04ED224D" w:rsidR="00A61DE5" w:rsidRDefault="00A61DE5" w:rsidP="00A61DE5">
      <w:pPr>
        <w:pStyle w:val="Heading2"/>
        <w:rPr>
          <w:lang w:val="en-GB" w:eastAsia="en-GB"/>
        </w:rPr>
      </w:pPr>
      <w:r>
        <w:rPr>
          <w:lang w:val="en-GB" w:eastAsia="en-GB"/>
        </w:rPr>
        <w:t>Bioinformatic Analysis</w:t>
      </w:r>
    </w:p>
    <w:p w14:paraId="7834BC9A" w14:textId="49811DF4" w:rsidR="00393D7B" w:rsidRDefault="00393D7B" w:rsidP="00393D7B">
      <w:pPr>
        <w:rPr>
          <w:rFonts w:cs="Arial"/>
          <w:lang w:val="en-GB" w:eastAsia="en-GB"/>
        </w:rPr>
      </w:pPr>
      <w:r>
        <w:rPr>
          <w:rFonts w:cs="Arial"/>
          <w:lang w:val="en-GB" w:eastAsia="en-GB"/>
        </w:rPr>
        <w:t xml:space="preserve">Adapter sequences were removed from the reads which were then mapped against the CHO KX576660.1 mtDNA reference genome. </w:t>
      </w:r>
      <w:r w:rsidRPr="00187FD3">
        <w:rPr>
          <w:rFonts w:cs="Arial"/>
          <w:lang w:val="en-GB" w:eastAsia="en-GB"/>
        </w:rPr>
        <w:t>During the PCR step of the Illumina DNA library prep, adapter</w:t>
      </w:r>
      <w:r>
        <w:rPr>
          <w:rFonts w:cs="Arial"/>
          <w:lang w:val="en-GB" w:eastAsia="en-GB"/>
        </w:rPr>
        <w:t>-</w:t>
      </w:r>
      <w:r w:rsidRPr="00187FD3">
        <w:rPr>
          <w:rFonts w:cs="Arial"/>
          <w:lang w:val="en-GB" w:eastAsia="en-GB"/>
        </w:rPr>
        <w:t>ligated fragments are PCR amplified. This can lead to multiple sequencing reads deriving from the same original fragment; possibly resulting in overreprese</w:t>
      </w:r>
      <w:r w:rsidR="00841CF7">
        <w:rPr>
          <w:rFonts w:cs="Arial"/>
          <w:lang w:val="en-GB" w:eastAsia="en-GB"/>
        </w:rPr>
        <w:t xml:space="preserve">ntation of certain alleles. As was performed </w:t>
      </w:r>
      <w:r w:rsidR="00D11825">
        <w:rPr>
          <w:rFonts w:cs="Arial"/>
          <w:lang w:val="en-GB" w:eastAsia="en-GB"/>
        </w:rPr>
        <w:t xml:space="preserve">previously </w:t>
      </w:r>
      <w:r w:rsidR="00841CF7">
        <w:rPr>
          <w:rFonts w:cs="Arial"/>
          <w:lang w:val="en-GB" w:eastAsia="en-GB"/>
        </w:rPr>
        <w:t>in bulk analysis of CHO mtDNA</w:t>
      </w:r>
      <w:r w:rsidRPr="00187FD3">
        <w:rPr>
          <w:rFonts w:cs="Arial"/>
          <w:lang w:val="en-GB" w:eastAsia="en-GB"/>
        </w:rPr>
        <w:t>, PCR duplicates were identified (</w:t>
      </w:r>
      <w:r w:rsidRPr="00187FD3">
        <w:rPr>
          <w:rFonts w:cs="Arial"/>
          <w:b/>
          <w:lang w:val="en-GB" w:eastAsia="en-GB"/>
        </w:rPr>
        <w:t xml:space="preserve">Fig. </w:t>
      </w:r>
      <w:r w:rsidR="00B25779">
        <w:rPr>
          <w:rFonts w:cs="Arial"/>
          <w:b/>
          <w:lang w:val="en-GB" w:eastAsia="en-GB"/>
        </w:rPr>
        <w:t>3</w:t>
      </w:r>
      <w:r w:rsidRPr="00187FD3">
        <w:rPr>
          <w:rFonts w:cs="Arial"/>
          <w:b/>
          <w:lang w:val="en-GB" w:eastAsia="en-GB"/>
        </w:rPr>
        <w:t>A</w:t>
      </w:r>
      <w:r w:rsidRPr="00187FD3">
        <w:rPr>
          <w:rFonts w:cs="Arial"/>
          <w:lang w:val="en-GB" w:eastAsia="en-GB"/>
        </w:rPr>
        <w:t xml:space="preserve">) and removed from </w:t>
      </w:r>
      <w:r>
        <w:rPr>
          <w:rFonts w:cs="Arial"/>
          <w:lang w:val="en-GB" w:eastAsia="en-GB"/>
        </w:rPr>
        <w:t xml:space="preserve">the </w:t>
      </w:r>
      <w:r w:rsidRPr="00187FD3">
        <w:rPr>
          <w:rFonts w:cs="Arial"/>
          <w:lang w:val="en-GB" w:eastAsia="en-GB"/>
        </w:rPr>
        <w:t>analysis</w:t>
      </w:r>
      <w:r w:rsidR="00841CF7">
        <w:rPr>
          <w:rFonts w:cs="Arial"/>
          <w:lang w:val="en-GB" w:eastAsia="en-GB"/>
        </w:rPr>
        <w:t xml:space="preserve"> (Kelly et al. 2017)</w:t>
      </w:r>
      <w:r w:rsidRPr="00187FD3">
        <w:rPr>
          <w:rFonts w:cs="Arial"/>
          <w:lang w:val="en-GB" w:eastAsia="en-GB"/>
        </w:rPr>
        <w:t xml:space="preserve">. The range of duplicate reads was 23.8% to 29.3% with the highest proportion in the mixed population. </w:t>
      </w:r>
      <w:r>
        <w:rPr>
          <w:rFonts w:cs="Arial"/>
          <w:lang w:val="en-GB" w:eastAsia="en-GB"/>
        </w:rPr>
        <w:t>Further, indel realignment and base recalibration</w:t>
      </w:r>
      <w:r w:rsidR="00D11825">
        <w:rPr>
          <w:rFonts w:cs="Arial"/>
          <w:lang w:val="en-GB" w:eastAsia="en-GB"/>
        </w:rPr>
        <w:t xml:space="preserve"> were used</w:t>
      </w:r>
      <w:r>
        <w:rPr>
          <w:rFonts w:cs="Arial"/>
          <w:lang w:val="en-GB" w:eastAsia="en-GB"/>
        </w:rPr>
        <w:t xml:space="preserve"> to cater for the effects of INDELS on </w:t>
      </w:r>
      <w:r w:rsidR="00D11825">
        <w:rPr>
          <w:rFonts w:cs="Arial"/>
          <w:lang w:val="en-GB" w:eastAsia="en-GB"/>
        </w:rPr>
        <w:t xml:space="preserve">read </w:t>
      </w:r>
      <w:r>
        <w:rPr>
          <w:rFonts w:cs="Arial"/>
          <w:lang w:val="en-GB" w:eastAsia="en-GB"/>
        </w:rPr>
        <w:t>mapping.</w:t>
      </w:r>
    </w:p>
    <w:p w14:paraId="45B00B21" w14:textId="23399F2B" w:rsidR="00CD43F6" w:rsidRPr="00CD43F6" w:rsidRDefault="00CD43F6" w:rsidP="00393D7B">
      <w:pPr>
        <w:rPr>
          <w:rFonts w:cs="Arial"/>
          <w:b/>
          <w:lang w:val="en-GB" w:eastAsia="en-GB"/>
        </w:rPr>
      </w:pPr>
      <w:r>
        <w:rPr>
          <w:rFonts w:cs="Arial"/>
          <w:b/>
          <w:lang w:val="en-GB" w:eastAsia="en-GB"/>
        </w:rPr>
        <w:lastRenderedPageBreak/>
        <w:t>Fig. 3</w:t>
      </w:r>
    </w:p>
    <w:p w14:paraId="1A3445C7" w14:textId="01D2367B" w:rsidR="00393D7B" w:rsidRDefault="00393D7B" w:rsidP="00393D7B">
      <w:pPr>
        <w:rPr>
          <w:rFonts w:cs="Arial"/>
          <w:lang w:val="en-GB" w:eastAsia="en-GB"/>
        </w:rPr>
      </w:pPr>
      <w:r w:rsidRPr="00187FD3">
        <w:rPr>
          <w:rFonts w:cs="Arial"/>
          <w:lang w:val="en-GB" w:eastAsia="en-GB"/>
        </w:rPr>
        <w:t>After excluding duplicate and unmapped reads, all samples had an average sequencing depth of &gt;1500x – above the 1000x required for “ultra-deep sequencing” categorisation (</w:t>
      </w:r>
      <w:r w:rsidRPr="00187FD3">
        <w:rPr>
          <w:rFonts w:cs="Arial"/>
          <w:b/>
          <w:lang w:val="en-GB" w:eastAsia="en-GB"/>
        </w:rPr>
        <w:t xml:space="preserve">Fig. </w:t>
      </w:r>
      <w:r w:rsidR="00B25779">
        <w:rPr>
          <w:rFonts w:cs="Arial"/>
          <w:b/>
          <w:lang w:val="en-GB" w:eastAsia="en-GB"/>
        </w:rPr>
        <w:t>3</w:t>
      </w:r>
      <w:r w:rsidRPr="00187FD3">
        <w:rPr>
          <w:rFonts w:cs="Arial"/>
          <w:b/>
          <w:lang w:val="en-GB" w:eastAsia="en-GB"/>
        </w:rPr>
        <w:t>B</w:t>
      </w:r>
      <w:r w:rsidRPr="00187FD3">
        <w:rPr>
          <w:rFonts w:cs="Arial"/>
          <w:lang w:val="en-GB" w:eastAsia="en-GB"/>
        </w:rPr>
        <w:t>). Perbase coverage of all samples confirmed complete and even mapping of sequencing reads (</w:t>
      </w:r>
      <w:r w:rsidRPr="00187FD3">
        <w:rPr>
          <w:rFonts w:cs="Arial"/>
          <w:b/>
          <w:lang w:val="en-GB" w:eastAsia="en-GB"/>
        </w:rPr>
        <w:t xml:space="preserve">Fig. </w:t>
      </w:r>
      <w:r w:rsidR="00B25779">
        <w:rPr>
          <w:rFonts w:cs="Arial"/>
          <w:b/>
          <w:lang w:val="en-GB" w:eastAsia="en-GB"/>
        </w:rPr>
        <w:t>3</w:t>
      </w:r>
      <w:r w:rsidRPr="00187FD3">
        <w:rPr>
          <w:rFonts w:cs="Arial"/>
          <w:b/>
          <w:lang w:val="en-GB" w:eastAsia="en-GB"/>
        </w:rPr>
        <w:t>C</w:t>
      </w:r>
      <w:r w:rsidRPr="00187FD3">
        <w:rPr>
          <w:rFonts w:cs="Arial"/>
          <w:lang w:val="en-GB" w:eastAsia="en-GB"/>
        </w:rPr>
        <w:t>).</w:t>
      </w:r>
      <w:r>
        <w:rPr>
          <w:rFonts w:cs="Arial"/>
          <w:lang w:val="en-GB" w:eastAsia="en-GB"/>
        </w:rPr>
        <w:t xml:space="preserve"> The mapping indicated no strong bias for any particular region. Together, this confirmed </w:t>
      </w:r>
      <w:r w:rsidR="000E6BC4">
        <w:rPr>
          <w:rFonts w:cs="Arial"/>
          <w:lang w:val="en-GB" w:eastAsia="en-GB"/>
        </w:rPr>
        <w:t xml:space="preserve">our </w:t>
      </w:r>
      <w:proofErr w:type="spellStart"/>
      <w:r w:rsidR="000E6BC4">
        <w:rPr>
          <w:rFonts w:cs="Arial"/>
          <w:lang w:val="en-GB" w:eastAsia="en-GB"/>
        </w:rPr>
        <w:t>scmtDNAseq</w:t>
      </w:r>
      <w:proofErr w:type="spellEnd"/>
      <w:r w:rsidR="000E6BC4">
        <w:rPr>
          <w:rFonts w:cs="Arial"/>
          <w:lang w:val="en-GB" w:eastAsia="en-GB"/>
        </w:rPr>
        <w:t xml:space="preserve"> protocol </w:t>
      </w:r>
      <w:r>
        <w:rPr>
          <w:rFonts w:cs="Arial"/>
          <w:lang w:val="en-GB" w:eastAsia="en-GB"/>
        </w:rPr>
        <w:t>had been successful.</w:t>
      </w:r>
    </w:p>
    <w:p w14:paraId="379E41F1" w14:textId="46A11C42" w:rsidR="00393D7B" w:rsidRDefault="00393D7B" w:rsidP="00393D7B">
      <w:pPr>
        <w:rPr>
          <w:rFonts w:cs="Arial"/>
          <w:lang w:val="en-GB" w:eastAsia="en-GB"/>
        </w:rPr>
      </w:pPr>
      <w:r>
        <w:rPr>
          <w:rFonts w:cs="Arial"/>
          <w:lang w:val="en-GB" w:eastAsia="en-GB"/>
        </w:rPr>
        <w:t xml:space="preserve">The great value of </w:t>
      </w:r>
      <w:r w:rsidR="00C13785">
        <w:rPr>
          <w:rFonts w:cs="Arial"/>
          <w:lang w:val="en-GB" w:eastAsia="en-GB"/>
        </w:rPr>
        <w:t>single cell</w:t>
      </w:r>
      <w:r>
        <w:rPr>
          <w:rFonts w:cs="Arial"/>
          <w:lang w:val="en-GB" w:eastAsia="en-GB"/>
        </w:rPr>
        <w:t xml:space="preserve"> sequencing mtDNA at such great depth is the potential to analyse </w:t>
      </w:r>
      <w:r w:rsidR="00D11825">
        <w:rPr>
          <w:rFonts w:cs="Arial"/>
          <w:lang w:val="en-GB" w:eastAsia="en-GB"/>
        </w:rPr>
        <w:t xml:space="preserve">at high confidence the </w:t>
      </w:r>
      <w:r>
        <w:rPr>
          <w:rFonts w:cs="Arial"/>
          <w:lang w:val="en-GB" w:eastAsia="en-GB"/>
        </w:rPr>
        <w:t>differences in the sequenced read</w:t>
      </w:r>
      <w:r w:rsidR="00C13785">
        <w:rPr>
          <w:rFonts w:cs="Arial"/>
          <w:lang w:val="en-GB" w:eastAsia="en-GB"/>
        </w:rPr>
        <w:t>s</w:t>
      </w:r>
      <w:r>
        <w:rPr>
          <w:rFonts w:cs="Arial"/>
          <w:lang w:val="en-GB" w:eastAsia="en-GB"/>
        </w:rPr>
        <w:t xml:space="preserve"> when compared to the reference genome; i.e. a mutation. The multi-copy nature of mtDNA within each cell is represented by the proportion of reads with a particular mutation. E.g. If 50/100 reads contain a mutation, the allele frequency is determined as 0.5. This infers that out of all copies of mtDNA within that cell, 50% would contain the mutation.</w:t>
      </w:r>
    </w:p>
    <w:p w14:paraId="4D548853" w14:textId="39DB6BAC" w:rsidR="00393D7B" w:rsidRDefault="00393D7B" w:rsidP="00393D7B">
      <w:pPr>
        <w:rPr>
          <w:rFonts w:cs="Arial"/>
          <w:lang w:val="en-GB" w:eastAsia="en-GB"/>
        </w:rPr>
      </w:pPr>
      <w:r>
        <w:rPr>
          <w:rFonts w:cs="Arial"/>
          <w:lang w:val="en-GB" w:eastAsia="en-GB"/>
        </w:rPr>
        <w:t xml:space="preserve">As was performed for the previous bulk analysis, </w:t>
      </w:r>
      <w:proofErr w:type="spellStart"/>
      <w:r w:rsidRPr="00187FD3">
        <w:rPr>
          <w:rFonts w:cs="Arial"/>
          <w:lang w:val="en-GB" w:eastAsia="en-GB"/>
        </w:rPr>
        <w:t>LoFreq</w:t>
      </w:r>
      <w:proofErr w:type="spellEnd"/>
      <w:r w:rsidRPr="00187FD3">
        <w:rPr>
          <w:rFonts w:cs="Arial"/>
          <w:lang w:val="en-GB" w:eastAsia="en-GB"/>
        </w:rPr>
        <w:t xml:space="preserve"> and </w:t>
      </w:r>
      <w:proofErr w:type="spellStart"/>
      <w:r w:rsidRPr="00187FD3">
        <w:rPr>
          <w:rFonts w:cs="Arial"/>
          <w:lang w:val="en-GB" w:eastAsia="en-GB"/>
        </w:rPr>
        <w:t>VarScan</w:t>
      </w:r>
      <w:proofErr w:type="spellEnd"/>
      <w:r w:rsidRPr="00187FD3">
        <w:rPr>
          <w:rFonts w:cs="Arial"/>
          <w:lang w:val="en-GB" w:eastAsia="en-GB"/>
        </w:rPr>
        <w:t xml:space="preserve"> were used to call mutations</w:t>
      </w:r>
      <w:r>
        <w:rPr>
          <w:rFonts w:cs="Arial"/>
          <w:lang w:val="en-GB" w:eastAsia="en-GB"/>
        </w:rPr>
        <w:t xml:space="preserve"> (Kelly et al., 2017)</w:t>
      </w:r>
      <w:r w:rsidRPr="00187FD3">
        <w:rPr>
          <w:rFonts w:cs="Arial"/>
          <w:lang w:val="en-GB" w:eastAsia="en-GB"/>
        </w:rPr>
        <w:t xml:space="preserve">. When both tools called a mutation above </w:t>
      </w:r>
      <w:r w:rsidR="000E6BC4">
        <w:rPr>
          <w:rFonts w:cs="Arial"/>
          <w:lang w:val="en-GB" w:eastAsia="en-GB"/>
        </w:rPr>
        <w:t>0.04</w:t>
      </w:r>
      <w:r w:rsidRPr="00187FD3">
        <w:rPr>
          <w:rFonts w:cs="Arial"/>
          <w:lang w:val="en-GB" w:eastAsia="en-GB"/>
        </w:rPr>
        <w:t>, it was brought forward for analysis. A total of 43 mutations were called among the 4 samples of which 17 were indels and 26 SNPs (</w:t>
      </w:r>
      <w:r w:rsidRPr="00130592">
        <w:rPr>
          <w:rFonts w:cs="Arial"/>
          <w:b/>
          <w:lang w:val="en-GB" w:eastAsia="en-GB"/>
        </w:rPr>
        <w:t xml:space="preserve">Fig. </w:t>
      </w:r>
      <w:r>
        <w:rPr>
          <w:rFonts w:cs="Arial"/>
          <w:b/>
          <w:lang w:val="en-GB" w:eastAsia="en-GB"/>
        </w:rPr>
        <w:t>S1B</w:t>
      </w:r>
      <w:r w:rsidRPr="00187FD3">
        <w:rPr>
          <w:rFonts w:cs="Arial"/>
          <w:lang w:val="en-GB" w:eastAsia="en-GB"/>
        </w:rPr>
        <w:t xml:space="preserve">). Of mutations heteroplasmic in the bulk sample, the </w:t>
      </w:r>
      <w:r w:rsidR="00C13785">
        <w:rPr>
          <w:rFonts w:cs="Arial"/>
          <w:lang w:val="en-GB" w:eastAsia="en-GB"/>
        </w:rPr>
        <w:t>single cell</w:t>
      </w:r>
      <w:r w:rsidRPr="00187FD3">
        <w:rPr>
          <w:rFonts w:cs="Arial"/>
          <w:lang w:val="en-GB" w:eastAsia="en-GB"/>
        </w:rPr>
        <w:t xml:space="preserve"> average allele frequency varied dramatically from bulk (</w:t>
      </w:r>
      <w:r w:rsidRPr="00187FD3">
        <w:rPr>
          <w:rFonts w:cs="Arial"/>
          <w:b/>
          <w:lang w:val="en-GB" w:eastAsia="en-GB"/>
        </w:rPr>
        <w:t xml:space="preserve">Fig. </w:t>
      </w:r>
      <w:r w:rsidR="00B25779">
        <w:rPr>
          <w:rFonts w:cs="Arial"/>
          <w:b/>
          <w:lang w:val="en-GB" w:eastAsia="en-GB"/>
        </w:rPr>
        <w:t>4</w:t>
      </w:r>
      <w:r w:rsidRPr="00187FD3">
        <w:rPr>
          <w:rFonts w:cs="Arial"/>
          <w:b/>
          <w:lang w:val="en-GB" w:eastAsia="en-GB"/>
        </w:rPr>
        <w:t>A</w:t>
      </w:r>
      <w:r>
        <w:rPr>
          <w:rFonts w:cs="Arial"/>
          <w:lang w:val="en-GB" w:eastAsia="en-GB"/>
        </w:rPr>
        <w:t xml:space="preserve">). For example, the 5462T&gt;C mutation was </w:t>
      </w:r>
      <w:r w:rsidR="000E6BC4">
        <w:rPr>
          <w:rFonts w:cs="Arial"/>
          <w:lang w:val="en-GB" w:eastAsia="en-GB"/>
        </w:rPr>
        <w:t>0.05</w:t>
      </w:r>
      <w:r>
        <w:rPr>
          <w:rFonts w:cs="Arial"/>
          <w:lang w:val="en-GB" w:eastAsia="en-GB"/>
        </w:rPr>
        <w:t xml:space="preserve"> in the bulk, but over </w:t>
      </w:r>
      <w:r w:rsidR="000E6BC4">
        <w:rPr>
          <w:rFonts w:cs="Arial"/>
          <w:lang w:val="en-GB" w:eastAsia="en-GB"/>
        </w:rPr>
        <w:t>0.5</w:t>
      </w:r>
      <w:r>
        <w:rPr>
          <w:rFonts w:cs="Arial"/>
          <w:lang w:val="en-GB" w:eastAsia="en-GB"/>
        </w:rPr>
        <w:t xml:space="preserve"> in the </w:t>
      </w:r>
      <w:r w:rsidR="00C13785">
        <w:rPr>
          <w:rFonts w:cs="Arial"/>
          <w:lang w:val="en-GB" w:eastAsia="en-GB"/>
        </w:rPr>
        <w:t>single cell</w:t>
      </w:r>
      <w:r>
        <w:rPr>
          <w:rFonts w:cs="Arial"/>
          <w:lang w:val="en-GB" w:eastAsia="en-GB"/>
        </w:rPr>
        <w:t xml:space="preserve"> average. </w:t>
      </w:r>
      <w:r w:rsidR="00CA0E4B">
        <w:rPr>
          <w:rFonts w:cs="Arial"/>
          <w:lang w:val="en-GB" w:eastAsia="en-GB"/>
        </w:rPr>
        <w:t>T</w:t>
      </w:r>
      <w:r>
        <w:rPr>
          <w:rFonts w:cs="Arial"/>
          <w:lang w:val="en-GB" w:eastAsia="en-GB"/>
        </w:rPr>
        <w:t xml:space="preserve">his </w:t>
      </w:r>
      <w:r w:rsidR="00CA0E4B">
        <w:rPr>
          <w:rFonts w:cs="Arial"/>
          <w:lang w:val="en-GB" w:eastAsia="en-GB"/>
        </w:rPr>
        <w:t>is likely a consequence of</w:t>
      </w:r>
      <w:r>
        <w:rPr>
          <w:rFonts w:cs="Arial"/>
          <w:lang w:val="en-GB" w:eastAsia="en-GB"/>
        </w:rPr>
        <w:t xml:space="preserve"> the small number of </w:t>
      </w:r>
      <w:r w:rsidR="00C13785">
        <w:rPr>
          <w:rFonts w:cs="Arial"/>
          <w:lang w:val="en-GB" w:eastAsia="en-GB"/>
        </w:rPr>
        <w:t>single cell</w:t>
      </w:r>
      <w:r>
        <w:rPr>
          <w:rFonts w:cs="Arial"/>
          <w:lang w:val="en-GB" w:eastAsia="en-GB"/>
        </w:rPr>
        <w:t xml:space="preserve"> samples</w:t>
      </w:r>
      <w:r w:rsidR="00CA0E4B">
        <w:rPr>
          <w:rFonts w:cs="Arial"/>
          <w:lang w:val="en-GB" w:eastAsia="en-GB"/>
        </w:rPr>
        <w:t xml:space="preserve"> sequenced</w:t>
      </w:r>
      <w:r w:rsidR="00950973">
        <w:rPr>
          <w:rFonts w:cs="Arial"/>
          <w:lang w:val="en-GB" w:eastAsia="en-GB"/>
        </w:rPr>
        <w:t xml:space="preserve"> </w:t>
      </w:r>
      <w:r w:rsidR="000E6BC4">
        <w:rPr>
          <w:rFonts w:cs="Arial"/>
          <w:lang w:val="en-GB" w:eastAsia="en-GB"/>
        </w:rPr>
        <w:t>but also</w:t>
      </w:r>
      <w:r w:rsidR="00950973">
        <w:rPr>
          <w:rFonts w:cs="Arial"/>
          <w:lang w:val="en-GB" w:eastAsia="en-GB"/>
        </w:rPr>
        <w:t xml:space="preserve"> suggests that</w:t>
      </w:r>
      <w:r w:rsidR="000E6BC4">
        <w:rPr>
          <w:rFonts w:cs="Arial"/>
          <w:lang w:val="en-GB" w:eastAsia="en-GB"/>
        </w:rPr>
        <w:t xml:space="preserve"> some mutations may exist sporadically at a</w:t>
      </w:r>
      <w:r w:rsidR="00950973">
        <w:rPr>
          <w:rFonts w:cs="Arial"/>
          <w:lang w:val="en-GB" w:eastAsia="en-GB"/>
        </w:rPr>
        <w:t xml:space="preserve"> high frequency in a small number of cells within the population (scenario 2 in </w:t>
      </w:r>
      <w:r w:rsidR="00950973" w:rsidRPr="00892C03">
        <w:rPr>
          <w:rFonts w:cs="Arial"/>
          <w:b/>
          <w:lang w:val="en-GB" w:eastAsia="en-GB"/>
        </w:rPr>
        <w:t>Fig</w:t>
      </w:r>
      <w:r w:rsidR="00892C03">
        <w:rPr>
          <w:rFonts w:cs="Arial"/>
          <w:b/>
          <w:lang w:val="en-GB" w:eastAsia="en-GB"/>
        </w:rPr>
        <w:t>.</w:t>
      </w:r>
      <w:r w:rsidR="00950973" w:rsidRPr="00892C03">
        <w:rPr>
          <w:rFonts w:cs="Arial"/>
          <w:b/>
          <w:lang w:val="en-GB" w:eastAsia="en-GB"/>
        </w:rPr>
        <w:t xml:space="preserve"> </w:t>
      </w:r>
      <w:r w:rsidR="000E6BC4">
        <w:rPr>
          <w:rFonts w:cs="Arial"/>
          <w:b/>
          <w:lang w:val="en-GB" w:eastAsia="en-GB"/>
        </w:rPr>
        <w:t>5</w:t>
      </w:r>
      <w:r w:rsidR="00950973">
        <w:rPr>
          <w:rFonts w:cs="Arial"/>
          <w:lang w:val="en-GB" w:eastAsia="en-GB"/>
        </w:rPr>
        <w:t>).</w:t>
      </w:r>
    </w:p>
    <w:p w14:paraId="6BB4A4B2" w14:textId="4AF42207" w:rsidR="00CD43F6" w:rsidRPr="00CD43F6" w:rsidRDefault="00CD43F6" w:rsidP="00393D7B">
      <w:pPr>
        <w:rPr>
          <w:rFonts w:cs="Arial"/>
          <w:b/>
          <w:lang w:val="en-GB" w:eastAsia="en-GB"/>
        </w:rPr>
      </w:pPr>
      <w:r>
        <w:rPr>
          <w:rFonts w:cs="Arial"/>
          <w:b/>
          <w:lang w:val="en-GB" w:eastAsia="en-GB"/>
        </w:rPr>
        <w:t>Fig. 4</w:t>
      </w:r>
    </w:p>
    <w:p w14:paraId="582FD0E8" w14:textId="105272F4" w:rsidR="00393D7B" w:rsidRPr="00187FD3" w:rsidRDefault="00393D7B" w:rsidP="00393D7B">
      <w:pPr>
        <w:rPr>
          <w:rFonts w:cs="Arial"/>
          <w:lang w:val="en-GB" w:eastAsia="en-GB"/>
        </w:rPr>
      </w:pPr>
      <w:r>
        <w:rPr>
          <w:rFonts w:cs="Arial"/>
          <w:lang w:val="en-GB" w:eastAsia="en-GB"/>
        </w:rPr>
        <w:t>To better a</w:t>
      </w:r>
      <w:r w:rsidR="00D11825">
        <w:rPr>
          <w:rFonts w:cs="Arial"/>
          <w:lang w:val="en-GB" w:eastAsia="en-GB"/>
        </w:rPr>
        <w:t>ssess</w:t>
      </w:r>
      <w:r>
        <w:rPr>
          <w:rFonts w:cs="Arial"/>
          <w:lang w:val="en-GB" w:eastAsia="en-GB"/>
        </w:rPr>
        <w:t xml:space="preserve"> the variability in allele frequency among </w:t>
      </w:r>
      <w:r w:rsidR="00C13785">
        <w:rPr>
          <w:rFonts w:cs="Arial"/>
          <w:lang w:val="en-GB" w:eastAsia="en-GB"/>
        </w:rPr>
        <w:t>single cell</w:t>
      </w:r>
      <w:r>
        <w:rPr>
          <w:rFonts w:cs="Arial"/>
          <w:lang w:val="en-GB" w:eastAsia="en-GB"/>
        </w:rPr>
        <w:t xml:space="preserve">s, we developed a list of “most variable” mutations which must be heteroplasmic in at least 2 out of the 4 cells. </w:t>
      </w:r>
      <w:r w:rsidRPr="00187FD3">
        <w:rPr>
          <w:rFonts w:cs="Arial"/>
          <w:lang w:val="en-GB" w:eastAsia="en-GB"/>
        </w:rPr>
        <w:t>There</w:t>
      </w:r>
      <w:r>
        <w:rPr>
          <w:rFonts w:cs="Arial"/>
          <w:lang w:val="en-GB" w:eastAsia="en-GB"/>
        </w:rPr>
        <w:t xml:space="preserve"> was a</w:t>
      </w:r>
      <w:r w:rsidRPr="00187FD3">
        <w:rPr>
          <w:rFonts w:cs="Arial"/>
          <w:lang w:val="en-GB" w:eastAsia="en-GB"/>
        </w:rPr>
        <w:t xml:space="preserve"> </w:t>
      </w:r>
      <w:r w:rsidR="00D11825">
        <w:rPr>
          <w:rFonts w:cs="Arial"/>
          <w:lang w:val="en-GB" w:eastAsia="en-GB"/>
        </w:rPr>
        <w:t>wide</w:t>
      </w:r>
      <w:r>
        <w:rPr>
          <w:rFonts w:cs="Arial"/>
          <w:lang w:val="en-GB" w:eastAsia="en-GB"/>
        </w:rPr>
        <w:t xml:space="preserve"> range of allele frequencies among the </w:t>
      </w:r>
      <w:r w:rsidR="00C13785">
        <w:rPr>
          <w:rFonts w:cs="Arial"/>
          <w:lang w:val="en-GB" w:eastAsia="en-GB"/>
        </w:rPr>
        <w:t>single cell</w:t>
      </w:r>
      <w:r>
        <w:rPr>
          <w:rFonts w:cs="Arial"/>
          <w:lang w:val="en-GB" w:eastAsia="en-GB"/>
        </w:rPr>
        <w:t>s (</w:t>
      </w:r>
      <w:r>
        <w:rPr>
          <w:rFonts w:cs="Arial"/>
          <w:b/>
          <w:lang w:val="en-GB" w:eastAsia="en-GB"/>
        </w:rPr>
        <w:t xml:space="preserve">Fig. </w:t>
      </w:r>
      <w:r w:rsidR="00B25779">
        <w:rPr>
          <w:rFonts w:cs="Arial"/>
          <w:b/>
          <w:lang w:val="en-GB" w:eastAsia="en-GB"/>
        </w:rPr>
        <w:t>4</w:t>
      </w:r>
      <w:r>
        <w:rPr>
          <w:rFonts w:cs="Arial"/>
          <w:b/>
          <w:lang w:val="en-GB" w:eastAsia="en-GB"/>
        </w:rPr>
        <w:t>B</w:t>
      </w:r>
      <w:r>
        <w:rPr>
          <w:rFonts w:cs="Arial"/>
          <w:lang w:val="en-GB" w:eastAsia="en-GB"/>
        </w:rPr>
        <w:t xml:space="preserve">). Had only bulk analysis been performed, this range of allele frequency would not have been </w:t>
      </w:r>
      <w:r w:rsidR="00D11825">
        <w:rPr>
          <w:rFonts w:cs="Arial"/>
          <w:lang w:val="en-GB" w:eastAsia="en-GB"/>
        </w:rPr>
        <w:t>captured</w:t>
      </w:r>
      <w:r>
        <w:rPr>
          <w:rFonts w:cs="Arial"/>
          <w:lang w:val="en-GB" w:eastAsia="en-GB"/>
        </w:rPr>
        <w:t xml:space="preserve">; </w:t>
      </w:r>
      <w:r w:rsidR="00CA0E4B">
        <w:rPr>
          <w:rFonts w:cs="Arial"/>
          <w:lang w:val="en-GB" w:eastAsia="en-GB"/>
        </w:rPr>
        <w:t>demonstrating the</w:t>
      </w:r>
      <w:r w:rsidRPr="00187FD3">
        <w:rPr>
          <w:rFonts w:cs="Arial"/>
          <w:lang w:val="en-GB" w:eastAsia="en-GB"/>
        </w:rPr>
        <w:t xml:space="preserve"> </w:t>
      </w:r>
      <w:r w:rsidR="00D11825">
        <w:rPr>
          <w:rFonts w:cs="Arial"/>
          <w:lang w:val="en-GB" w:eastAsia="en-GB"/>
        </w:rPr>
        <w:t>enhanced</w:t>
      </w:r>
      <w:r w:rsidR="00CA0E4B">
        <w:rPr>
          <w:rFonts w:cs="Arial"/>
          <w:lang w:val="en-GB" w:eastAsia="en-GB"/>
        </w:rPr>
        <w:t xml:space="preserve"> </w:t>
      </w:r>
      <w:r w:rsidRPr="00187FD3">
        <w:rPr>
          <w:rFonts w:cs="Arial"/>
          <w:lang w:val="en-GB" w:eastAsia="en-GB"/>
        </w:rPr>
        <w:t>resolution</w:t>
      </w:r>
      <w:r w:rsidR="00CA0E4B">
        <w:rPr>
          <w:rFonts w:cs="Arial"/>
          <w:lang w:val="en-GB" w:eastAsia="en-GB"/>
        </w:rPr>
        <w:t xml:space="preserve"> </w:t>
      </w:r>
      <w:r w:rsidR="00950973">
        <w:rPr>
          <w:rFonts w:cs="Arial"/>
          <w:lang w:val="en-GB" w:eastAsia="en-GB"/>
        </w:rPr>
        <w:t>possible</w:t>
      </w:r>
      <w:r w:rsidRPr="00187FD3">
        <w:rPr>
          <w:rFonts w:cs="Arial"/>
          <w:lang w:val="en-GB" w:eastAsia="en-GB"/>
        </w:rPr>
        <w:t xml:space="preserve"> </w:t>
      </w:r>
      <w:r>
        <w:rPr>
          <w:rFonts w:cs="Arial"/>
          <w:lang w:val="en-GB" w:eastAsia="en-GB"/>
        </w:rPr>
        <w:t xml:space="preserve">from </w:t>
      </w:r>
      <w:r w:rsidR="00C13785">
        <w:rPr>
          <w:rFonts w:cs="Arial"/>
          <w:lang w:val="en-GB" w:eastAsia="en-GB"/>
        </w:rPr>
        <w:t>single cell</w:t>
      </w:r>
      <w:r>
        <w:rPr>
          <w:rFonts w:cs="Arial"/>
          <w:lang w:val="en-GB" w:eastAsia="en-GB"/>
        </w:rPr>
        <w:t xml:space="preserve"> analysis.</w:t>
      </w:r>
    </w:p>
    <w:p w14:paraId="3D6E3DEE" w14:textId="5623C9F0" w:rsidR="00393D7B" w:rsidRDefault="00393D7B" w:rsidP="00393D7B">
      <w:pPr>
        <w:rPr>
          <w:rFonts w:cs="Arial"/>
          <w:lang w:val="en-GB" w:eastAsia="en-GB"/>
        </w:rPr>
      </w:pPr>
      <w:r>
        <w:rPr>
          <w:rFonts w:cs="Arial"/>
          <w:lang w:val="en-GB" w:eastAsia="en-GB"/>
        </w:rPr>
        <w:t>We next considered whether the mutations among the samples were concordant. We generated a heatmap of mutations from all samples, with each mutation type represented by a colour (</w:t>
      </w:r>
      <w:r>
        <w:rPr>
          <w:rFonts w:cs="Arial"/>
          <w:b/>
          <w:lang w:val="en-GB" w:eastAsia="en-GB"/>
        </w:rPr>
        <w:t xml:space="preserve">Fig. </w:t>
      </w:r>
      <w:r w:rsidR="00B25779">
        <w:rPr>
          <w:rFonts w:cs="Arial"/>
          <w:b/>
          <w:lang w:val="en-GB" w:eastAsia="en-GB"/>
        </w:rPr>
        <w:t>4</w:t>
      </w:r>
      <w:r>
        <w:rPr>
          <w:rFonts w:cs="Arial"/>
          <w:b/>
          <w:lang w:val="en-GB" w:eastAsia="en-GB"/>
        </w:rPr>
        <w:t>C</w:t>
      </w:r>
      <w:r>
        <w:rPr>
          <w:rFonts w:cs="Arial"/>
          <w:lang w:val="en-GB" w:eastAsia="en-GB"/>
        </w:rPr>
        <w:t xml:space="preserve">). </w:t>
      </w:r>
      <w:r w:rsidR="00C13785">
        <w:rPr>
          <w:rFonts w:cs="Arial"/>
          <w:lang w:val="en-GB" w:eastAsia="en-GB"/>
        </w:rPr>
        <w:t>The</w:t>
      </w:r>
      <w:r>
        <w:rPr>
          <w:rFonts w:cs="Arial"/>
          <w:lang w:val="en-GB" w:eastAsia="en-GB"/>
        </w:rPr>
        <w:t xml:space="preserve"> mutations 5244TA&gt;T and 14136T&gt;A were present in all samples. </w:t>
      </w:r>
      <w:r w:rsidR="00D11825">
        <w:rPr>
          <w:rFonts w:cs="Arial"/>
          <w:lang w:val="en-GB" w:eastAsia="en-GB"/>
        </w:rPr>
        <w:t>C</w:t>
      </w:r>
      <w:r>
        <w:rPr>
          <w:rFonts w:cs="Arial"/>
          <w:lang w:val="en-GB" w:eastAsia="en-GB"/>
        </w:rPr>
        <w:t>onsideri</w:t>
      </w:r>
      <w:r w:rsidR="00D11825">
        <w:rPr>
          <w:rFonts w:cs="Arial"/>
          <w:lang w:val="en-GB" w:eastAsia="en-GB"/>
        </w:rPr>
        <w:t>ng</w:t>
      </w:r>
      <w:r>
        <w:rPr>
          <w:rFonts w:cs="Arial"/>
          <w:lang w:val="en-GB" w:eastAsia="en-GB"/>
        </w:rPr>
        <w:t xml:space="preserve"> the nature of a bulk sample, </w:t>
      </w:r>
      <w:r w:rsidR="00D11825">
        <w:rPr>
          <w:rFonts w:cs="Arial"/>
          <w:lang w:val="en-GB" w:eastAsia="en-GB"/>
        </w:rPr>
        <w:t>one might expect</w:t>
      </w:r>
      <w:r>
        <w:rPr>
          <w:rFonts w:cs="Arial"/>
          <w:lang w:val="en-GB" w:eastAsia="en-GB"/>
        </w:rPr>
        <w:t xml:space="preserve"> that all the mutations present in the </w:t>
      </w:r>
      <w:r w:rsidR="00D11825">
        <w:rPr>
          <w:rFonts w:cs="Arial"/>
          <w:lang w:val="en-GB" w:eastAsia="en-GB"/>
        </w:rPr>
        <w:t>single cells</w:t>
      </w:r>
      <w:r>
        <w:rPr>
          <w:rFonts w:cs="Arial"/>
          <w:lang w:val="en-GB" w:eastAsia="en-GB"/>
        </w:rPr>
        <w:t xml:space="preserve"> should be present in </w:t>
      </w:r>
      <w:r w:rsidR="000E6BC4">
        <w:rPr>
          <w:rFonts w:cs="Arial"/>
          <w:lang w:val="en-GB" w:eastAsia="en-GB"/>
        </w:rPr>
        <w:t xml:space="preserve">the </w:t>
      </w:r>
      <w:r w:rsidR="00D11825">
        <w:rPr>
          <w:rFonts w:cs="Arial"/>
          <w:lang w:val="en-GB" w:eastAsia="en-GB"/>
        </w:rPr>
        <w:t>bulk sample</w:t>
      </w:r>
      <w:r>
        <w:rPr>
          <w:rFonts w:cs="Arial"/>
          <w:lang w:val="en-GB" w:eastAsia="en-GB"/>
        </w:rPr>
        <w:t xml:space="preserve">. </w:t>
      </w:r>
      <w:r w:rsidR="0043665F">
        <w:rPr>
          <w:rFonts w:cs="Arial"/>
          <w:lang w:val="en-GB" w:eastAsia="en-GB"/>
        </w:rPr>
        <w:t>However, f</w:t>
      </w:r>
      <w:r>
        <w:rPr>
          <w:rFonts w:cs="Arial"/>
          <w:lang w:val="en-GB" w:eastAsia="en-GB"/>
        </w:rPr>
        <w:t>or the mutation to be called</w:t>
      </w:r>
      <w:r w:rsidR="00D11825">
        <w:rPr>
          <w:rFonts w:cs="Arial"/>
          <w:lang w:val="en-GB" w:eastAsia="en-GB"/>
        </w:rPr>
        <w:t xml:space="preserve"> with confidence</w:t>
      </w:r>
      <w:r>
        <w:rPr>
          <w:rFonts w:cs="Arial"/>
          <w:lang w:val="en-GB" w:eastAsia="en-GB"/>
        </w:rPr>
        <w:t xml:space="preserve"> in the bulk sample, it must be above </w:t>
      </w:r>
      <w:r w:rsidR="000E6BC4">
        <w:rPr>
          <w:rFonts w:cs="Arial"/>
          <w:lang w:val="en-GB" w:eastAsia="en-GB"/>
        </w:rPr>
        <w:t>0.04</w:t>
      </w:r>
      <w:r>
        <w:rPr>
          <w:rFonts w:cs="Arial"/>
          <w:lang w:val="en-GB" w:eastAsia="en-GB"/>
        </w:rPr>
        <w:t>; and it must therefore be present in individual cells</w:t>
      </w:r>
      <w:r w:rsidR="00D11825">
        <w:rPr>
          <w:rFonts w:cs="Arial"/>
          <w:lang w:val="en-GB" w:eastAsia="en-GB"/>
        </w:rPr>
        <w:t xml:space="preserve"> in the population</w:t>
      </w:r>
      <w:r>
        <w:rPr>
          <w:rFonts w:cs="Arial"/>
          <w:lang w:val="en-GB" w:eastAsia="en-GB"/>
        </w:rPr>
        <w:t xml:space="preserve"> </w:t>
      </w:r>
      <w:r w:rsidR="00950973">
        <w:rPr>
          <w:rFonts w:cs="Arial"/>
          <w:lang w:val="en-GB" w:eastAsia="en-GB"/>
        </w:rPr>
        <w:t>at sufficient frequency</w:t>
      </w:r>
      <w:r>
        <w:rPr>
          <w:rFonts w:cs="Arial"/>
          <w:lang w:val="en-GB" w:eastAsia="en-GB"/>
        </w:rPr>
        <w:t xml:space="preserve"> to average above </w:t>
      </w:r>
      <w:r w:rsidR="000E6BC4">
        <w:rPr>
          <w:rFonts w:cs="Arial"/>
          <w:lang w:val="en-GB" w:eastAsia="en-GB"/>
        </w:rPr>
        <w:t>0.0</w:t>
      </w:r>
      <w:r>
        <w:rPr>
          <w:rFonts w:cs="Arial"/>
          <w:lang w:val="en-GB" w:eastAsia="en-GB"/>
        </w:rPr>
        <w:t>4.</w:t>
      </w:r>
      <w:r w:rsidRPr="00F263DD">
        <w:rPr>
          <w:rFonts w:cs="Arial"/>
          <w:lang w:val="en-GB" w:eastAsia="en-GB"/>
        </w:rPr>
        <w:t xml:space="preserve"> </w:t>
      </w:r>
      <w:r w:rsidRPr="00187FD3">
        <w:rPr>
          <w:rFonts w:cs="Arial"/>
          <w:lang w:val="en-GB" w:eastAsia="en-GB"/>
        </w:rPr>
        <w:t>All mutations from the bulk sample were f</w:t>
      </w:r>
      <w:r>
        <w:rPr>
          <w:rFonts w:cs="Arial"/>
          <w:lang w:val="en-GB" w:eastAsia="en-GB"/>
        </w:rPr>
        <w:t xml:space="preserve">ound in at least 1 </w:t>
      </w:r>
      <w:r w:rsidR="00C13785">
        <w:rPr>
          <w:rFonts w:cs="Arial"/>
          <w:lang w:val="en-GB" w:eastAsia="en-GB"/>
        </w:rPr>
        <w:t>single cell</w:t>
      </w:r>
      <w:r w:rsidRPr="00187FD3">
        <w:rPr>
          <w:rFonts w:cs="Arial"/>
          <w:lang w:val="en-GB" w:eastAsia="en-GB"/>
        </w:rPr>
        <w:t xml:space="preserve">; apart from the intragenic </w:t>
      </w:r>
      <w:r>
        <w:rPr>
          <w:rFonts w:cs="Arial"/>
          <w:lang w:val="en-GB" w:eastAsia="en-GB"/>
        </w:rPr>
        <w:t>3733</w:t>
      </w:r>
      <w:r w:rsidRPr="00187FD3">
        <w:rPr>
          <w:rFonts w:cs="Arial"/>
          <w:lang w:val="en-GB" w:eastAsia="en-GB"/>
        </w:rPr>
        <w:t xml:space="preserve">G&gt;A. </w:t>
      </w:r>
      <w:r w:rsidR="0043665F">
        <w:rPr>
          <w:rFonts w:cs="Arial"/>
          <w:lang w:val="en-GB" w:eastAsia="en-GB"/>
        </w:rPr>
        <w:t>T</w:t>
      </w:r>
      <w:r>
        <w:rPr>
          <w:rFonts w:cs="Arial"/>
          <w:lang w:val="en-GB" w:eastAsia="en-GB"/>
        </w:rPr>
        <w:t xml:space="preserve">he </w:t>
      </w:r>
      <w:r w:rsidR="00C13785">
        <w:rPr>
          <w:rFonts w:cs="Arial"/>
          <w:lang w:val="en-GB" w:eastAsia="en-GB"/>
        </w:rPr>
        <w:t xml:space="preserve">limited </w:t>
      </w:r>
      <w:r>
        <w:rPr>
          <w:rFonts w:cs="Arial"/>
          <w:lang w:val="en-GB" w:eastAsia="en-GB"/>
        </w:rPr>
        <w:t xml:space="preserve">number of </w:t>
      </w:r>
      <w:r w:rsidR="00C13785">
        <w:rPr>
          <w:rFonts w:cs="Arial"/>
          <w:lang w:val="en-GB" w:eastAsia="en-GB"/>
        </w:rPr>
        <w:t>single cell</w:t>
      </w:r>
      <w:r>
        <w:rPr>
          <w:rFonts w:cs="Arial"/>
          <w:lang w:val="en-GB" w:eastAsia="en-GB"/>
        </w:rPr>
        <w:t>s</w:t>
      </w:r>
      <w:r w:rsidR="00C13785">
        <w:rPr>
          <w:rFonts w:cs="Arial"/>
          <w:lang w:val="en-GB" w:eastAsia="en-GB"/>
        </w:rPr>
        <w:t xml:space="preserve"> analysed</w:t>
      </w:r>
      <w:r>
        <w:rPr>
          <w:rFonts w:cs="Arial"/>
          <w:lang w:val="en-GB" w:eastAsia="en-GB"/>
        </w:rPr>
        <w:t xml:space="preserve"> likely</w:t>
      </w:r>
      <w:r w:rsidR="00C13785">
        <w:rPr>
          <w:rFonts w:cs="Arial"/>
          <w:lang w:val="en-GB" w:eastAsia="en-GB"/>
        </w:rPr>
        <w:t xml:space="preserve"> resulted in this</w:t>
      </w:r>
      <w:r w:rsidR="0043665F">
        <w:rPr>
          <w:rFonts w:cs="Arial"/>
          <w:lang w:val="en-GB" w:eastAsia="en-GB"/>
        </w:rPr>
        <w:t xml:space="preserve"> observation</w:t>
      </w:r>
      <w:r>
        <w:rPr>
          <w:rFonts w:cs="Arial"/>
          <w:lang w:val="en-GB" w:eastAsia="en-GB"/>
        </w:rPr>
        <w:t xml:space="preserve">. </w:t>
      </w:r>
      <w:r w:rsidR="0043665F">
        <w:rPr>
          <w:rFonts w:cs="Arial"/>
          <w:lang w:val="en-GB" w:eastAsia="en-GB"/>
        </w:rPr>
        <w:t xml:space="preserve">On the other hand, </w:t>
      </w:r>
      <w:r w:rsidRPr="00187FD3">
        <w:rPr>
          <w:rFonts w:cs="Arial"/>
          <w:lang w:val="en-GB" w:eastAsia="en-GB"/>
        </w:rPr>
        <w:t xml:space="preserve">73% (19/26) of mutation locations were exclusively found </w:t>
      </w:r>
      <w:r w:rsidR="00C13785">
        <w:rPr>
          <w:rFonts w:cs="Arial"/>
          <w:lang w:val="en-GB" w:eastAsia="en-GB"/>
        </w:rPr>
        <w:t>in</w:t>
      </w:r>
      <w:r w:rsidR="00C13785" w:rsidRPr="00187FD3">
        <w:rPr>
          <w:rFonts w:cs="Arial"/>
          <w:lang w:val="en-GB" w:eastAsia="en-GB"/>
        </w:rPr>
        <w:t xml:space="preserve"> </w:t>
      </w:r>
      <w:r w:rsidRPr="00187FD3">
        <w:rPr>
          <w:rFonts w:cs="Arial"/>
          <w:lang w:val="en-GB" w:eastAsia="en-GB"/>
        </w:rPr>
        <w:t xml:space="preserve">the </w:t>
      </w:r>
      <w:r w:rsidR="00C13785">
        <w:rPr>
          <w:rFonts w:cs="Arial"/>
          <w:lang w:val="en-GB" w:eastAsia="en-GB"/>
        </w:rPr>
        <w:t>single cell</w:t>
      </w:r>
      <w:r w:rsidRPr="00187FD3">
        <w:rPr>
          <w:rFonts w:cs="Arial"/>
          <w:lang w:val="en-GB" w:eastAsia="en-GB"/>
        </w:rPr>
        <w:t xml:space="preserve">s but not in the </w:t>
      </w:r>
      <w:r>
        <w:rPr>
          <w:rFonts w:cs="Arial"/>
          <w:lang w:val="en-GB" w:eastAsia="en-GB"/>
        </w:rPr>
        <w:t>bulk sample</w:t>
      </w:r>
      <w:r w:rsidR="0043665F">
        <w:rPr>
          <w:rFonts w:cs="Arial"/>
          <w:lang w:val="en-GB" w:eastAsia="en-GB"/>
        </w:rPr>
        <w:t>,</w:t>
      </w:r>
      <w:r w:rsidRPr="00187FD3">
        <w:rPr>
          <w:rFonts w:cs="Arial"/>
          <w:lang w:val="en-GB" w:eastAsia="en-GB"/>
        </w:rPr>
        <w:t xml:space="preserve"> again evidencing </w:t>
      </w:r>
      <w:r w:rsidR="00950973">
        <w:rPr>
          <w:rFonts w:cs="Arial"/>
          <w:lang w:val="en-GB" w:eastAsia="en-GB"/>
        </w:rPr>
        <w:t>the</w:t>
      </w:r>
      <w:r>
        <w:rPr>
          <w:rFonts w:cs="Arial"/>
          <w:lang w:val="en-GB" w:eastAsia="en-GB"/>
        </w:rPr>
        <w:t xml:space="preserve"> high</w:t>
      </w:r>
      <w:r w:rsidR="00950973">
        <w:rPr>
          <w:rFonts w:cs="Arial"/>
          <w:lang w:val="en-GB" w:eastAsia="en-GB"/>
        </w:rPr>
        <w:t xml:space="preserve"> degree of</w:t>
      </w:r>
      <w:r>
        <w:rPr>
          <w:rFonts w:cs="Arial"/>
          <w:lang w:val="en-GB" w:eastAsia="en-GB"/>
        </w:rPr>
        <w:t xml:space="preserve"> resolution from </w:t>
      </w:r>
      <w:r w:rsidR="00C13785">
        <w:rPr>
          <w:rFonts w:cs="Arial"/>
          <w:lang w:val="en-GB" w:eastAsia="en-GB"/>
        </w:rPr>
        <w:t>single cell</w:t>
      </w:r>
      <w:r>
        <w:rPr>
          <w:rFonts w:cs="Arial"/>
          <w:lang w:val="en-GB" w:eastAsia="en-GB"/>
        </w:rPr>
        <w:t xml:space="preserve"> analysis</w:t>
      </w:r>
      <w:r w:rsidRPr="00187FD3">
        <w:rPr>
          <w:rFonts w:cs="Arial"/>
          <w:lang w:val="en-GB" w:eastAsia="en-GB"/>
        </w:rPr>
        <w:t>.</w:t>
      </w:r>
    </w:p>
    <w:p w14:paraId="494AB1A5" w14:textId="2A1F5C1A" w:rsidR="00393D7B" w:rsidRDefault="00393D7B" w:rsidP="00393D7B">
      <w:pPr>
        <w:rPr>
          <w:rFonts w:cs="Arial"/>
          <w:lang w:val="en-GB" w:eastAsia="en-GB"/>
        </w:rPr>
      </w:pPr>
      <w:r w:rsidRPr="00187FD3">
        <w:rPr>
          <w:rFonts w:cs="Arial"/>
          <w:lang w:val="en-GB" w:eastAsia="en-GB"/>
        </w:rPr>
        <w:t>The lowest number of mutations w</w:t>
      </w:r>
      <w:r w:rsidR="00EB3B6F">
        <w:rPr>
          <w:rFonts w:cs="Arial"/>
          <w:lang w:val="en-GB" w:eastAsia="en-GB"/>
        </w:rPr>
        <w:t>ere</w:t>
      </w:r>
      <w:r w:rsidRPr="00187FD3">
        <w:rPr>
          <w:rFonts w:cs="Arial"/>
          <w:lang w:val="en-GB" w:eastAsia="en-GB"/>
        </w:rPr>
        <w:t xml:space="preserve"> in the </w:t>
      </w:r>
      <w:r>
        <w:rPr>
          <w:rFonts w:cs="Arial"/>
          <w:lang w:val="en-GB" w:eastAsia="en-GB"/>
        </w:rPr>
        <w:t>bulk</w:t>
      </w:r>
      <w:r w:rsidRPr="00187FD3">
        <w:rPr>
          <w:rFonts w:cs="Arial"/>
          <w:lang w:val="en-GB" w:eastAsia="en-GB"/>
        </w:rPr>
        <w:t xml:space="preserve"> population with 13 (joint with </w:t>
      </w:r>
      <w:r w:rsidR="00C13785">
        <w:rPr>
          <w:rFonts w:cs="Arial"/>
          <w:lang w:val="en-GB" w:eastAsia="en-GB"/>
        </w:rPr>
        <w:t>Single cell</w:t>
      </w:r>
      <w:r w:rsidRPr="00187FD3">
        <w:rPr>
          <w:rFonts w:cs="Arial"/>
          <w:lang w:val="en-GB" w:eastAsia="en-GB"/>
        </w:rPr>
        <w:t xml:space="preserve"> 1)</w:t>
      </w:r>
      <w:r>
        <w:rPr>
          <w:rFonts w:cs="Arial"/>
          <w:lang w:val="en-GB" w:eastAsia="en-GB"/>
        </w:rPr>
        <w:t xml:space="preserve"> (</w:t>
      </w:r>
      <w:r>
        <w:rPr>
          <w:rFonts w:cs="Arial"/>
          <w:b/>
          <w:lang w:val="en-GB" w:eastAsia="en-GB"/>
        </w:rPr>
        <w:t xml:space="preserve">Fig. </w:t>
      </w:r>
      <w:r w:rsidR="00B25779">
        <w:rPr>
          <w:rFonts w:cs="Arial"/>
          <w:b/>
          <w:lang w:val="en-GB" w:eastAsia="en-GB"/>
        </w:rPr>
        <w:t>4</w:t>
      </w:r>
      <w:r>
        <w:rPr>
          <w:rFonts w:cs="Arial"/>
          <w:b/>
          <w:lang w:val="en-GB" w:eastAsia="en-GB"/>
        </w:rPr>
        <w:t>C</w:t>
      </w:r>
      <w:r>
        <w:rPr>
          <w:rFonts w:cs="Arial"/>
          <w:lang w:val="en-GB" w:eastAsia="en-GB"/>
        </w:rPr>
        <w:t>)</w:t>
      </w:r>
      <w:r w:rsidRPr="00187FD3">
        <w:rPr>
          <w:rFonts w:cs="Arial"/>
          <w:lang w:val="en-GB" w:eastAsia="en-GB"/>
        </w:rPr>
        <w:t xml:space="preserve">. </w:t>
      </w:r>
      <w:r w:rsidR="00C13785">
        <w:rPr>
          <w:rFonts w:cs="Arial"/>
          <w:lang w:val="en-GB" w:eastAsia="en-GB"/>
        </w:rPr>
        <w:t>T</w:t>
      </w:r>
      <w:r>
        <w:rPr>
          <w:rFonts w:cs="Arial"/>
          <w:lang w:val="en-GB" w:eastAsia="en-GB"/>
        </w:rPr>
        <w:t>his was</w:t>
      </w:r>
      <w:r w:rsidR="00C13785">
        <w:rPr>
          <w:rFonts w:cs="Arial"/>
          <w:lang w:val="en-GB" w:eastAsia="en-GB"/>
        </w:rPr>
        <w:t xml:space="preserve"> not</w:t>
      </w:r>
      <w:r>
        <w:rPr>
          <w:rFonts w:cs="Arial"/>
          <w:lang w:val="en-GB" w:eastAsia="en-GB"/>
        </w:rPr>
        <w:t xml:space="preserve"> </w:t>
      </w:r>
      <w:r w:rsidR="00C13785">
        <w:rPr>
          <w:rFonts w:cs="Arial"/>
          <w:lang w:val="en-GB" w:eastAsia="en-GB"/>
        </w:rPr>
        <w:t>un</w:t>
      </w:r>
      <w:r>
        <w:rPr>
          <w:rFonts w:cs="Arial"/>
          <w:lang w:val="en-GB" w:eastAsia="en-GB"/>
        </w:rPr>
        <w:t>expected because single</w:t>
      </w:r>
      <w:r w:rsidR="00C13785">
        <w:rPr>
          <w:rFonts w:cs="Arial"/>
          <w:lang w:val="en-GB" w:eastAsia="en-GB"/>
        </w:rPr>
        <w:t xml:space="preserve"> </w:t>
      </w:r>
      <w:r>
        <w:rPr>
          <w:rFonts w:cs="Arial"/>
          <w:lang w:val="en-GB" w:eastAsia="en-GB"/>
        </w:rPr>
        <w:t xml:space="preserve">cells can contain additional rare mutations that average out below </w:t>
      </w:r>
      <w:r w:rsidR="000E6BC4">
        <w:rPr>
          <w:rFonts w:cs="Arial"/>
          <w:lang w:val="en-GB" w:eastAsia="en-GB"/>
        </w:rPr>
        <w:t>0.04</w:t>
      </w:r>
      <w:r w:rsidR="00950973">
        <w:rPr>
          <w:rFonts w:cs="Arial"/>
          <w:lang w:val="en-GB" w:eastAsia="en-GB"/>
        </w:rPr>
        <w:t xml:space="preserve"> in the bulk sample</w:t>
      </w:r>
      <w:r>
        <w:rPr>
          <w:rFonts w:cs="Arial"/>
          <w:lang w:val="en-GB" w:eastAsia="en-GB"/>
        </w:rPr>
        <w:t xml:space="preserve">. On the other hand, </w:t>
      </w:r>
      <w:r w:rsidR="00EB3B6F">
        <w:rPr>
          <w:rFonts w:cs="Arial"/>
          <w:lang w:val="en-GB" w:eastAsia="en-GB"/>
        </w:rPr>
        <w:t xml:space="preserve">individual </w:t>
      </w:r>
      <w:r>
        <w:rPr>
          <w:rFonts w:cs="Arial"/>
          <w:lang w:val="en-GB" w:eastAsia="en-GB"/>
        </w:rPr>
        <w:t>single</w:t>
      </w:r>
      <w:r w:rsidR="00C13785">
        <w:rPr>
          <w:rFonts w:cs="Arial"/>
          <w:lang w:val="en-GB" w:eastAsia="en-GB"/>
        </w:rPr>
        <w:t xml:space="preserve"> </w:t>
      </w:r>
      <w:r>
        <w:rPr>
          <w:rFonts w:cs="Arial"/>
          <w:lang w:val="en-GB" w:eastAsia="en-GB"/>
        </w:rPr>
        <w:t>cells do not necessarily contain all</w:t>
      </w:r>
      <w:r w:rsidR="00EB3B6F">
        <w:rPr>
          <w:rFonts w:cs="Arial"/>
          <w:lang w:val="en-GB" w:eastAsia="en-GB"/>
        </w:rPr>
        <w:t xml:space="preserve"> the </w:t>
      </w:r>
      <w:r w:rsidR="00301B52">
        <w:rPr>
          <w:rFonts w:cs="Arial"/>
          <w:lang w:val="en-GB" w:eastAsia="en-GB"/>
        </w:rPr>
        <w:t>mutations</w:t>
      </w:r>
      <w:r>
        <w:rPr>
          <w:rFonts w:cs="Arial"/>
          <w:lang w:val="en-GB" w:eastAsia="en-GB"/>
        </w:rPr>
        <w:t xml:space="preserve"> </w:t>
      </w:r>
      <w:r w:rsidR="00EB3B6F">
        <w:rPr>
          <w:rFonts w:cs="Arial"/>
          <w:lang w:val="en-GB" w:eastAsia="en-GB"/>
        </w:rPr>
        <w:t>found in</w:t>
      </w:r>
      <w:r>
        <w:rPr>
          <w:rFonts w:cs="Arial"/>
          <w:lang w:val="en-GB" w:eastAsia="en-GB"/>
        </w:rPr>
        <w:t xml:space="preserve"> the bulk</w:t>
      </w:r>
      <w:r w:rsidR="00EB3B6F">
        <w:rPr>
          <w:rFonts w:cs="Arial"/>
          <w:lang w:val="en-GB" w:eastAsia="en-GB"/>
        </w:rPr>
        <w:t xml:space="preserve"> sample.</w:t>
      </w:r>
      <w:r>
        <w:rPr>
          <w:rFonts w:cs="Arial"/>
          <w:lang w:val="en-GB" w:eastAsia="en-GB"/>
        </w:rPr>
        <w:t xml:space="preserve"> Ultimately, </w:t>
      </w:r>
      <w:r w:rsidR="00950973">
        <w:rPr>
          <w:rFonts w:cs="Arial"/>
          <w:lang w:val="en-GB" w:eastAsia="en-GB"/>
        </w:rPr>
        <w:t xml:space="preserve">the greater the number of single cells </w:t>
      </w:r>
      <w:r w:rsidR="00950973">
        <w:rPr>
          <w:rFonts w:cs="Arial"/>
          <w:lang w:val="en-GB" w:eastAsia="en-GB"/>
        </w:rPr>
        <w:lastRenderedPageBreak/>
        <w:t xml:space="preserve">analysed, the greater the certainty about the nature of individual mutations across a population of cells when </w:t>
      </w:r>
      <w:r>
        <w:rPr>
          <w:rFonts w:cs="Arial"/>
          <w:lang w:val="en-GB" w:eastAsia="en-GB"/>
        </w:rPr>
        <w:t>compared to bulk</w:t>
      </w:r>
      <w:r w:rsidR="00950973">
        <w:rPr>
          <w:rFonts w:cs="Arial"/>
          <w:lang w:val="en-GB" w:eastAsia="en-GB"/>
        </w:rPr>
        <w:t xml:space="preserve"> cell sequencing</w:t>
      </w:r>
      <w:r>
        <w:rPr>
          <w:rFonts w:cs="Arial"/>
          <w:lang w:val="en-GB" w:eastAsia="en-GB"/>
        </w:rPr>
        <w:t>.</w:t>
      </w:r>
    </w:p>
    <w:p w14:paraId="518DED25" w14:textId="77777777" w:rsidR="00393D7B" w:rsidRDefault="00393D7B" w:rsidP="00393D7B">
      <w:pPr>
        <w:pStyle w:val="Heading2"/>
        <w:rPr>
          <w:lang w:val="en-GB" w:eastAsia="en-GB"/>
        </w:rPr>
      </w:pPr>
      <w:bookmarkStart w:id="16" w:name="_Toc140679759"/>
      <w:r>
        <w:rPr>
          <w:lang w:val="en-GB" w:eastAsia="en-GB"/>
        </w:rPr>
        <w:t>Predicted Phenotypic Impact of Mutations</w:t>
      </w:r>
      <w:bookmarkEnd w:id="16"/>
    </w:p>
    <w:p w14:paraId="4CCF74FD" w14:textId="0D8347F2" w:rsidR="00393D7B" w:rsidRPr="00AA0646" w:rsidRDefault="00393D7B" w:rsidP="00393D7B">
      <w:r>
        <w:rPr>
          <w:rFonts w:cs="Arial"/>
          <w:lang w:val="en-GB" w:eastAsia="en-GB"/>
        </w:rPr>
        <w:t>Although the presence of mutations is useful for demonstrating intercellular diversity, their phenotypic impact</w:t>
      </w:r>
      <w:r w:rsidR="00B25779">
        <w:rPr>
          <w:rFonts w:cs="Arial"/>
          <w:lang w:val="en-GB" w:eastAsia="en-GB"/>
        </w:rPr>
        <w:t xml:space="preserve"> may be limited by many factors </w:t>
      </w:r>
      <w:r w:rsidR="00B25779">
        <w:t>including the mutation’s effect on</w:t>
      </w:r>
      <w:r w:rsidR="00C13785">
        <w:t>, for example,</w:t>
      </w:r>
      <w:r w:rsidR="00B25779">
        <w:t xml:space="preserve"> amino acid sequence</w:t>
      </w:r>
      <w:r w:rsidR="00C13785">
        <w:t xml:space="preserve"> or tRNA structure</w:t>
      </w:r>
      <w:r>
        <w:rPr>
          <w:rFonts w:cs="Arial"/>
          <w:lang w:val="en-GB" w:eastAsia="en-GB"/>
        </w:rPr>
        <w:t xml:space="preserve">. We therefore analysed mutations </w:t>
      </w:r>
      <w:r w:rsidR="006B2DCB">
        <w:rPr>
          <w:rFonts w:cs="Arial"/>
          <w:lang w:val="en-GB" w:eastAsia="en-GB"/>
        </w:rPr>
        <w:t xml:space="preserve">based on predicted impact on </w:t>
      </w:r>
      <w:r>
        <w:rPr>
          <w:rFonts w:cs="Arial"/>
          <w:lang w:val="en-GB" w:eastAsia="en-GB"/>
        </w:rPr>
        <w:t>phenoty</w:t>
      </w:r>
      <w:r w:rsidR="006B2DCB">
        <w:rPr>
          <w:rFonts w:cs="Arial"/>
          <w:lang w:val="en-GB" w:eastAsia="en-GB"/>
        </w:rPr>
        <w:t>pe</w:t>
      </w:r>
      <w:r>
        <w:rPr>
          <w:rFonts w:cs="Arial"/>
          <w:lang w:val="en-GB" w:eastAsia="en-GB"/>
        </w:rPr>
        <w:t xml:space="preserve"> </w:t>
      </w:r>
      <w:r w:rsidR="00AA0646">
        <w:rPr>
          <w:rFonts w:cs="Arial"/>
          <w:lang w:val="en-GB" w:eastAsia="en-GB"/>
        </w:rPr>
        <w:t>using</w:t>
      </w:r>
      <w:r>
        <w:rPr>
          <w:rFonts w:cs="Arial"/>
          <w:lang w:val="en-GB" w:eastAsia="en-GB"/>
        </w:rPr>
        <w:t xml:space="preserve"> </w:t>
      </w:r>
      <w:r w:rsidR="00AA0646">
        <w:rPr>
          <w:rFonts w:cs="Arial"/>
          <w:lang w:val="en-GB" w:eastAsia="en-GB"/>
        </w:rPr>
        <w:t>the snpEff</w:t>
      </w:r>
      <w:r w:rsidR="006B2DCB">
        <w:rPr>
          <w:rFonts w:cs="Arial"/>
          <w:lang w:val="en-GB" w:eastAsia="en-GB"/>
        </w:rPr>
        <w:t xml:space="preserve"> </w:t>
      </w:r>
      <w:r>
        <w:rPr>
          <w:rFonts w:cs="Arial"/>
          <w:lang w:val="en-GB" w:eastAsia="en-GB"/>
        </w:rPr>
        <w:t>software</w:t>
      </w:r>
      <w:r w:rsidR="006B2DCB">
        <w:rPr>
          <w:rFonts w:cs="Arial"/>
          <w:lang w:val="en-GB" w:eastAsia="en-GB"/>
        </w:rPr>
        <w:t xml:space="preserve"> tool</w:t>
      </w:r>
      <w:r w:rsidRPr="00187FD3">
        <w:rPr>
          <w:rFonts w:cs="Arial"/>
          <w:lang w:val="en-GB" w:eastAsia="en-GB"/>
        </w:rPr>
        <w:t xml:space="preserve"> (</w:t>
      </w:r>
      <w:r>
        <w:rPr>
          <w:rFonts w:cs="Arial"/>
          <w:b/>
          <w:lang w:val="en-GB" w:eastAsia="en-GB"/>
        </w:rPr>
        <w:t xml:space="preserve">Fig. </w:t>
      </w:r>
      <w:r w:rsidR="00B25779">
        <w:rPr>
          <w:rFonts w:cs="Arial"/>
          <w:b/>
          <w:lang w:val="en-GB" w:eastAsia="en-GB"/>
        </w:rPr>
        <w:t>4</w:t>
      </w:r>
      <w:r>
        <w:rPr>
          <w:rFonts w:cs="Arial"/>
          <w:b/>
          <w:lang w:val="en-GB" w:eastAsia="en-GB"/>
        </w:rPr>
        <w:t>D</w:t>
      </w:r>
      <w:r w:rsidRPr="00187FD3">
        <w:rPr>
          <w:rFonts w:cs="Arial"/>
          <w:lang w:val="en-GB" w:eastAsia="en-GB"/>
        </w:rPr>
        <w:t>) (</w:t>
      </w:r>
      <w:r w:rsidRPr="00130592">
        <w:rPr>
          <w:rFonts w:cs="Arial"/>
          <w:b/>
          <w:lang w:val="en-GB" w:eastAsia="en-GB"/>
        </w:rPr>
        <w:t>Fig.</w:t>
      </w:r>
      <w:r>
        <w:rPr>
          <w:rFonts w:cs="Arial"/>
          <w:lang w:val="en-GB" w:eastAsia="en-GB"/>
        </w:rPr>
        <w:t xml:space="preserve"> </w:t>
      </w:r>
      <w:r w:rsidR="00B25779">
        <w:rPr>
          <w:rFonts w:cs="Arial"/>
          <w:b/>
          <w:lang w:val="en-GB" w:eastAsia="en-GB"/>
        </w:rPr>
        <w:t>S</w:t>
      </w:r>
      <w:r>
        <w:rPr>
          <w:rFonts w:cs="Arial"/>
          <w:b/>
          <w:lang w:val="en-GB" w:eastAsia="en-GB"/>
        </w:rPr>
        <w:t>1D</w:t>
      </w:r>
      <w:r w:rsidRPr="00187FD3">
        <w:rPr>
          <w:rFonts w:cs="Arial"/>
          <w:lang w:val="en-GB" w:eastAsia="en-GB"/>
        </w:rPr>
        <w:t>). Of particular interest, frameshift mutations were observed in protein-coding genes COX1, CYTB and ND4 (</w:t>
      </w:r>
      <w:r w:rsidR="00B25779">
        <w:rPr>
          <w:rFonts w:cs="Arial"/>
          <w:b/>
          <w:lang w:val="en-GB" w:eastAsia="en-GB"/>
        </w:rPr>
        <w:t>Fig. S</w:t>
      </w:r>
      <w:r w:rsidRPr="00187FD3">
        <w:rPr>
          <w:rFonts w:cs="Arial"/>
          <w:b/>
          <w:lang w:val="en-GB" w:eastAsia="en-GB"/>
        </w:rPr>
        <w:t>1</w:t>
      </w:r>
      <w:r>
        <w:rPr>
          <w:rFonts w:cs="Arial"/>
          <w:b/>
          <w:lang w:val="en-GB" w:eastAsia="en-GB"/>
        </w:rPr>
        <w:t>E</w:t>
      </w:r>
      <w:r w:rsidRPr="00187FD3">
        <w:rPr>
          <w:rFonts w:cs="Arial"/>
          <w:lang w:val="en-GB" w:eastAsia="en-GB"/>
        </w:rPr>
        <w:t>). At least 1 frameshift mutation was called in all samples. Only 4 heteroplasmic mutations were above 0.5 allele frequency</w:t>
      </w:r>
      <w:r w:rsidR="00AA0646">
        <w:rPr>
          <w:rFonts w:cs="Arial"/>
          <w:lang w:val="en-GB" w:eastAsia="en-GB"/>
        </w:rPr>
        <w:t xml:space="preserve">, with </w:t>
      </w:r>
      <w:r w:rsidRPr="00187FD3">
        <w:rPr>
          <w:rFonts w:cs="Arial"/>
          <w:lang w:val="en-GB" w:eastAsia="en-GB"/>
        </w:rPr>
        <w:t xml:space="preserve">most mutations </w:t>
      </w:r>
      <w:r w:rsidR="00684422">
        <w:rPr>
          <w:rFonts w:cs="Arial"/>
          <w:lang w:val="en-GB" w:eastAsia="en-GB"/>
        </w:rPr>
        <w:t>present</w:t>
      </w:r>
      <w:r>
        <w:rPr>
          <w:rFonts w:cs="Arial"/>
          <w:lang w:val="en-GB" w:eastAsia="en-GB"/>
        </w:rPr>
        <w:t xml:space="preserve"> </w:t>
      </w:r>
      <w:r w:rsidRPr="00187FD3">
        <w:rPr>
          <w:rFonts w:cs="Arial"/>
          <w:lang w:val="en-GB" w:eastAsia="en-GB"/>
        </w:rPr>
        <w:t>at low levels</w:t>
      </w:r>
      <w:r>
        <w:rPr>
          <w:rFonts w:cs="Arial"/>
          <w:lang w:val="en-GB" w:eastAsia="en-GB"/>
        </w:rPr>
        <w:t xml:space="preserve">. </w:t>
      </w:r>
      <w:r w:rsidR="00684422">
        <w:rPr>
          <w:rFonts w:cs="Arial"/>
          <w:lang w:val="en-GB" w:eastAsia="en-GB"/>
        </w:rPr>
        <w:t>Mapping</w:t>
      </w:r>
      <w:r>
        <w:rPr>
          <w:rFonts w:cs="Arial"/>
          <w:lang w:val="en-GB" w:eastAsia="en-GB"/>
        </w:rPr>
        <w:t xml:space="preserve"> of mutations against allele frequency </w:t>
      </w:r>
      <w:r w:rsidR="00AA0646">
        <w:rPr>
          <w:rFonts w:cs="Arial"/>
          <w:lang w:val="en-GB" w:eastAsia="en-GB"/>
        </w:rPr>
        <w:t>showed</w:t>
      </w:r>
      <w:r w:rsidR="00684422">
        <w:rPr>
          <w:rFonts w:cs="Arial"/>
          <w:lang w:val="en-GB" w:eastAsia="en-GB"/>
        </w:rPr>
        <w:t xml:space="preserve"> </w:t>
      </w:r>
      <w:r>
        <w:rPr>
          <w:rFonts w:cs="Arial"/>
          <w:lang w:val="en-GB" w:eastAsia="en-GB"/>
        </w:rPr>
        <w:t>the vast majority</w:t>
      </w:r>
      <w:r w:rsidR="00AA0646">
        <w:rPr>
          <w:rFonts w:cs="Arial"/>
          <w:lang w:val="en-GB" w:eastAsia="en-GB"/>
        </w:rPr>
        <w:t xml:space="preserve"> to be</w:t>
      </w:r>
      <w:r>
        <w:rPr>
          <w:rFonts w:cs="Arial"/>
          <w:lang w:val="en-GB" w:eastAsia="en-GB"/>
        </w:rPr>
        <w:t xml:space="preserve"> in the 0.04-0.5 range</w:t>
      </w:r>
      <w:r w:rsidRPr="00187FD3">
        <w:rPr>
          <w:rFonts w:cs="Arial"/>
          <w:lang w:val="en-GB" w:eastAsia="en-GB"/>
        </w:rPr>
        <w:t xml:space="preserve"> (</w:t>
      </w:r>
      <w:r w:rsidR="00B25779">
        <w:rPr>
          <w:rFonts w:cs="Arial"/>
          <w:b/>
          <w:lang w:val="en-GB" w:eastAsia="en-GB"/>
        </w:rPr>
        <w:t>Fig. S</w:t>
      </w:r>
      <w:r>
        <w:rPr>
          <w:rFonts w:cs="Arial"/>
          <w:b/>
          <w:lang w:val="en-GB" w:eastAsia="en-GB"/>
        </w:rPr>
        <w:t>1F</w:t>
      </w:r>
      <w:r w:rsidRPr="00187FD3">
        <w:rPr>
          <w:rFonts w:cs="Arial"/>
          <w:lang w:val="en-GB" w:eastAsia="en-GB"/>
        </w:rPr>
        <w:t>).</w:t>
      </w:r>
    </w:p>
    <w:p w14:paraId="6DC7C72A" w14:textId="77777777" w:rsidR="000C12B6" w:rsidRPr="006E4D0D" w:rsidRDefault="000C12B6" w:rsidP="007B306E">
      <w:pPr>
        <w:rPr>
          <w:lang w:val="en-GB" w:eastAsia="en-GB"/>
        </w:rPr>
      </w:pPr>
    </w:p>
    <w:p w14:paraId="4ADC8CDA" w14:textId="4509BABE" w:rsidR="00117666" w:rsidRPr="00376CC5" w:rsidRDefault="00FA75DA" w:rsidP="00AC0270">
      <w:pPr>
        <w:pStyle w:val="Heading1"/>
      </w:pPr>
      <w:r>
        <w:t>Discussion</w:t>
      </w:r>
    </w:p>
    <w:p w14:paraId="6AE28377" w14:textId="072013E1" w:rsidR="00694027" w:rsidRPr="00187FD3" w:rsidRDefault="00694027" w:rsidP="00694027">
      <w:pPr>
        <w:rPr>
          <w:rFonts w:cs="Arial"/>
          <w:szCs w:val="24"/>
        </w:rPr>
      </w:pPr>
      <w:r w:rsidRPr="00187FD3">
        <w:rPr>
          <w:rFonts w:cs="Arial"/>
          <w:szCs w:val="24"/>
        </w:rPr>
        <w:t xml:space="preserve">The phenotypic </w:t>
      </w:r>
      <w:r w:rsidR="00684422">
        <w:rPr>
          <w:rFonts w:cs="Arial"/>
          <w:szCs w:val="24"/>
        </w:rPr>
        <w:t>manifestations of</w:t>
      </w:r>
      <w:r w:rsidRPr="00187FD3">
        <w:rPr>
          <w:rFonts w:cs="Arial"/>
          <w:szCs w:val="24"/>
        </w:rPr>
        <w:t xml:space="preserve"> disease </w:t>
      </w:r>
      <w:r w:rsidR="00666856">
        <w:rPr>
          <w:rFonts w:cs="Arial"/>
          <w:szCs w:val="24"/>
        </w:rPr>
        <w:t xml:space="preserve">typically </w:t>
      </w:r>
      <w:r w:rsidRPr="00187FD3">
        <w:rPr>
          <w:rFonts w:cs="Arial"/>
          <w:szCs w:val="24"/>
        </w:rPr>
        <w:t>occur when the</w:t>
      </w:r>
      <w:r w:rsidR="00666856">
        <w:rPr>
          <w:rFonts w:cs="Arial"/>
          <w:szCs w:val="24"/>
        </w:rPr>
        <w:t xml:space="preserve"> </w:t>
      </w:r>
      <w:r w:rsidR="00BE61C9">
        <w:rPr>
          <w:rFonts w:cs="Arial"/>
          <w:szCs w:val="24"/>
        </w:rPr>
        <w:t>responsible</w:t>
      </w:r>
      <w:r w:rsidRPr="00187FD3">
        <w:rPr>
          <w:rFonts w:cs="Arial"/>
          <w:szCs w:val="24"/>
        </w:rPr>
        <w:t xml:space="preserve"> </w:t>
      </w:r>
      <w:r w:rsidR="00BE61C9">
        <w:rPr>
          <w:rFonts w:cs="Arial"/>
          <w:szCs w:val="24"/>
        </w:rPr>
        <w:t xml:space="preserve">mtDNA </w:t>
      </w:r>
      <w:r w:rsidR="00B56604">
        <w:rPr>
          <w:rFonts w:cs="Arial"/>
          <w:szCs w:val="24"/>
        </w:rPr>
        <w:t>mutation allele</w:t>
      </w:r>
      <w:r w:rsidRPr="00187FD3">
        <w:rPr>
          <w:rFonts w:cs="Arial"/>
          <w:szCs w:val="24"/>
        </w:rPr>
        <w:t xml:space="preserve"> frequency reaches a certain threshold within a cell. Previous bulk analysis of CHO mtDNA identified heteroplasmy in clones derived from the same parental host, indicating at least three levels of heterogeneity: (1) production run to</w:t>
      </w:r>
      <w:r w:rsidR="00B56604">
        <w:rPr>
          <w:rFonts w:cs="Arial"/>
          <w:szCs w:val="24"/>
        </w:rPr>
        <w:t xml:space="preserve"> </w:t>
      </w:r>
      <w:r w:rsidRPr="00187FD3">
        <w:rPr>
          <w:rFonts w:cs="Arial"/>
          <w:szCs w:val="24"/>
        </w:rPr>
        <w:t xml:space="preserve">production run, (2) cell line to cell line and (3) clone to clone (Kelly. P et al., 2017). However, bulk analysis of heteroplasmy </w:t>
      </w:r>
      <w:r w:rsidR="00684422">
        <w:rPr>
          <w:rFonts w:cs="Arial"/>
          <w:szCs w:val="24"/>
        </w:rPr>
        <w:t>fail</w:t>
      </w:r>
      <w:r w:rsidR="00684422" w:rsidRPr="00187FD3">
        <w:rPr>
          <w:rFonts w:cs="Arial"/>
          <w:szCs w:val="24"/>
        </w:rPr>
        <w:t xml:space="preserve">s </w:t>
      </w:r>
      <w:r w:rsidRPr="00187FD3">
        <w:rPr>
          <w:rFonts w:cs="Arial"/>
          <w:szCs w:val="24"/>
        </w:rPr>
        <w:t xml:space="preserve">to identify the allele frequency differences between </w:t>
      </w:r>
      <w:r w:rsidR="00684422">
        <w:rPr>
          <w:rFonts w:cs="Arial"/>
          <w:szCs w:val="24"/>
        </w:rPr>
        <w:t xml:space="preserve">individual </w:t>
      </w:r>
      <w:r>
        <w:rPr>
          <w:rFonts w:cs="Arial"/>
          <w:szCs w:val="24"/>
        </w:rPr>
        <w:t>cell</w:t>
      </w:r>
      <w:r w:rsidRPr="00187FD3">
        <w:rPr>
          <w:rFonts w:cs="Arial"/>
          <w:szCs w:val="24"/>
        </w:rPr>
        <w:t>s</w:t>
      </w:r>
      <w:r w:rsidR="00684422">
        <w:rPr>
          <w:rFonts w:cs="Arial"/>
          <w:szCs w:val="24"/>
        </w:rPr>
        <w:t xml:space="preserve"> in a population</w:t>
      </w:r>
      <w:r w:rsidRPr="00187FD3">
        <w:rPr>
          <w:rFonts w:cs="Arial"/>
          <w:szCs w:val="24"/>
        </w:rPr>
        <w:t xml:space="preserve"> (</w:t>
      </w:r>
      <w:r>
        <w:rPr>
          <w:rFonts w:cs="Arial"/>
          <w:b/>
          <w:szCs w:val="24"/>
        </w:rPr>
        <w:t xml:space="preserve">Fig. </w:t>
      </w:r>
      <w:r w:rsidR="00B25779">
        <w:rPr>
          <w:rFonts w:cs="Arial"/>
          <w:b/>
          <w:szCs w:val="24"/>
        </w:rPr>
        <w:t>1</w:t>
      </w:r>
      <w:r>
        <w:rPr>
          <w:rFonts w:cs="Arial"/>
          <w:b/>
          <w:szCs w:val="24"/>
        </w:rPr>
        <w:t>A</w:t>
      </w:r>
      <w:r w:rsidRPr="00187FD3">
        <w:rPr>
          <w:rFonts w:cs="Arial"/>
          <w:szCs w:val="24"/>
        </w:rPr>
        <w:t xml:space="preserve">). </w:t>
      </w:r>
      <w:r w:rsidR="00C13785">
        <w:rPr>
          <w:rFonts w:cs="Arial"/>
          <w:szCs w:val="24"/>
        </w:rPr>
        <w:t>Single cell</w:t>
      </w:r>
      <w:r w:rsidRPr="00187FD3">
        <w:rPr>
          <w:rFonts w:cs="Arial"/>
          <w:szCs w:val="24"/>
        </w:rPr>
        <w:t xml:space="preserve"> analysis is therefore critical to reveal </w:t>
      </w:r>
      <w:r w:rsidR="00892C03">
        <w:rPr>
          <w:rFonts w:cs="Arial"/>
          <w:szCs w:val="24"/>
        </w:rPr>
        <w:t>the true phenotypic effect of heteroplasmy.</w:t>
      </w:r>
    </w:p>
    <w:p w14:paraId="0EDA51C3" w14:textId="3D621731" w:rsidR="00694027" w:rsidRDefault="00694027" w:rsidP="00694027">
      <w:pPr>
        <w:rPr>
          <w:rFonts w:cs="Arial"/>
          <w:szCs w:val="24"/>
        </w:rPr>
      </w:pPr>
      <w:r w:rsidRPr="00187FD3">
        <w:rPr>
          <w:rFonts w:cs="Arial"/>
          <w:szCs w:val="24"/>
        </w:rPr>
        <w:t xml:space="preserve">To illustrate this, consider if there was a hypothetical mutation with a threshold of </w:t>
      </w:r>
      <w:r w:rsidR="000E6BC4">
        <w:rPr>
          <w:rFonts w:cs="Arial"/>
          <w:szCs w:val="24"/>
        </w:rPr>
        <w:t>0.7</w:t>
      </w:r>
      <w:r w:rsidRPr="00187FD3">
        <w:rPr>
          <w:rFonts w:cs="Arial"/>
          <w:szCs w:val="24"/>
        </w:rPr>
        <w:t xml:space="preserve">, above which phenotypic changes would manifest in an individual cell. If bulk analysis identified this critical mutation at a frequency of </w:t>
      </w:r>
      <w:r w:rsidR="00347451">
        <w:rPr>
          <w:rFonts w:cs="Arial"/>
          <w:szCs w:val="24"/>
        </w:rPr>
        <w:t>0.1</w:t>
      </w:r>
      <w:r w:rsidRPr="00187FD3">
        <w:rPr>
          <w:rFonts w:cs="Arial"/>
          <w:szCs w:val="24"/>
        </w:rPr>
        <w:t xml:space="preserve"> in 1 million cells (</w:t>
      </w:r>
      <w:r>
        <w:rPr>
          <w:rFonts w:cs="Arial"/>
          <w:b/>
          <w:szCs w:val="24"/>
        </w:rPr>
        <w:t xml:space="preserve">Fig. </w:t>
      </w:r>
      <w:r w:rsidR="00347451">
        <w:rPr>
          <w:rFonts w:cs="Arial"/>
          <w:b/>
          <w:szCs w:val="24"/>
        </w:rPr>
        <w:t>5</w:t>
      </w:r>
      <w:r w:rsidRPr="00187FD3">
        <w:rPr>
          <w:rFonts w:cs="Arial"/>
          <w:szCs w:val="24"/>
        </w:rPr>
        <w:t>)</w:t>
      </w:r>
      <w:r w:rsidR="00347451">
        <w:rPr>
          <w:rFonts w:cs="Arial"/>
          <w:szCs w:val="24"/>
        </w:rPr>
        <w:t>,</w:t>
      </w:r>
      <w:r w:rsidRPr="00187FD3">
        <w:rPr>
          <w:rFonts w:cs="Arial"/>
          <w:szCs w:val="24"/>
        </w:rPr>
        <w:t xml:space="preserve"> three very different conclusions could be arrived at: (1) All cells contain the mutation at a </w:t>
      </w:r>
      <w:r w:rsidR="00347451">
        <w:rPr>
          <w:rFonts w:cs="Arial"/>
          <w:szCs w:val="24"/>
        </w:rPr>
        <w:t>0.1</w:t>
      </w:r>
      <w:r w:rsidRPr="00187FD3">
        <w:rPr>
          <w:rFonts w:cs="Arial"/>
          <w:szCs w:val="24"/>
        </w:rPr>
        <w:t xml:space="preserve"> </w:t>
      </w:r>
      <w:r w:rsidR="00347451">
        <w:rPr>
          <w:rFonts w:cs="Arial"/>
          <w:szCs w:val="24"/>
        </w:rPr>
        <w:t xml:space="preserve">allele </w:t>
      </w:r>
      <w:r w:rsidRPr="00187FD3">
        <w:rPr>
          <w:rFonts w:cs="Arial"/>
          <w:szCs w:val="24"/>
        </w:rPr>
        <w:t xml:space="preserve">frequency, and are therefore all unaffected phenotypically; (2) 10% of cells contain the mutation at a </w:t>
      </w:r>
      <w:r w:rsidR="00347451">
        <w:rPr>
          <w:rFonts w:cs="Arial"/>
          <w:szCs w:val="24"/>
        </w:rPr>
        <w:t>1.0 allele frequency</w:t>
      </w:r>
      <w:r w:rsidRPr="00187FD3">
        <w:rPr>
          <w:rFonts w:cs="Arial"/>
          <w:szCs w:val="24"/>
        </w:rPr>
        <w:t>, and therefore only 10% of cells are affected phenotypically or (3) cells contain the mutation at a variable rate (0-1</w:t>
      </w:r>
      <w:r w:rsidR="00347451">
        <w:rPr>
          <w:rFonts w:cs="Arial"/>
          <w:szCs w:val="24"/>
        </w:rPr>
        <w:t>.0</w:t>
      </w:r>
      <w:r w:rsidRPr="00187FD3">
        <w:rPr>
          <w:rFonts w:cs="Arial"/>
          <w:szCs w:val="24"/>
        </w:rPr>
        <w:t>), and therefore the population is affected at a variable rate.</w:t>
      </w:r>
    </w:p>
    <w:p w14:paraId="32E367F3" w14:textId="47783CB8" w:rsidR="00347451" w:rsidRPr="00347451" w:rsidRDefault="00347451" w:rsidP="00694027">
      <w:pPr>
        <w:rPr>
          <w:rFonts w:cs="Arial"/>
          <w:b/>
          <w:bCs/>
          <w:szCs w:val="24"/>
        </w:rPr>
      </w:pPr>
      <w:r>
        <w:rPr>
          <w:rFonts w:cs="Arial"/>
          <w:b/>
          <w:bCs/>
          <w:szCs w:val="24"/>
        </w:rPr>
        <w:t>Fig. 5</w:t>
      </w:r>
    </w:p>
    <w:p w14:paraId="687F5E1C" w14:textId="616DF008" w:rsidR="00694027" w:rsidRDefault="00694027" w:rsidP="00694027">
      <w:pPr>
        <w:rPr>
          <w:rFonts w:cs="Arial"/>
          <w:szCs w:val="24"/>
        </w:rPr>
      </w:pPr>
      <w:r w:rsidRPr="00187FD3">
        <w:rPr>
          <w:rFonts w:cs="Arial"/>
          <w:szCs w:val="24"/>
        </w:rPr>
        <w:t xml:space="preserve">Bearing in mind the strive for homogeneity in drug production, the implications of these scenarios are </w:t>
      </w:r>
      <w:r w:rsidR="00684422">
        <w:rPr>
          <w:rFonts w:cs="Arial"/>
          <w:szCs w:val="24"/>
        </w:rPr>
        <w:t>significant</w:t>
      </w:r>
      <w:r w:rsidRPr="00187FD3">
        <w:rPr>
          <w:rFonts w:cs="Arial"/>
          <w:szCs w:val="24"/>
        </w:rPr>
        <w:t xml:space="preserve">. If a particular heteroplasmy profile affected product quality for example, </w:t>
      </w:r>
      <w:r w:rsidR="001F3BCD">
        <w:rPr>
          <w:rFonts w:cs="Arial"/>
          <w:szCs w:val="24"/>
        </w:rPr>
        <w:t>perhaps</w:t>
      </w:r>
      <w:r w:rsidRPr="00187FD3">
        <w:rPr>
          <w:rFonts w:cs="Arial"/>
          <w:szCs w:val="24"/>
        </w:rPr>
        <w:t xml:space="preserve"> only </w:t>
      </w:r>
      <w:r w:rsidR="00BE61C9">
        <w:rPr>
          <w:rFonts w:cs="Arial"/>
          <w:szCs w:val="24"/>
        </w:rPr>
        <w:t>a subset</w:t>
      </w:r>
      <w:r w:rsidRPr="00187FD3">
        <w:rPr>
          <w:rFonts w:cs="Arial"/>
          <w:szCs w:val="24"/>
        </w:rPr>
        <w:t xml:space="preserve"> of the cells produce the product at a high quality</w:t>
      </w:r>
      <w:r w:rsidR="001F3BCD">
        <w:rPr>
          <w:rFonts w:cs="Arial"/>
          <w:szCs w:val="24"/>
        </w:rPr>
        <w:t>;</w:t>
      </w:r>
      <w:r w:rsidRPr="00187FD3">
        <w:rPr>
          <w:rFonts w:cs="Arial"/>
          <w:szCs w:val="24"/>
        </w:rPr>
        <w:t xml:space="preserve"> </w:t>
      </w:r>
      <w:r w:rsidR="001F3BCD">
        <w:rPr>
          <w:rFonts w:cs="Arial"/>
          <w:szCs w:val="24"/>
        </w:rPr>
        <w:t>i</w:t>
      </w:r>
      <w:r w:rsidRPr="00187FD3">
        <w:rPr>
          <w:rFonts w:cs="Arial"/>
          <w:szCs w:val="24"/>
        </w:rPr>
        <w:t xml:space="preserve">n which case </w:t>
      </w:r>
      <w:r w:rsidR="00BE61C9">
        <w:rPr>
          <w:rFonts w:cs="Arial"/>
          <w:szCs w:val="24"/>
        </w:rPr>
        <w:t>the remainder</w:t>
      </w:r>
      <w:r w:rsidR="001F3BCD">
        <w:rPr>
          <w:rFonts w:cs="Arial"/>
          <w:szCs w:val="24"/>
        </w:rPr>
        <w:t xml:space="preserve"> could </w:t>
      </w:r>
      <w:r w:rsidRPr="00187FD3">
        <w:rPr>
          <w:rFonts w:cs="Arial"/>
          <w:szCs w:val="24"/>
        </w:rPr>
        <w:t>be identified and</w:t>
      </w:r>
      <w:r w:rsidR="00BE61C9">
        <w:rPr>
          <w:rFonts w:cs="Arial"/>
          <w:szCs w:val="24"/>
        </w:rPr>
        <w:t xml:space="preserve"> potentially</w:t>
      </w:r>
      <w:r w:rsidRPr="00187FD3">
        <w:rPr>
          <w:rFonts w:cs="Arial"/>
          <w:szCs w:val="24"/>
        </w:rPr>
        <w:t xml:space="preserve"> excluded to improve bioreactor performance</w:t>
      </w:r>
      <w:r w:rsidR="001F3BCD">
        <w:rPr>
          <w:rFonts w:cs="Arial"/>
          <w:szCs w:val="24"/>
        </w:rPr>
        <w:t>.</w:t>
      </w:r>
      <w:r w:rsidRPr="00187FD3">
        <w:rPr>
          <w:rFonts w:cs="Arial"/>
          <w:szCs w:val="24"/>
        </w:rPr>
        <w:t xml:space="preserve"> Equally, perhaps a cell line could be engineered with a favourable heteroplasmy profile to improve bioreactor performance. </w:t>
      </w:r>
      <w:r w:rsidR="001F3BCD">
        <w:rPr>
          <w:rFonts w:cs="Arial"/>
          <w:szCs w:val="24"/>
        </w:rPr>
        <w:t>Further</w:t>
      </w:r>
      <w:r w:rsidR="001F3BCD" w:rsidRPr="00187FD3">
        <w:rPr>
          <w:rFonts w:cs="Arial"/>
          <w:szCs w:val="24"/>
        </w:rPr>
        <w:t xml:space="preserve"> </w:t>
      </w:r>
      <w:r w:rsidRPr="00187FD3">
        <w:rPr>
          <w:rFonts w:cs="Arial"/>
          <w:szCs w:val="24"/>
        </w:rPr>
        <w:t xml:space="preserve">work is </w:t>
      </w:r>
      <w:r w:rsidR="001F3BCD">
        <w:rPr>
          <w:rFonts w:cs="Arial"/>
          <w:szCs w:val="24"/>
        </w:rPr>
        <w:t xml:space="preserve">clearly </w:t>
      </w:r>
      <w:r w:rsidRPr="00187FD3">
        <w:rPr>
          <w:rFonts w:cs="Arial"/>
          <w:szCs w:val="24"/>
        </w:rPr>
        <w:t>needed to understand the link between mitochondrial heteroplasmy and cellular behaviour in recombinant protein production</w:t>
      </w:r>
      <w:r w:rsidR="001F3BCD">
        <w:rPr>
          <w:rFonts w:cs="Arial"/>
          <w:szCs w:val="24"/>
        </w:rPr>
        <w:t>, but</w:t>
      </w:r>
      <w:r w:rsidRPr="00187FD3">
        <w:rPr>
          <w:rFonts w:cs="Arial"/>
          <w:szCs w:val="24"/>
        </w:rPr>
        <w:t xml:space="preserve"> </w:t>
      </w:r>
      <w:r w:rsidR="00C13785">
        <w:rPr>
          <w:rFonts w:cs="Arial"/>
          <w:szCs w:val="24"/>
        </w:rPr>
        <w:t>single cell</w:t>
      </w:r>
      <w:r w:rsidRPr="00187FD3">
        <w:rPr>
          <w:rFonts w:cs="Arial"/>
          <w:szCs w:val="24"/>
        </w:rPr>
        <w:t xml:space="preserve"> analysis</w:t>
      </w:r>
      <w:r w:rsidR="001F3BCD">
        <w:rPr>
          <w:rFonts w:cs="Arial"/>
          <w:szCs w:val="24"/>
        </w:rPr>
        <w:t xml:space="preserve"> should contribute significantly in this regard</w:t>
      </w:r>
      <w:r w:rsidRPr="00187FD3">
        <w:rPr>
          <w:rFonts w:cs="Arial"/>
          <w:szCs w:val="24"/>
        </w:rPr>
        <w:t>.</w:t>
      </w:r>
    </w:p>
    <w:p w14:paraId="794A41D1" w14:textId="644E6B88" w:rsidR="00694027" w:rsidRPr="00187FD3" w:rsidRDefault="00694027" w:rsidP="00694027">
      <w:pPr>
        <w:rPr>
          <w:rFonts w:cs="Arial"/>
          <w:szCs w:val="24"/>
        </w:rPr>
      </w:pPr>
      <w:r w:rsidRPr="00187FD3">
        <w:rPr>
          <w:rFonts w:cs="Arial"/>
          <w:szCs w:val="24"/>
        </w:rPr>
        <w:t xml:space="preserve">Though the 5 samples here are demonstrative, and not enough for strong statistical conclusions, certain observations </w:t>
      </w:r>
      <w:r>
        <w:rPr>
          <w:rFonts w:cs="Arial"/>
          <w:szCs w:val="24"/>
        </w:rPr>
        <w:t>were</w:t>
      </w:r>
      <w:r w:rsidRPr="00187FD3">
        <w:rPr>
          <w:rFonts w:cs="Arial"/>
          <w:szCs w:val="24"/>
        </w:rPr>
        <w:t xml:space="preserve"> made. The bulk population had the lowest number of </w:t>
      </w:r>
      <w:r w:rsidR="001450F3">
        <w:rPr>
          <w:rFonts w:cs="Arial"/>
          <w:szCs w:val="24"/>
        </w:rPr>
        <w:t xml:space="preserve">reliably detectable </w:t>
      </w:r>
      <w:r w:rsidRPr="00187FD3">
        <w:rPr>
          <w:rFonts w:cs="Arial"/>
          <w:szCs w:val="24"/>
        </w:rPr>
        <w:t>mutations (</w:t>
      </w:r>
      <w:r>
        <w:rPr>
          <w:rFonts w:cs="Arial"/>
          <w:b/>
          <w:szCs w:val="24"/>
        </w:rPr>
        <w:t>Fig.</w:t>
      </w:r>
      <w:r w:rsidR="00B25779">
        <w:rPr>
          <w:rFonts w:cs="Arial"/>
          <w:b/>
          <w:szCs w:val="24"/>
        </w:rPr>
        <w:t xml:space="preserve"> </w:t>
      </w:r>
      <w:r w:rsidR="00347451">
        <w:rPr>
          <w:rFonts w:cs="Arial"/>
          <w:b/>
          <w:szCs w:val="24"/>
        </w:rPr>
        <w:t>S</w:t>
      </w:r>
      <w:r>
        <w:rPr>
          <w:rFonts w:cs="Arial"/>
          <w:b/>
          <w:szCs w:val="24"/>
        </w:rPr>
        <w:t>1B</w:t>
      </w:r>
      <w:r w:rsidRPr="00187FD3">
        <w:rPr>
          <w:rFonts w:cs="Arial"/>
          <w:szCs w:val="24"/>
        </w:rPr>
        <w:t xml:space="preserve">). All mutations in the bulk population, bar one, were found in at least one </w:t>
      </w:r>
      <w:r w:rsidR="00C13785">
        <w:rPr>
          <w:rFonts w:cs="Arial"/>
          <w:szCs w:val="24"/>
        </w:rPr>
        <w:t>single cell</w:t>
      </w:r>
      <w:r w:rsidRPr="00187FD3">
        <w:rPr>
          <w:rFonts w:cs="Arial"/>
          <w:szCs w:val="24"/>
        </w:rPr>
        <w:t xml:space="preserve"> (</w:t>
      </w:r>
      <w:r w:rsidRPr="00187FD3">
        <w:rPr>
          <w:rFonts w:cs="Arial"/>
          <w:b/>
          <w:szCs w:val="24"/>
        </w:rPr>
        <w:t xml:space="preserve">Fig. </w:t>
      </w:r>
      <w:r w:rsidR="00B25779">
        <w:rPr>
          <w:rFonts w:cs="Arial"/>
          <w:b/>
          <w:szCs w:val="24"/>
        </w:rPr>
        <w:t>4</w:t>
      </w:r>
      <w:r w:rsidRPr="00187FD3">
        <w:rPr>
          <w:rFonts w:cs="Arial"/>
          <w:b/>
          <w:szCs w:val="24"/>
        </w:rPr>
        <w:t>C</w:t>
      </w:r>
      <w:r w:rsidRPr="00187FD3">
        <w:rPr>
          <w:rFonts w:cs="Arial"/>
          <w:szCs w:val="24"/>
        </w:rPr>
        <w:t>).</w:t>
      </w:r>
      <w:r>
        <w:rPr>
          <w:rFonts w:cs="Arial"/>
          <w:szCs w:val="24"/>
        </w:rPr>
        <w:t xml:space="preserve"> This </w:t>
      </w:r>
      <w:r w:rsidR="001450F3">
        <w:rPr>
          <w:rFonts w:cs="Arial"/>
          <w:szCs w:val="24"/>
        </w:rPr>
        <w:t>demonstrated the improved</w:t>
      </w:r>
      <w:r>
        <w:rPr>
          <w:rFonts w:cs="Arial"/>
          <w:szCs w:val="24"/>
        </w:rPr>
        <w:t xml:space="preserve"> resolution of </w:t>
      </w:r>
      <w:r w:rsidR="00892C03">
        <w:rPr>
          <w:rFonts w:cs="Arial"/>
          <w:szCs w:val="24"/>
        </w:rPr>
        <w:t>mutation</w:t>
      </w:r>
      <w:r w:rsidR="001450F3">
        <w:rPr>
          <w:rFonts w:cs="Arial"/>
          <w:szCs w:val="24"/>
        </w:rPr>
        <w:t xml:space="preserve"> detection using</w:t>
      </w:r>
      <w:r>
        <w:rPr>
          <w:rFonts w:cs="Arial"/>
          <w:szCs w:val="24"/>
        </w:rPr>
        <w:t xml:space="preserve"> </w:t>
      </w:r>
      <w:r w:rsidR="001450F3">
        <w:rPr>
          <w:rFonts w:cs="Arial"/>
          <w:szCs w:val="24"/>
        </w:rPr>
        <w:t xml:space="preserve">a </w:t>
      </w:r>
      <w:r w:rsidR="00C13785">
        <w:rPr>
          <w:rFonts w:cs="Arial"/>
          <w:szCs w:val="24"/>
        </w:rPr>
        <w:t>single cell</w:t>
      </w:r>
      <w:r>
        <w:rPr>
          <w:rFonts w:cs="Arial"/>
          <w:szCs w:val="24"/>
        </w:rPr>
        <w:t xml:space="preserve"> </w:t>
      </w:r>
      <w:r w:rsidR="001450F3">
        <w:rPr>
          <w:rFonts w:cs="Arial"/>
          <w:szCs w:val="24"/>
        </w:rPr>
        <w:t>approach</w:t>
      </w:r>
      <w:r>
        <w:rPr>
          <w:rFonts w:cs="Arial"/>
          <w:szCs w:val="24"/>
        </w:rPr>
        <w:t>.</w:t>
      </w:r>
      <w:r w:rsidRPr="00187FD3">
        <w:rPr>
          <w:rFonts w:cs="Arial"/>
          <w:szCs w:val="24"/>
        </w:rPr>
        <w:t xml:space="preserve"> A great range of allele frequencies in “most variable” mutations was observed (</w:t>
      </w:r>
      <w:r>
        <w:rPr>
          <w:rFonts w:cs="Arial"/>
          <w:b/>
          <w:szCs w:val="24"/>
        </w:rPr>
        <w:t xml:space="preserve">Fig. </w:t>
      </w:r>
      <w:r w:rsidR="00B25779">
        <w:rPr>
          <w:rFonts w:cs="Arial"/>
          <w:b/>
          <w:szCs w:val="24"/>
        </w:rPr>
        <w:t>4</w:t>
      </w:r>
      <w:r>
        <w:rPr>
          <w:rFonts w:cs="Arial"/>
          <w:b/>
          <w:szCs w:val="24"/>
        </w:rPr>
        <w:t>B</w:t>
      </w:r>
      <w:r w:rsidRPr="00187FD3">
        <w:rPr>
          <w:rFonts w:cs="Arial"/>
          <w:szCs w:val="24"/>
        </w:rPr>
        <w:t>)</w:t>
      </w:r>
      <w:r>
        <w:rPr>
          <w:rFonts w:cs="Arial"/>
          <w:szCs w:val="24"/>
        </w:rPr>
        <w:t>;</w:t>
      </w:r>
      <w:r w:rsidRPr="00187FD3">
        <w:rPr>
          <w:rFonts w:cs="Arial"/>
          <w:szCs w:val="24"/>
        </w:rPr>
        <w:t xml:space="preserve"> </w:t>
      </w:r>
      <w:r>
        <w:rPr>
          <w:rFonts w:cs="Arial"/>
          <w:szCs w:val="24"/>
        </w:rPr>
        <w:lastRenderedPageBreak/>
        <w:t>further indicating an</w:t>
      </w:r>
      <w:r w:rsidRPr="00187FD3">
        <w:rPr>
          <w:rFonts w:cs="Arial"/>
          <w:szCs w:val="24"/>
        </w:rPr>
        <w:t xml:space="preserve"> uneven spread of heteroplasmy among the 4 cells</w:t>
      </w:r>
      <w:r>
        <w:rPr>
          <w:rFonts w:cs="Arial"/>
          <w:szCs w:val="24"/>
        </w:rPr>
        <w:t>,</w:t>
      </w:r>
      <w:r w:rsidRPr="00187FD3">
        <w:rPr>
          <w:rFonts w:cs="Arial"/>
          <w:szCs w:val="24"/>
        </w:rPr>
        <w:t xml:space="preserve"> reminiscent of scenario 3 in </w:t>
      </w:r>
      <w:r w:rsidRPr="00187FD3">
        <w:rPr>
          <w:rFonts w:cs="Arial"/>
          <w:b/>
          <w:szCs w:val="24"/>
        </w:rPr>
        <w:t xml:space="preserve">Fig. </w:t>
      </w:r>
      <w:r w:rsidR="00347451">
        <w:rPr>
          <w:rFonts w:cs="Arial"/>
          <w:b/>
          <w:szCs w:val="24"/>
        </w:rPr>
        <w:t>5</w:t>
      </w:r>
      <w:r w:rsidRPr="00187FD3">
        <w:rPr>
          <w:rFonts w:cs="Arial"/>
          <w:szCs w:val="24"/>
        </w:rPr>
        <w:t>.</w:t>
      </w:r>
    </w:p>
    <w:p w14:paraId="30CBF37A" w14:textId="4A2D6927" w:rsidR="00694027" w:rsidRDefault="00694027" w:rsidP="00694027">
      <w:pPr>
        <w:rPr>
          <w:rFonts w:cs="Arial"/>
          <w:szCs w:val="24"/>
        </w:rPr>
      </w:pPr>
      <w:r w:rsidRPr="00187FD3">
        <w:rPr>
          <w:rFonts w:cs="Arial"/>
          <w:szCs w:val="24"/>
        </w:rPr>
        <w:t>High</w:t>
      </w:r>
      <w:r>
        <w:rPr>
          <w:rFonts w:cs="Arial"/>
          <w:szCs w:val="24"/>
        </w:rPr>
        <w:t>-</w:t>
      </w:r>
      <w:r w:rsidRPr="00187FD3">
        <w:rPr>
          <w:rFonts w:cs="Arial"/>
          <w:szCs w:val="24"/>
        </w:rPr>
        <w:t xml:space="preserve">impact mutations observed here in </w:t>
      </w:r>
      <w:r w:rsidRPr="00E41C43">
        <w:rPr>
          <w:rFonts w:cs="Arial"/>
          <w:i/>
          <w:szCs w:val="24"/>
        </w:rPr>
        <w:t>CYTB</w:t>
      </w:r>
      <w:r w:rsidRPr="00187FD3">
        <w:rPr>
          <w:rFonts w:cs="Arial"/>
          <w:szCs w:val="24"/>
        </w:rPr>
        <w:t xml:space="preserve"> (</w:t>
      </w:r>
      <w:r w:rsidRPr="00187FD3">
        <w:rPr>
          <w:rFonts w:cs="Arial"/>
          <w:b/>
          <w:szCs w:val="24"/>
        </w:rPr>
        <w:t xml:space="preserve">Fig. </w:t>
      </w:r>
      <w:r w:rsidR="00B25779">
        <w:rPr>
          <w:rFonts w:cs="Arial"/>
          <w:b/>
          <w:szCs w:val="24"/>
        </w:rPr>
        <w:t>S1</w:t>
      </w:r>
      <w:r>
        <w:rPr>
          <w:rFonts w:cs="Arial"/>
          <w:b/>
          <w:szCs w:val="24"/>
        </w:rPr>
        <w:t>D</w:t>
      </w:r>
      <w:r w:rsidRPr="00187FD3">
        <w:rPr>
          <w:rFonts w:cs="Arial"/>
          <w:szCs w:val="24"/>
        </w:rPr>
        <w:t xml:space="preserve">) would change </w:t>
      </w:r>
      <w:r>
        <w:rPr>
          <w:rFonts w:cs="Arial"/>
          <w:szCs w:val="24"/>
        </w:rPr>
        <w:t xml:space="preserve">the </w:t>
      </w:r>
      <w:r w:rsidRPr="00187FD3">
        <w:rPr>
          <w:rFonts w:cs="Arial"/>
          <w:szCs w:val="24"/>
        </w:rPr>
        <w:t xml:space="preserve">encoded amino acid sequence. The phenotypic effects of </w:t>
      </w:r>
      <w:r w:rsidRPr="00E41C43">
        <w:rPr>
          <w:rFonts w:cs="Arial"/>
          <w:i/>
          <w:szCs w:val="24"/>
        </w:rPr>
        <w:t xml:space="preserve">CYTB </w:t>
      </w:r>
      <w:r w:rsidRPr="00187FD3">
        <w:rPr>
          <w:rFonts w:cs="Arial"/>
          <w:szCs w:val="24"/>
        </w:rPr>
        <w:t xml:space="preserve">mutations are well established in human disease where patients experience highly variable severities of myopathy and muscle weakness (Blakely et al., 2005). </w:t>
      </w:r>
      <w:r w:rsidRPr="00E41C43">
        <w:rPr>
          <w:rFonts w:cs="Arial"/>
          <w:i/>
          <w:szCs w:val="24"/>
        </w:rPr>
        <w:t>CYTB</w:t>
      </w:r>
      <w:r w:rsidRPr="00187FD3">
        <w:rPr>
          <w:rFonts w:cs="Arial"/>
          <w:szCs w:val="24"/>
        </w:rPr>
        <w:t xml:space="preserve"> mutations in yeast models can cause severe decreases in respiratory function (Fisher et al., 2004). In a bioreactor, </w:t>
      </w:r>
      <w:r w:rsidRPr="00E41C43">
        <w:rPr>
          <w:rFonts w:cs="Arial"/>
          <w:i/>
          <w:szCs w:val="24"/>
        </w:rPr>
        <w:t>CYTB</w:t>
      </w:r>
      <w:r w:rsidRPr="00187FD3">
        <w:rPr>
          <w:rFonts w:cs="Arial"/>
          <w:szCs w:val="24"/>
        </w:rPr>
        <w:t xml:space="preserve"> mutated </w:t>
      </w:r>
      <w:r w:rsidR="00C13785">
        <w:rPr>
          <w:rFonts w:cs="Arial"/>
          <w:szCs w:val="24"/>
        </w:rPr>
        <w:t>single cell</w:t>
      </w:r>
      <w:r w:rsidRPr="00187FD3">
        <w:rPr>
          <w:rFonts w:cs="Arial"/>
          <w:szCs w:val="24"/>
        </w:rPr>
        <w:t>s (above a phenotypic threshold) may be one of many contributing factors to the heterogeneity observed among clonally derived CHO populations.</w:t>
      </w:r>
    </w:p>
    <w:p w14:paraId="1B484F3D" w14:textId="1BC88583" w:rsidR="00694027" w:rsidRDefault="001450F3" w:rsidP="00694027">
      <w:pPr>
        <w:rPr>
          <w:rFonts w:cs="Arial"/>
          <w:szCs w:val="24"/>
        </w:rPr>
      </w:pPr>
      <w:r>
        <w:rPr>
          <w:rFonts w:cs="Arial"/>
          <w:szCs w:val="24"/>
        </w:rPr>
        <w:t>In conclusion</w:t>
      </w:r>
      <w:r w:rsidR="00694027" w:rsidRPr="00187FD3">
        <w:rPr>
          <w:rFonts w:cs="Arial"/>
          <w:szCs w:val="24"/>
        </w:rPr>
        <w:t xml:space="preserve">, a reliable method to amplify </w:t>
      </w:r>
      <w:r>
        <w:rPr>
          <w:rFonts w:cs="Arial"/>
          <w:szCs w:val="24"/>
        </w:rPr>
        <w:t xml:space="preserve">and analyse </w:t>
      </w:r>
      <w:r w:rsidR="00694027" w:rsidRPr="00187FD3">
        <w:rPr>
          <w:rFonts w:cs="Arial"/>
          <w:szCs w:val="24"/>
        </w:rPr>
        <w:t xml:space="preserve">mtDNA from single CHO cells </w:t>
      </w:r>
      <w:r w:rsidR="00347451">
        <w:rPr>
          <w:rFonts w:cs="Arial"/>
          <w:szCs w:val="24"/>
        </w:rPr>
        <w:t>was</w:t>
      </w:r>
      <w:r w:rsidR="00694027" w:rsidRPr="00187FD3">
        <w:rPr>
          <w:rFonts w:cs="Arial"/>
          <w:szCs w:val="24"/>
        </w:rPr>
        <w:t xml:space="preserve"> demonstrated</w:t>
      </w:r>
      <w:r w:rsidR="00347451">
        <w:rPr>
          <w:rFonts w:cs="Arial"/>
          <w:szCs w:val="24"/>
        </w:rPr>
        <w:t xml:space="preserve"> (</w:t>
      </w:r>
      <w:proofErr w:type="spellStart"/>
      <w:r w:rsidR="00347451">
        <w:rPr>
          <w:rFonts w:cs="Arial"/>
          <w:szCs w:val="24"/>
        </w:rPr>
        <w:t>scmtDNAseq</w:t>
      </w:r>
      <w:proofErr w:type="spellEnd"/>
      <w:r w:rsidR="00347451">
        <w:rPr>
          <w:rFonts w:cs="Arial"/>
          <w:szCs w:val="24"/>
        </w:rPr>
        <w:t>)</w:t>
      </w:r>
      <w:r w:rsidR="00694027" w:rsidRPr="00187FD3">
        <w:rPr>
          <w:rFonts w:cs="Arial"/>
          <w:szCs w:val="24"/>
        </w:rPr>
        <w:t xml:space="preserve">. </w:t>
      </w:r>
      <w:r>
        <w:rPr>
          <w:rFonts w:cs="Arial"/>
          <w:szCs w:val="24"/>
        </w:rPr>
        <w:t>This approach should help better understand</w:t>
      </w:r>
      <w:r w:rsidR="00694027" w:rsidRPr="00187FD3">
        <w:rPr>
          <w:rFonts w:cs="Arial"/>
          <w:szCs w:val="24"/>
        </w:rPr>
        <w:t xml:space="preserve"> </w:t>
      </w:r>
      <w:r>
        <w:rPr>
          <w:rFonts w:cs="Arial"/>
          <w:szCs w:val="24"/>
        </w:rPr>
        <w:t xml:space="preserve">the degree and likely impact of </w:t>
      </w:r>
      <w:r w:rsidR="00694027" w:rsidRPr="00187FD3">
        <w:rPr>
          <w:rFonts w:cs="Arial"/>
          <w:szCs w:val="24"/>
        </w:rPr>
        <w:t>heteroplasmy</w:t>
      </w:r>
      <w:r>
        <w:rPr>
          <w:rFonts w:cs="Arial"/>
          <w:szCs w:val="24"/>
        </w:rPr>
        <w:t xml:space="preserve"> on recombinant protein production in CHO cells.  </w:t>
      </w:r>
      <w:r w:rsidR="00694027" w:rsidRPr="00187FD3">
        <w:rPr>
          <w:rFonts w:cs="Arial"/>
          <w:szCs w:val="24"/>
        </w:rPr>
        <w:t xml:space="preserve"> </w:t>
      </w:r>
    </w:p>
    <w:p w14:paraId="6BE2965E" w14:textId="77777777" w:rsidR="00F64861" w:rsidRDefault="00F64861" w:rsidP="000C7E2A">
      <w:pPr>
        <w:rPr>
          <w:szCs w:val="24"/>
        </w:rPr>
      </w:pPr>
    </w:p>
    <w:p w14:paraId="4D7649F0" w14:textId="77777777" w:rsidR="00CB43D5" w:rsidRDefault="00CB43D5" w:rsidP="00CB43D5">
      <w:pPr>
        <w:pStyle w:val="Heading1"/>
      </w:pPr>
      <w:r>
        <w:t>Conflict of Interest</w:t>
      </w:r>
    </w:p>
    <w:p w14:paraId="57F5D7D1" w14:textId="77777777" w:rsidR="00CB43D5" w:rsidRDefault="00CB43D5" w:rsidP="00CB43D5">
      <w:pPr>
        <w:rPr>
          <w:rFonts w:eastAsia="Times New Roman" w:cs="Times New Roman"/>
          <w:szCs w:val="24"/>
          <w:lang w:val="en-GB" w:eastAsia="en-GB"/>
        </w:rPr>
      </w:pPr>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171458D3" w14:textId="77777777" w:rsidR="002240CF" w:rsidRPr="00CB43D5" w:rsidRDefault="002240CF" w:rsidP="00CB43D5"/>
    <w:p w14:paraId="0D6553A8" w14:textId="77777777" w:rsidR="00045678" w:rsidRDefault="00045678" w:rsidP="00045678">
      <w:pPr>
        <w:pStyle w:val="Heading1"/>
      </w:pPr>
      <w:r>
        <w:t>Author Contributions</w:t>
      </w:r>
    </w:p>
    <w:p w14:paraId="64D79D07" w14:textId="3A90868E" w:rsidR="00F25E42" w:rsidRDefault="00F25E42" w:rsidP="00265660">
      <w:pPr>
        <w:rPr>
          <w:lang w:val="en-GB"/>
        </w:rPr>
      </w:pPr>
      <w:r>
        <w:rPr>
          <w:lang w:val="en-GB"/>
        </w:rPr>
        <w:t>Alan Foley: Developed novel method under supervision of Niall Barron. Adapted bioinformatics code from Colin Clarke</w:t>
      </w:r>
      <w:r w:rsidR="00960449">
        <w:rPr>
          <w:lang w:val="en-GB"/>
        </w:rPr>
        <w:t>, and w</w:t>
      </w:r>
      <w:r>
        <w:rPr>
          <w:lang w:val="en-GB"/>
        </w:rPr>
        <w:t xml:space="preserve">rote </w:t>
      </w:r>
      <w:r w:rsidR="00347451">
        <w:rPr>
          <w:lang w:val="en-GB"/>
        </w:rPr>
        <w:t>manuscript</w:t>
      </w:r>
      <w:r>
        <w:rPr>
          <w:lang w:val="en-GB"/>
        </w:rPr>
        <w:t>.</w:t>
      </w:r>
    </w:p>
    <w:p w14:paraId="5EFCCC46" w14:textId="17BAB339" w:rsidR="00F25E42" w:rsidRDefault="00F25E42" w:rsidP="00265660">
      <w:pPr>
        <w:rPr>
          <w:lang w:val="en-GB"/>
        </w:rPr>
      </w:pPr>
      <w:r>
        <w:rPr>
          <w:lang w:val="en-GB"/>
        </w:rPr>
        <w:t>Niall Barron: Supervisor of project. Guided method development.</w:t>
      </w:r>
      <w:r w:rsidR="00960449">
        <w:rPr>
          <w:lang w:val="en-GB"/>
        </w:rPr>
        <w:t xml:space="preserve"> Manuscript review/editing.</w:t>
      </w:r>
    </w:p>
    <w:p w14:paraId="4A3F109B" w14:textId="488EA725" w:rsidR="00F25E42" w:rsidRDefault="00F25E42" w:rsidP="00265660">
      <w:pPr>
        <w:rPr>
          <w:lang w:val="en-GB"/>
        </w:rPr>
      </w:pPr>
      <w:r>
        <w:rPr>
          <w:lang w:val="en-GB"/>
        </w:rPr>
        <w:t>Colin Clarke: Co-supervisor. Wrote original code for mtDNA analysis which was later adapted.</w:t>
      </w:r>
      <w:r w:rsidR="00960449">
        <w:rPr>
          <w:lang w:val="en-GB"/>
        </w:rPr>
        <w:t xml:space="preserve"> Manuscript review.</w:t>
      </w:r>
    </w:p>
    <w:p w14:paraId="17A424DA" w14:textId="77777777" w:rsidR="002240CF" w:rsidRDefault="002240CF" w:rsidP="00265660">
      <w:pPr>
        <w:rPr>
          <w:lang w:val="en-GB"/>
        </w:rPr>
      </w:pPr>
    </w:p>
    <w:p w14:paraId="5722F5F5" w14:textId="77777777" w:rsidR="00AC3EA3" w:rsidRPr="00376CC5" w:rsidRDefault="00AC3EA3" w:rsidP="00A53000">
      <w:pPr>
        <w:pStyle w:val="Heading1"/>
      </w:pPr>
      <w:r w:rsidRPr="00376CC5">
        <w:t>Funding</w:t>
      </w:r>
    </w:p>
    <w:p w14:paraId="7342A04E" w14:textId="4E08C28E" w:rsidR="00AC3EA3" w:rsidRPr="00C311B9" w:rsidRDefault="00F25E42" w:rsidP="00C311B9">
      <w:pPr>
        <w:spacing w:before="0" w:after="0"/>
        <w:rPr>
          <w:rFonts w:eastAsia="Times New Roman" w:cs="Times New Roman"/>
          <w:szCs w:val="24"/>
          <w:lang w:eastAsia="en-GB"/>
        </w:rPr>
      </w:pPr>
      <w:r>
        <w:rPr>
          <w:szCs w:val="24"/>
        </w:rPr>
        <w:t>Funded by</w:t>
      </w:r>
      <w:r w:rsidRPr="001E5651">
        <w:rPr>
          <w:rFonts w:cs="Times New Roman"/>
          <w:szCs w:val="24"/>
        </w:rPr>
        <w:t xml:space="preserve"> the STACCATO project as part of the Marie </w:t>
      </w:r>
      <w:proofErr w:type="spellStart"/>
      <w:r w:rsidRPr="001E5651">
        <w:rPr>
          <w:rFonts w:cs="Times New Roman"/>
          <w:szCs w:val="24"/>
        </w:rPr>
        <w:t>Sklodowska</w:t>
      </w:r>
      <w:proofErr w:type="spellEnd"/>
      <w:r w:rsidRPr="001E5651">
        <w:rPr>
          <w:rFonts w:cs="Times New Roman"/>
          <w:szCs w:val="24"/>
        </w:rPr>
        <w:t>-Curie Action of Horizon 2020</w:t>
      </w:r>
      <w:r w:rsidR="001E5651" w:rsidRPr="001E5651">
        <w:rPr>
          <w:rFonts w:cs="Times New Roman"/>
          <w:szCs w:val="24"/>
        </w:rPr>
        <w:t xml:space="preserve"> (Grant No.</w:t>
      </w:r>
      <w:r w:rsidR="001E5651" w:rsidRPr="00C311B9">
        <w:rPr>
          <w:rFonts w:cs="Times New Roman"/>
          <w:szCs w:val="24"/>
        </w:rPr>
        <w:t xml:space="preserve"> </w:t>
      </w:r>
      <w:r w:rsidR="001E5651" w:rsidRPr="00C311B9">
        <w:rPr>
          <w:rFonts w:eastAsia="Times New Roman" w:cs="Times New Roman"/>
          <w:szCs w:val="24"/>
          <w:lang w:eastAsia="en-GB"/>
        </w:rPr>
        <w:t>813453</w:t>
      </w:r>
      <w:r w:rsidR="001E5651" w:rsidRPr="001E5651">
        <w:rPr>
          <w:rFonts w:eastAsia="Times New Roman" w:cs="Times New Roman"/>
          <w:szCs w:val="24"/>
          <w:lang w:eastAsia="en-GB"/>
        </w:rPr>
        <w:t>)</w:t>
      </w:r>
      <w:r w:rsidRPr="001E5651">
        <w:rPr>
          <w:rFonts w:cs="Times New Roman"/>
          <w:szCs w:val="24"/>
        </w:rPr>
        <w:t>.</w:t>
      </w:r>
    </w:p>
    <w:p w14:paraId="0809B69C" w14:textId="77777777" w:rsidR="002240CF" w:rsidRPr="00376CC5" w:rsidRDefault="002240CF" w:rsidP="00AC3EA3">
      <w:pPr>
        <w:rPr>
          <w:szCs w:val="24"/>
        </w:rPr>
      </w:pPr>
    </w:p>
    <w:p w14:paraId="5E0CBB2F" w14:textId="77777777" w:rsidR="006B2D5B" w:rsidRPr="00376CC5" w:rsidRDefault="006B2D5B" w:rsidP="00A53000">
      <w:pPr>
        <w:pStyle w:val="Heading1"/>
      </w:pPr>
      <w:r w:rsidRPr="00376CC5">
        <w:t>Acknowledgments</w:t>
      </w:r>
    </w:p>
    <w:p w14:paraId="60E29390" w14:textId="6C074C87" w:rsidR="00F25E42" w:rsidRDefault="00F25E42" w:rsidP="00A53000">
      <w:pPr>
        <w:rPr>
          <w:szCs w:val="24"/>
          <w:shd w:val="clear" w:color="auto" w:fill="FFFFFF"/>
        </w:rPr>
      </w:pPr>
      <w:r>
        <w:rPr>
          <w:szCs w:val="24"/>
          <w:shd w:val="clear" w:color="auto" w:fill="FFFFFF"/>
        </w:rPr>
        <w:t>NIBRT, Ireland: a base for method development and bioinformatics.</w:t>
      </w:r>
    </w:p>
    <w:p w14:paraId="6F0FBCB8" w14:textId="0E766702" w:rsidR="00F25E42" w:rsidRDefault="00F25E42" w:rsidP="00A53000">
      <w:pPr>
        <w:rPr>
          <w:szCs w:val="24"/>
          <w:shd w:val="clear" w:color="auto" w:fill="FFFFFF"/>
        </w:rPr>
      </w:pPr>
      <w:r>
        <w:rPr>
          <w:szCs w:val="24"/>
          <w:shd w:val="clear" w:color="auto" w:fill="FFFFFF"/>
        </w:rPr>
        <w:t>Niall Barron: Supervised project.</w:t>
      </w:r>
    </w:p>
    <w:p w14:paraId="7C1A0D1F" w14:textId="78A57C9F" w:rsidR="00F25E42" w:rsidRDefault="00F25E42" w:rsidP="00A53000">
      <w:pPr>
        <w:rPr>
          <w:szCs w:val="24"/>
          <w:shd w:val="clear" w:color="auto" w:fill="FFFFFF"/>
        </w:rPr>
      </w:pPr>
      <w:r>
        <w:rPr>
          <w:szCs w:val="24"/>
          <w:shd w:val="clear" w:color="auto" w:fill="FFFFFF"/>
        </w:rPr>
        <w:t>Colin Clarke: Co-supervisor. Wrote original code for mtDNA analysis which was later adapted.</w:t>
      </w:r>
    </w:p>
    <w:p w14:paraId="52D762F2" w14:textId="30C5C3A8" w:rsidR="00F25E42" w:rsidRDefault="00F25E42" w:rsidP="00A53000">
      <w:pPr>
        <w:rPr>
          <w:szCs w:val="24"/>
          <w:shd w:val="clear" w:color="auto" w:fill="FFFFFF"/>
        </w:rPr>
      </w:pPr>
      <w:r>
        <w:rPr>
          <w:szCs w:val="24"/>
          <w:shd w:val="clear" w:color="auto" w:fill="FFFFFF"/>
        </w:rPr>
        <w:lastRenderedPageBreak/>
        <w:t>Nga Lao: Significant aid in wet lab work.</w:t>
      </w:r>
    </w:p>
    <w:p w14:paraId="3155CF96" w14:textId="77777777" w:rsidR="002240CF" w:rsidRDefault="002240CF" w:rsidP="00A53000">
      <w:pPr>
        <w:rPr>
          <w:szCs w:val="24"/>
          <w:shd w:val="clear" w:color="auto" w:fill="FFFFFF"/>
        </w:rPr>
      </w:pPr>
    </w:p>
    <w:p w14:paraId="65A4C695" w14:textId="772540F5" w:rsidR="002240CF" w:rsidRPr="002240CF" w:rsidRDefault="002240CF" w:rsidP="002240CF">
      <w:pPr>
        <w:pStyle w:val="Heading1"/>
        <w:rPr>
          <w:shd w:val="clear" w:color="auto" w:fill="FFFFFF"/>
        </w:rPr>
      </w:pPr>
      <w:r w:rsidRPr="002240CF">
        <w:rPr>
          <w:shd w:val="clear" w:color="auto" w:fill="FFFFFF"/>
        </w:rPr>
        <w:t>References</w:t>
      </w:r>
    </w:p>
    <w:p w14:paraId="422D5D17" w14:textId="77777777" w:rsidR="00347451" w:rsidRDefault="00347451" w:rsidP="00347451">
      <w:r>
        <w:t xml:space="preserve">  Bio-Rad (2022). Doublet Discrimination - Flow Cytometry Guide. Bio-Rad. Available at: https://www.bio-rad-antibodies.com/flow-cytometry-doublet-discrimination.html [Accessed January 17, 2022].</w:t>
      </w:r>
    </w:p>
    <w:p w14:paraId="615922AE" w14:textId="77777777" w:rsidR="00347451" w:rsidRDefault="00347451" w:rsidP="00347451">
      <w:r>
        <w:t xml:space="preserve">  Blakely, E. L., Mitchell, A. L., Fisher, N., Meunier, B., </w:t>
      </w:r>
      <w:proofErr w:type="spellStart"/>
      <w:r>
        <w:t>Nijtmans</w:t>
      </w:r>
      <w:proofErr w:type="spellEnd"/>
      <w:r>
        <w:t xml:space="preserve">, L. G., Schaefer, A. M., et al. (2005). A mitochondrial cytochrome b mutation causing severe respiratory chain enzyme deficiency in humans and yeast. FEBS J 272, 3583–3592. </w:t>
      </w:r>
      <w:proofErr w:type="spellStart"/>
      <w:proofErr w:type="gramStart"/>
      <w:r>
        <w:t>doi</w:t>
      </w:r>
      <w:proofErr w:type="spellEnd"/>
      <w:proofErr w:type="gramEnd"/>
      <w:r>
        <w:t>: 10.1111/j.1742-4658.2005.04779.x.</w:t>
      </w:r>
    </w:p>
    <w:p w14:paraId="3394598F" w14:textId="77777777" w:rsidR="00347451" w:rsidRDefault="00347451" w:rsidP="00347451">
      <w:r>
        <w:t xml:space="preserve">  Dhiman, H., Gerstl, M. P., </w:t>
      </w:r>
      <w:proofErr w:type="spellStart"/>
      <w:r>
        <w:t>Ruckerbauer</w:t>
      </w:r>
      <w:proofErr w:type="spellEnd"/>
      <w:r>
        <w:t xml:space="preserve">, D., </w:t>
      </w:r>
      <w:proofErr w:type="spellStart"/>
      <w:r>
        <w:t>Hanscho</w:t>
      </w:r>
      <w:proofErr w:type="spellEnd"/>
      <w:r>
        <w:t xml:space="preserve">, M., </w:t>
      </w:r>
      <w:proofErr w:type="spellStart"/>
      <w:r>
        <w:t>Himmelbauer</w:t>
      </w:r>
      <w:proofErr w:type="spellEnd"/>
      <w:r>
        <w:t xml:space="preserve">, H., Clarke, C., et al. (2019). Genetic and Epigenetic Variation across Genes Involved in Energy Metabolism and Mitochondria of Chinese Hamster Ovary Cell Lines. Biotechnology Journal 14, 1800681. </w:t>
      </w:r>
      <w:proofErr w:type="spellStart"/>
      <w:r>
        <w:t>doi</w:t>
      </w:r>
      <w:proofErr w:type="spellEnd"/>
      <w:r>
        <w:t>: 10.1002/biot.201800681.</w:t>
      </w:r>
    </w:p>
    <w:p w14:paraId="5D3C8F73" w14:textId="77777777" w:rsidR="00347451" w:rsidRDefault="00347451" w:rsidP="00347451">
      <w:r>
        <w:t xml:space="preserve">  </w:t>
      </w:r>
      <w:proofErr w:type="spellStart"/>
      <w:r>
        <w:t>Dimauro</w:t>
      </w:r>
      <w:proofErr w:type="spellEnd"/>
      <w:r>
        <w:t xml:space="preserve">, S., and </w:t>
      </w:r>
      <w:proofErr w:type="spellStart"/>
      <w:r>
        <w:t>Davidzon</w:t>
      </w:r>
      <w:proofErr w:type="spellEnd"/>
      <w:r>
        <w:t xml:space="preserve">, G. (2005). Mitochondrial DNA and disease. Ann Med 37, 222–232. </w:t>
      </w:r>
      <w:proofErr w:type="spellStart"/>
      <w:r>
        <w:t>doi</w:t>
      </w:r>
      <w:proofErr w:type="spellEnd"/>
      <w:r>
        <w:t>: 10.1080/07853890510007368.</w:t>
      </w:r>
    </w:p>
    <w:p w14:paraId="77581A12" w14:textId="77777777" w:rsidR="00347451" w:rsidRDefault="00347451" w:rsidP="00347451">
      <w:r>
        <w:t xml:space="preserve">  Fisher, N., </w:t>
      </w:r>
      <w:proofErr w:type="spellStart"/>
      <w:r>
        <w:t>Castleden</w:t>
      </w:r>
      <w:proofErr w:type="spellEnd"/>
      <w:r>
        <w:t xml:space="preserve">, C. K., Bourges, I., Brasseur, G., Dujardin, G., and Meunier, B. (2004). Human disease-related mutations in cytochrome b studied in yeast. J </w:t>
      </w:r>
      <w:proofErr w:type="spellStart"/>
      <w:r>
        <w:t>Biol</w:t>
      </w:r>
      <w:proofErr w:type="spellEnd"/>
      <w:r>
        <w:t xml:space="preserve"> </w:t>
      </w:r>
      <w:proofErr w:type="spellStart"/>
      <w:r>
        <w:t>Chem</w:t>
      </w:r>
      <w:proofErr w:type="spellEnd"/>
      <w:r>
        <w:t xml:space="preserve"> 279, 12951–12958. </w:t>
      </w:r>
      <w:proofErr w:type="spellStart"/>
      <w:r>
        <w:t>doi</w:t>
      </w:r>
      <w:proofErr w:type="spellEnd"/>
      <w:r>
        <w:t>: 10.1074/jbc.M313866200.</w:t>
      </w:r>
    </w:p>
    <w:p w14:paraId="09ED28F1" w14:textId="77777777" w:rsidR="00347451" w:rsidRDefault="00347451" w:rsidP="00347451">
      <w:r>
        <w:t xml:space="preserve">  Gallagher, C., and Kelly, P. S. (2017). Selection of High-Producing Clones Using FACS for CHO Cell Line Development. Methods </w:t>
      </w:r>
      <w:proofErr w:type="spellStart"/>
      <w:r>
        <w:t>Mol</w:t>
      </w:r>
      <w:proofErr w:type="spellEnd"/>
      <w:r>
        <w:t xml:space="preserve"> </w:t>
      </w:r>
      <w:proofErr w:type="spellStart"/>
      <w:r>
        <w:t>Biol</w:t>
      </w:r>
      <w:proofErr w:type="spellEnd"/>
      <w:r>
        <w:t xml:space="preserve"> 1603, 143–152. </w:t>
      </w:r>
      <w:proofErr w:type="spellStart"/>
      <w:r>
        <w:t>doi</w:t>
      </w:r>
      <w:proofErr w:type="spellEnd"/>
      <w:r>
        <w:t>: 10.1007/978-1-4939-6972-2_9.</w:t>
      </w:r>
    </w:p>
    <w:p w14:paraId="6A485787" w14:textId="77777777" w:rsidR="00347451" w:rsidRDefault="00347451" w:rsidP="00347451">
      <w:r>
        <w:t xml:space="preserve">  Gilbert, A., McElearney, K., Kshirsagar, R., Sinacore, M. S., and Ryll, T. (2013). Investigation of metabolic variability observed in extended fed batch cell culture. </w:t>
      </w:r>
      <w:proofErr w:type="spellStart"/>
      <w:r>
        <w:t>Biotechnol</w:t>
      </w:r>
      <w:proofErr w:type="spellEnd"/>
      <w:r>
        <w:t xml:space="preserve"> </w:t>
      </w:r>
      <w:proofErr w:type="spellStart"/>
      <w:r>
        <w:t>Prog</w:t>
      </w:r>
      <w:proofErr w:type="spellEnd"/>
      <w:r>
        <w:t xml:space="preserve"> 29, 1519–1527. </w:t>
      </w:r>
      <w:proofErr w:type="spellStart"/>
      <w:r>
        <w:t>doi</w:t>
      </w:r>
      <w:proofErr w:type="spellEnd"/>
      <w:r>
        <w:t>: 10.1002/btpr.1787.</w:t>
      </w:r>
    </w:p>
    <w:p w14:paraId="7452B5CC" w14:textId="77777777" w:rsidR="00347451" w:rsidRDefault="00347451" w:rsidP="00347451">
      <w:r>
        <w:t xml:space="preserve">  Kelley, B., Kiss, R., and Laird, M. (2018). A Different Perspective: How Much Innovation Is Really Needed for Monoclonal Antibody Production Using Mammalian Cell Technology? </w:t>
      </w:r>
      <w:proofErr w:type="spellStart"/>
      <w:r>
        <w:t>Adv</w:t>
      </w:r>
      <w:proofErr w:type="spellEnd"/>
      <w:r>
        <w:t xml:space="preserve"> </w:t>
      </w:r>
      <w:proofErr w:type="spellStart"/>
      <w:r>
        <w:t>Biochem</w:t>
      </w:r>
      <w:proofErr w:type="spellEnd"/>
      <w:r>
        <w:t xml:space="preserve"> </w:t>
      </w:r>
      <w:proofErr w:type="spellStart"/>
      <w:r>
        <w:t>Eng</w:t>
      </w:r>
      <w:proofErr w:type="spellEnd"/>
      <w:r>
        <w:t xml:space="preserve"> </w:t>
      </w:r>
      <w:proofErr w:type="spellStart"/>
      <w:r>
        <w:t>Biotechnol</w:t>
      </w:r>
      <w:proofErr w:type="spellEnd"/>
      <w:r>
        <w:t xml:space="preserve"> 165, 443–462. </w:t>
      </w:r>
      <w:proofErr w:type="spellStart"/>
      <w:r>
        <w:t>doi</w:t>
      </w:r>
      <w:proofErr w:type="spellEnd"/>
      <w:r>
        <w:t>: 10.1007/10_2018_59.</w:t>
      </w:r>
    </w:p>
    <w:p w14:paraId="2415588F" w14:textId="77777777" w:rsidR="00347451" w:rsidRDefault="00347451" w:rsidP="00347451">
      <w:r>
        <w:t xml:space="preserve">  Kelly, P. S., Clarke, C., Costello, A., Monger, C., Meiller, J., Dhiman, H., et al. (2017). Ultra-deep next generation mitochondrial genome sequencing reveals widespread heteroplasmy in Chinese hamster ovary cells. Metabolic Engineering 41, 11–22. </w:t>
      </w:r>
      <w:proofErr w:type="spellStart"/>
      <w:r>
        <w:t>doi</w:t>
      </w:r>
      <w:proofErr w:type="spellEnd"/>
      <w:r>
        <w:t>: 10.1016/j.ymben.2017.02.001.</w:t>
      </w:r>
    </w:p>
    <w:p w14:paraId="61F32CC1" w14:textId="77777777" w:rsidR="00347451" w:rsidRDefault="00347451" w:rsidP="00347451">
      <w:r>
        <w:t xml:space="preserve">  Keogh, M. J., and Chinnery, P. F. (2015). Mitochondrial DNA mutations in neurodegeneration. </w:t>
      </w:r>
      <w:proofErr w:type="spellStart"/>
      <w:r>
        <w:t>Biochimica</w:t>
      </w:r>
      <w:proofErr w:type="spellEnd"/>
      <w:r>
        <w:t xml:space="preserve"> et </w:t>
      </w:r>
      <w:proofErr w:type="spellStart"/>
      <w:r>
        <w:t>Biophysica</w:t>
      </w:r>
      <w:proofErr w:type="spellEnd"/>
      <w:r>
        <w:t xml:space="preserve"> </w:t>
      </w:r>
      <w:proofErr w:type="spellStart"/>
      <w:r>
        <w:t>Acta</w:t>
      </w:r>
      <w:proofErr w:type="spellEnd"/>
      <w:r>
        <w:t xml:space="preserve"> (BBA) - Bioenergetics 1847, 1401–1411. </w:t>
      </w:r>
      <w:proofErr w:type="spellStart"/>
      <w:r>
        <w:t>doi</w:t>
      </w:r>
      <w:proofErr w:type="spellEnd"/>
      <w:r>
        <w:t>: 10.1016/j.bbabio.2015.05.015.</w:t>
      </w:r>
    </w:p>
    <w:p w14:paraId="4908DAE7" w14:textId="77777777" w:rsidR="00347451" w:rsidRDefault="00347451" w:rsidP="00347451">
      <w:r>
        <w:t xml:space="preserve">  Lorenz, T. C. (2012). Polymerase chain reaction: basic protocol plus troubleshooting and optimization strategies. J Vis Exp, e3998. </w:t>
      </w:r>
      <w:proofErr w:type="spellStart"/>
      <w:r>
        <w:t>doi</w:t>
      </w:r>
      <w:proofErr w:type="spellEnd"/>
      <w:r>
        <w:t>: 10.3791/3998.</w:t>
      </w:r>
    </w:p>
    <w:p w14:paraId="73C2B43E" w14:textId="77777777" w:rsidR="00347451" w:rsidRDefault="00347451" w:rsidP="00347451">
      <w:r>
        <w:lastRenderedPageBreak/>
        <w:t xml:space="preserve">  Ludwig, L. S., Lareau, C. A., </w:t>
      </w:r>
      <w:proofErr w:type="spellStart"/>
      <w:r>
        <w:t>Ulirsch</w:t>
      </w:r>
      <w:proofErr w:type="spellEnd"/>
      <w:r>
        <w:t xml:space="preserve">, J. C., Christian, E., Muus, C., Li, L. H., et al. (2019). Lineage Tracing in Humans Enabled by Mitochondrial Mutations and Single-Cell Genomics. Cell 176, 1325-1339.e22. </w:t>
      </w:r>
      <w:proofErr w:type="spellStart"/>
      <w:r>
        <w:t>doi</w:t>
      </w:r>
      <w:proofErr w:type="spellEnd"/>
      <w:r>
        <w:t>: 10.1016/j.cell.2019.01.022.</w:t>
      </w:r>
    </w:p>
    <w:p w14:paraId="0F89B70C" w14:textId="77777777" w:rsidR="00347451" w:rsidRDefault="00347451" w:rsidP="00347451">
      <w:r>
        <w:t xml:space="preserve">  Maeda, R., Kami, D., Maeda, H., Shikuma, A., and Gojo, S. (2020). High throughput single cell analysis of mitochondrial heteroplasmy in mitochondrial diseases. Sci Rep 10, 10821. </w:t>
      </w:r>
      <w:proofErr w:type="spellStart"/>
      <w:r>
        <w:t>doi</w:t>
      </w:r>
      <w:proofErr w:type="spellEnd"/>
      <w:r>
        <w:t>: 10.1038/s41598-020-67686-z.</w:t>
      </w:r>
    </w:p>
    <w:p w14:paraId="313FF90A" w14:textId="77777777" w:rsidR="00347451" w:rsidRDefault="00347451" w:rsidP="00347451">
      <w:r>
        <w:t xml:space="preserve">  NCBI (2023). National </w:t>
      </w:r>
      <w:proofErr w:type="spellStart"/>
      <w:r>
        <w:t>Center</w:t>
      </w:r>
      <w:proofErr w:type="spellEnd"/>
      <w:r>
        <w:t xml:space="preserve"> for Biotechnology Information. Available at: https://www.ncbi.nlm.nih.gov/ [Accessed June 5, 2023].</w:t>
      </w:r>
    </w:p>
    <w:p w14:paraId="7E41B884" w14:textId="77777777" w:rsidR="00347451" w:rsidRDefault="00347451" w:rsidP="00347451">
      <w:r>
        <w:t xml:space="preserve">  Walsh, G., and Walsh, E. (2022). Biopharmaceutical benchmarks 2022. Nat </w:t>
      </w:r>
      <w:proofErr w:type="spellStart"/>
      <w:r>
        <w:t>Biotechnol</w:t>
      </w:r>
      <w:proofErr w:type="spellEnd"/>
      <w:r>
        <w:t xml:space="preserve"> 40, 1722–1760. </w:t>
      </w:r>
      <w:proofErr w:type="spellStart"/>
      <w:r>
        <w:t>doi</w:t>
      </w:r>
      <w:proofErr w:type="spellEnd"/>
      <w:r>
        <w:t>: 10.1038/s41587-022-01582-x.</w:t>
      </w:r>
    </w:p>
    <w:p w14:paraId="3A508F86" w14:textId="77777777" w:rsidR="00347451" w:rsidRDefault="00347451" w:rsidP="00347451">
      <w:r>
        <w:t xml:space="preserve">  Wei, W., Schon, K. R., Elgar, G., </w:t>
      </w:r>
      <w:proofErr w:type="spellStart"/>
      <w:r>
        <w:t>Orioli</w:t>
      </w:r>
      <w:proofErr w:type="spellEnd"/>
      <w:r>
        <w:t xml:space="preserve">, A., Tanguy, M., Giess, A., et al. (2022). Nuclear-embedded mitochondrial DNA sequences in 66,083 human genomes. Nature 611, 105–114. </w:t>
      </w:r>
      <w:proofErr w:type="spellStart"/>
      <w:r>
        <w:t>doi</w:t>
      </w:r>
      <w:proofErr w:type="spellEnd"/>
      <w:r>
        <w:t>: 10.1038/s41586-022-05288-7.</w:t>
      </w:r>
    </w:p>
    <w:p w14:paraId="3F9ECCFD" w14:textId="77777777" w:rsidR="00347451" w:rsidRDefault="00347451" w:rsidP="00347451">
      <w:r>
        <w:t xml:space="preserve">  Zambelli, F., Vancampenhout, K., </w:t>
      </w:r>
      <w:proofErr w:type="spellStart"/>
      <w:r>
        <w:t>Daneels</w:t>
      </w:r>
      <w:proofErr w:type="spellEnd"/>
      <w:r>
        <w:t xml:space="preserve">, D., Brown, D., Mertens, J., Van Dooren, S., et al. (2017). Accurate and comprehensive analysis of single nucleotide variants and large deletions of the human mitochondrial genome in DNA and single cells. </w:t>
      </w:r>
      <w:proofErr w:type="spellStart"/>
      <w:r>
        <w:t>Eur</w:t>
      </w:r>
      <w:proofErr w:type="spellEnd"/>
      <w:r>
        <w:t xml:space="preserve"> J Hum Genet 25, 1229–1236. </w:t>
      </w:r>
      <w:proofErr w:type="spellStart"/>
      <w:r>
        <w:t>doi</w:t>
      </w:r>
      <w:proofErr w:type="spellEnd"/>
      <w:r>
        <w:t>: 10.1038/ejhg.2017.129.</w:t>
      </w:r>
    </w:p>
    <w:p w14:paraId="72AE80F0" w14:textId="77777777" w:rsidR="002240CF" w:rsidRDefault="002240CF" w:rsidP="002240CF"/>
    <w:p w14:paraId="59E7FCE8" w14:textId="77777777" w:rsidR="0088513A" w:rsidRPr="0088513A" w:rsidRDefault="0088513A" w:rsidP="00683FBC">
      <w:pPr>
        <w:pStyle w:val="Heading1"/>
      </w:pPr>
      <w:r w:rsidRPr="0088513A">
        <w:t>Data Availability Statement</w:t>
      </w:r>
    </w:p>
    <w:p w14:paraId="7EB92F3A" w14:textId="0A427273" w:rsidR="00075306" w:rsidRDefault="00075306" w:rsidP="00075306">
      <w:pPr>
        <w:rPr>
          <w:rStyle w:val="Hyperlink"/>
        </w:rPr>
      </w:pPr>
      <w:r>
        <w:rPr>
          <w:rFonts w:cs="Times New Roman"/>
          <w:szCs w:val="24"/>
        </w:rPr>
        <w:t xml:space="preserve">The datasets </w:t>
      </w:r>
      <w:r w:rsidR="0088513A">
        <w:rPr>
          <w:rFonts w:cs="Times New Roman"/>
          <w:szCs w:val="24"/>
        </w:rPr>
        <w:t>for this study can be found in the</w:t>
      </w:r>
      <w:r w:rsidR="00347451">
        <w:rPr>
          <w:rFonts w:cs="Times New Roman"/>
          <w:szCs w:val="24"/>
        </w:rPr>
        <w:t xml:space="preserve"> GitHub repository:</w:t>
      </w:r>
      <w:r>
        <w:rPr>
          <w:rFonts w:cs="Times New Roman"/>
          <w:szCs w:val="24"/>
        </w:rPr>
        <w:t xml:space="preserve"> </w:t>
      </w:r>
      <w:hyperlink r:id="rId9" w:history="1">
        <w:r w:rsidRPr="00AF1FA0">
          <w:rPr>
            <w:rStyle w:val="Hyperlink"/>
          </w:rPr>
          <w:t>https://github.com/alanfoleynibrt/SingleCellmtDNA</w:t>
        </w:r>
      </w:hyperlink>
    </w:p>
    <w:p w14:paraId="6FB76744" w14:textId="77777777" w:rsidR="002240CF" w:rsidRDefault="002240CF" w:rsidP="00075306"/>
    <w:p w14:paraId="43BC6D9C" w14:textId="77777777" w:rsidR="008D5A24" w:rsidRPr="00376CC5" w:rsidRDefault="008D5A24" w:rsidP="00683FBC">
      <w:pPr>
        <w:pStyle w:val="Heading1"/>
      </w:pPr>
      <w:r w:rsidRPr="00376CC5">
        <w:t>Tables</w:t>
      </w:r>
    </w:p>
    <w:p w14:paraId="636195EB" w14:textId="3E9F3C1D" w:rsidR="00683FBC" w:rsidRPr="009343EE" w:rsidRDefault="00683FBC" w:rsidP="00683FBC">
      <w:pPr>
        <w:rPr>
          <w:rFonts w:cs="Times New Roman"/>
        </w:rPr>
      </w:pPr>
      <w:r w:rsidRPr="009343EE">
        <w:rPr>
          <w:rFonts w:cs="Times New Roman"/>
          <w:b/>
          <w:bCs/>
        </w:rPr>
        <w:t xml:space="preserve">Table 1: </w:t>
      </w:r>
      <w:r w:rsidRPr="009343EE">
        <w:rPr>
          <w:rFonts w:cs="Times New Roman"/>
        </w:rPr>
        <w:t xml:space="preserve">Samples </w:t>
      </w:r>
      <w:r>
        <w:rPr>
          <w:rFonts w:cs="Times New Roman"/>
        </w:rPr>
        <w:t xml:space="preserve">1-4 </w:t>
      </w:r>
      <w:r w:rsidRPr="009343EE">
        <w:rPr>
          <w:rFonts w:cs="Times New Roman"/>
        </w:rPr>
        <w:t xml:space="preserve">required for single cell sort. In this data, Late Exponential had </w:t>
      </w:r>
      <w:r w:rsidR="00347451">
        <w:rPr>
          <w:rFonts w:cs="Times New Roman"/>
        </w:rPr>
        <w:t xml:space="preserve">a </w:t>
      </w:r>
      <w:r w:rsidRPr="009343EE">
        <w:rPr>
          <w:rFonts w:cs="Times New Roman"/>
        </w:rPr>
        <w:t>viability of 95%, Dead of 5%.</w:t>
      </w:r>
    </w:p>
    <w:tbl>
      <w:tblPr>
        <w:tblStyle w:val="TableGrid"/>
        <w:tblW w:w="5000" w:type="pct"/>
        <w:tblLook w:val="04A0" w:firstRow="1" w:lastRow="0" w:firstColumn="1" w:lastColumn="0" w:noHBand="0" w:noVBand="1"/>
      </w:tblPr>
      <w:tblGrid>
        <w:gridCol w:w="383"/>
        <w:gridCol w:w="2256"/>
        <w:gridCol w:w="1725"/>
        <w:gridCol w:w="1459"/>
        <w:gridCol w:w="3944"/>
      </w:tblGrid>
      <w:tr w:rsidR="002240CF" w:rsidRPr="009343EE" w14:paraId="220C0954" w14:textId="77777777" w:rsidTr="008F771D">
        <w:tc>
          <w:tcPr>
            <w:tcW w:w="196" w:type="pct"/>
          </w:tcPr>
          <w:p w14:paraId="14F6DA48" w14:textId="77777777" w:rsidR="002240CF" w:rsidRPr="009343EE" w:rsidRDefault="002240CF" w:rsidP="008F771D">
            <w:pPr>
              <w:pStyle w:val="ListParagraph"/>
              <w:ind w:left="0"/>
            </w:pPr>
          </w:p>
        </w:tc>
        <w:tc>
          <w:tcPr>
            <w:tcW w:w="1155" w:type="pct"/>
          </w:tcPr>
          <w:p w14:paraId="5D20BDB8" w14:textId="77777777" w:rsidR="002240CF" w:rsidRPr="009343EE" w:rsidRDefault="002240CF" w:rsidP="008F771D">
            <w:pPr>
              <w:pStyle w:val="ListParagraph"/>
              <w:ind w:left="0"/>
            </w:pPr>
            <w:r w:rsidRPr="009343EE">
              <w:t>Cells</w:t>
            </w:r>
          </w:p>
        </w:tc>
        <w:tc>
          <w:tcPr>
            <w:tcW w:w="883" w:type="pct"/>
          </w:tcPr>
          <w:p w14:paraId="4C1B1336" w14:textId="77777777" w:rsidR="002240CF" w:rsidRPr="009343EE" w:rsidRDefault="002240CF" w:rsidP="008F771D">
            <w:pPr>
              <w:pStyle w:val="ListParagraph"/>
              <w:ind w:left="0"/>
            </w:pPr>
            <w:r w:rsidRPr="009343EE">
              <w:t>Growth Phase</w:t>
            </w:r>
          </w:p>
        </w:tc>
        <w:tc>
          <w:tcPr>
            <w:tcW w:w="747" w:type="pct"/>
          </w:tcPr>
          <w:p w14:paraId="45BCD084" w14:textId="77777777" w:rsidR="002240CF" w:rsidRPr="009343EE" w:rsidRDefault="002240CF" w:rsidP="008F771D">
            <w:pPr>
              <w:pStyle w:val="ListParagraph"/>
              <w:ind w:left="0"/>
            </w:pPr>
            <w:r w:rsidRPr="009343EE">
              <w:t>Stain</w:t>
            </w:r>
          </w:p>
        </w:tc>
        <w:tc>
          <w:tcPr>
            <w:tcW w:w="2019" w:type="pct"/>
          </w:tcPr>
          <w:p w14:paraId="77981FE2" w14:textId="77777777" w:rsidR="002240CF" w:rsidRPr="009343EE" w:rsidRDefault="002240CF" w:rsidP="008F771D">
            <w:pPr>
              <w:pStyle w:val="ListParagraph"/>
              <w:ind w:left="0"/>
            </w:pPr>
            <w:r w:rsidRPr="009343EE">
              <w:t>Function</w:t>
            </w:r>
          </w:p>
        </w:tc>
      </w:tr>
      <w:tr w:rsidR="002240CF" w:rsidRPr="009343EE" w14:paraId="3E0DBA58" w14:textId="77777777" w:rsidTr="008F771D">
        <w:tc>
          <w:tcPr>
            <w:tcW w:w="196" w:type="pct"/>
          </w:tcPr>
          <w:p w14:paraId="42CEA878" w14:textId="77777777" w:rsidR="002240CF" w:rsidRPr="009343EE" w:rsidRDefault="002240CF" w:rsidP="008F771D">
            <w:pPr>
              <w:pStyle w:val="ListParagraph"/>
              <w:ind w:left="0"/>
            </w:pPr>
            <w:r w:rsidRPr="009343EE">
              <w:t>1</w:t>
            </w:r>
          </w:p>
        </w:tc>
        <w:tc>
          <w:tcPr>
            <w:tcW w:w="1155" w:type="pct"/>
          </w:tcPr>
          <w:p w14:paraId="0D21CBFA" w14:textId="77777777" w:rsidR="002240CF" w:rsidRPr="009343EE" w:rsidRDefault="002240CF" w:rsidP="008F771D">
            <w:pPr>
              <w:pStyle w:val="ListParagraph"/>
              <w:ind w:left="0"/>
            </w:pPr>
            <w:r w:rsidRPr="009343EE">
              <w:t xml:space="preserve">Protein Producing CHO </w:t>
            </w:r>
          </w:p>
        </w:tc>
        <w:tc>
          <w:tcPr>
            <w:tcW w:w="883" w:type="pct"/>
          </w:tcPr>
          <w:p w14:paraId="649AFB21" w14:textId="77777777" w:rsidR="002240CF" w:rsidRPr="009343EE" w:rsidRDefault="002240CF" w:rsidP="008F771D">
            <w:pPr>
              <w:pStyle w:val="ListParagraph"/>
              <w:ind w:left="0"/>
            </w:pPr>
            <w:r w:rsidRPr="009343EE">
              <w:t>Late Exponential</w:t>
            </w:r>
          </w:p>
        </w:tc>
        <w:tc>
          <w:tcPr>
            <w:tcW w:w="747" w:type="pct"/>
          </w:tcPr>
          <w:p w14:paraId="28A0FB81" w14:textId="77777777" w:rsidR="002240CF" w:rsidRPr="009343EE" w:rsidRDefault="002240CF" w:rsidP="008F771D">
            <w:pPr>
              <w:pStyle w:val="ListParagraph"/>
              <w:ind w:left="0"/>
            </w:pPr>
            <w:r w:rsidRPr="009343EE">
              <w:t>DAPI + FITC-AB</w:t>
            </w:r>
          </w:p>
        </w:tc>
        <w:tc>
          <w:tcPr>
            <w:tcW w:w="2019" w:type="pct"/>
          </w:tcPr>
          <w:p w14:paraId="42DD4786" w14:textId="77777777" w:rsidR="002240CF" w:rsidRPr="009343EE" w:rsidRDefault="002240CF" w:rsidP="008F771D">
            <w:pPr>
              <w:pStyle w:val="ListParagraph"/>
              <w:ind w:left="0"/>
            </w:pPr>
            <w:r w:rsidRPr="009343EE">
              <w:t>Sorting Sample</w:t>
            </w:r>
          </w:p>
        </w:tc>
      </w:tr>
      <w:tr w:rsidR="002240CF" w:rsidRPr="009343EE" w14:paraId="7829E1D3" w14:textId="77777777" w:rsidTr="008F771D">
        <w:tc>
          <w:tcPr>
            <w:tcW w:w="196" w:type="pct"/>
          </w:tcPr>
          <w:p w14:paraId="2FB29391" w14:textId="77777777" w:rsidR="002240CF" w:rsidRPr="009343EE" w:rsidRDefault="002240CF" w:rsidP="008F771D">
            <w:pPr>
              <w:pStyle w:val="ListParagraph"/>
              <w:ind w:left="0"/>
            </w:pPr>
            <w:r w:rsidRPr="009343EE">
              <w:t>2</w:t>
            </w:r>
          </w:p>
        </w:tc>
        <w:tc>
          <w:tcPr>
            <w:tcW w:w="1155" w:type="pct"/>
          </w:tcPr>
          <w:p w14:paraId="70D3F418" w14:textId="77777777" w:rsidR="002240CF" w:rsidRPr="009343EE" w:rsidRDefault="002240CF" w:rsidP="008F771D">
            <w:pPr>
              <w:pStyle w:val="ListParagraph"/>
              <w:ind w:left="0"/>
            </w:pPr>
            <w:r w:rsidRPr="009343EE">
              <w:t>Protein Producing CHO</w:t>
            </w:r>
          </w:p>
        </w:tc>
        <w:tc>
          <w:tcPr>
            <w:tcW w:w="883" w:type="pct"/>
          </w:tcPr>
          <w:p w14:paraId="0E48356E" w14:textId="77777777" w:rsidR="002240CF" w:rsidRPr="009343EE" w:rsidRDefault="002240CF" w:rsidP="008F771D">
            <w:pPr>
              <w:pStyle w:val="ListParagraph"/>
              <w:ind w:left="0"/>
            </w:pPr>
            <w:r w:rsidRPr="009343EE">
              <w:t>Dead</w:t>
            </w:r>
          </w:p>
        </w:tc>
        <w:tc>
          <w:tcPr>
            <w:tcW w:w="747" w:type="pct"/>
          </w:tcPr>
          <w:p w14:paraId="0336886B" w14:textId="77777777" w:rsidR="002240CF" w:rsidRPr="009343EE" w:rsidRDefault="002240CF" w:rsidP="008F771D">
            <w:pPr>
              <w:pStyle w:val="ListParagraph"/>
              <w:ind w:left="0"/>
            </w:pPr>
            <w:r w:rsidRPr="009343EE">
              <w:t>DAPI + FITC-AB</w:t>
            </w:r>
          </w:p>
        </w:tc>
        <w:tc>
          <w:tcPr>
            <w:tcW w:w="2019" w:type="pct"/>
          </w:tcPr>
          <w:p w14:paraId="5E1C20F9" w14:textId="77777777" w:rsidR="002240CF" w:rsidRPr="009343EE" w:rsidRDefault="002240CF" w:rsidP="008F771D">
            <w:pPr>
              <w:pStyle w:val="ListParagraph"/>
              <w:ind w:left="0"/>
            </w:pPr>
            <w:r w:rsidRPr="009343EE">
              <w:t>Gate Live/Dead Cells</w:t>
            </w:r>
          </w:p>
        </w:tc>
      </w:tr>
      <w:tr w:rsidR="002240CF" w:rsidRPr="009343EE" w14:paraId="59CA5DC2" w14:textId="77777777" w:rsidTr="008F771D">
        <w:tc>
          <w:tcPr>
            <w:tcW w:w="196" w:type="pct"/>
          </w:tcPr>
          <w:p w14:paraId="79C945AC" w14:textId="77777777" w:rsidR="002240CF" w:rsidRPr="009343EE" w:rsidRDefault="002240CF" w:rsidP="008F771D">
            <w:pPr>
              <w:pStyle w:val="ListParagraph"/>
              <w:ind w:left="0"/>
            </w:pPr>
            <w:r w:rsidRPr="009343EE">
              <w:t>3</w:t>
            </w:r>
          </w:p>
        </w:tc>
        <w:tc>
          <w:tcPr>
            <w:tcW w:w="1155" w:type="pct"/>
          </w:tcPr>
          <w:p w14:paraId="3982D896" w14:textId="77777777" w:rsidR="002240CF" w:rsidRPr="009343EE" w:rsidRDefault="002240CF" w:rsidP="008F771D">
            <w:pPr>
              <w:pStyle w:val="ListParagraph"/>
              <w:ind w:left="0"/>
            </w:pPr>
            <w:r w:rsidRPr="009343EE">
              <w:t>Non-producing CHO</w:t>
            </w:r>
          </w:p>
        </w:tc>
        <w:tc>
          <w:tcPr>
            <w:tcW w:w="883" w:type="pct"/>
          </w:tcPr>
          <w:p w14:paraId="6BBBCB21" w14:textId="77777777" w:rsidR="002240CF" w:rsidRPr="009343EE" w:rsidRDefault="002240CF" w:rsidP="008F771D">
            <w:pPr>
              <w:pStyle w:val="ListParagraph"/>
              <w:ind w:left="0"/>
            </w:pPr>
            <w:r w:rsidRPr="009343EE">
              <w:t>Late Exponential</w:t>
            </w:r>
          </w:p>
        </w:tc>
        <w:tc>
          <w:tcPr>
            <w:tcW w:w="747" w:type="pct"/>
          </w:tcPr>
          <w:p w14:paraId="1E6CAC9F" w14:textId="77777777" w:rsidR="002240CF" w:rsidRPr="009343EE" w:rsidRDefault="002240CF" w:rsidP="008F771D">
            <w:pPr>
              <w:pStyle w:val="ListParagraph"/>
              <w:ind w:left="0"/>
            </w:pPr>
            <w:r w:rsidRPr="009343EE">
              <w:t>DAPI + FITC-AB</w:t>
            </w:r>
          </w:p>
        </w:tc>
        <w:tc>
          <w:tcPr>
            <w:tcW w:w="2019" w:type="pct"/>
          </w:tcPr>
          <w:p w14:paraId="4A271E83" w14:textId="77777777" w:rsidR="002240CF" w:rsidRPr="009343EE" w:rsidRDefault="002240CF" w:rsidP="008F771D">
            <w:pPr>
              <w:pStyle w:val="ListParagraph"/>
              <w:ind w:left="0"/>
            </w:pPr>
            <w:r w:rsidRPr="009343EE">
              <w:t>Gate FITC negative</w:t>
            </w:r>
          </w:p>
        </w:tc>
      </w:tr>
      <w:tr w:rsidR="002240CF" w:rsidRPr="009343EE" w14:paraId="05338E50" w14:textId="77777777" w:rsidTr="008F771D">
        <w:tc>
          <w:tcPr>
            <w:tcW w:w="196" w:type="pct"/>
          </w:tcPr>
          <w:p w14:paraId="437BB0F8" w14:textId="77777777" w:rsidR="002240CF" w:rsidRPr="009343EE" w:rsidRDefault="002240CF" w:rsidP="008F771D">
            <w:pPr>
              <w:pStyle w:val="ListParagraph"/>
              <w:ind w:left="0"/>
            </w:pPr>
            <w:r w:rsidRPr="009343EE">
              <w:t>4</w:t>
            </w:r>
          </w:p>
        </w:tc>
        <w:tc>
          <w:tcPr>
            <w:tcW w:w="1155" w:type="pct"/>
          </w:tcPr>
          <w:p w14:paraId="7B40FD98" w14:textId="77777777" w:rsidR="002240CF" w:rsidRPr="009343EE" w:rsidRDefault="002240CF" w:rsidP="008F771D">
            <w:pPr>
              <w:pStyle w:val="ListParagraph"/>
              <w:ind w:left="0"/>
            </w:pPr>
            <w:r w:rsidRPr="009343EE">
              <w:t>CHO</w:t>
            </w:r>
          </w:p>
        </w:tc>
        <w:tc>
          <w:tcPr>
            <w:tcW w:w="883" w:type="pct"/>
          </w:tcPr>
          <w:p w14:paraId="074DB8D1" w14:textId="77777777" w:rsidR="002240CF" w:rsidRPr="009343EE" w:rsidRDefault="002240CF" w:rsidP="008F771D">
            <w:pPr>
              <w:pStyle w:val="ListParagraph"/>
              <w:ind w:left="0"/>
            </w:pPr>
            <w:r w:rsidRPr="009343EE">
              <w:t>Late Exponential</w:t>
            </w:r>
          </w:p>
        </w:tc>
        <w:tc>
          <w:tcPr>
            <w:tcW w:w="747" w:type="pct"/>
          </w:tcPr>
          <w:p w14:paraId="4BB7E27F" w14:textId="77777777" w:rsidR="002240CF" w:rsidRPr="009343EE" w:rsidRDefault="002240CF" w:rsidP="008F771D">
            <w:pPr>
              <w:pStyle w:val="ListParagraph"/>
              <w:ind w:left="0"/>
            </w:pPr>
            <w:r w:rsidRPr="009343EE">
              <w:t>None</w:t>
            </w:r>
          </w:p>
        </w:tc>
        <w:tc>
          <w:tcPr>
            <w:tcW w:w="2019" w:type="pct"/>
          </w:tcPr>
          <w:p w14:paraId="6879014B" w14:textId="77777777" w:rsidR="002240CF" w:rsidRPr="009343EE" w:rsidRDefault="002240CF" w:rsidP="008F771D">
            <w:pPr>
              <w:pStyle w:val="ListParagraph"/>
              <w:ind w:left="0"/>
            </w:pPr>
            <w:r w:rsidRPr="009343EE">
              <w:t>Gate FSC, SSC. Gate FITC positive</w:t>
            </w:r>
          </w:p>
        </w:tc>
      </w:tr>
    </w:tbl>
    <w:p w14:paraId="59F5F6AD" w14:textId="77777777" w:rsidR="002240CF" w:rsidRDefault="002240CF" w:rsidP="00EF351B">
      <w:pPr>
        <w:rPr>
          <w:rFonts w:cs="Times New Roman"/>
          <w:b/>
          <w:bCs/>
        </w:rPr>
      </w:pPr>
    </w:p>
    <w:p w14:paraId="5E84C74E" w14:textId="32C534D3" w:rsidR="00683FBC" w:rsidRPr="00683FBC" w:rsidRDefault="00683FBC" w:rsidP="00EF351B">
      <w:pPr>
        <w:rPr>
          <w:rFonts w:cs="Times New Roman"/>
          <w:bCs/>
        </w:rPr>
      </w:pPr>
      <w:r>
        <w:rPr>
          <w:rFonts w:cs="Times New Roman"/>
          <w:b/>
          <w:bCs/>
        </w:rPr>
        <w:lastRenderedPageBreak/>
        <w:t>Table 2</w:t>
      </w:r>
      <w:r>
        <w:rPr>
          <w:rFonts w:cs="Times New Roman"/>
          <w:bCs/>
        </w:rPr>
        <w:t>: Primer sequences for LRPCR. Other cell lines may need adaptation of these sequences.</w:t>
      </w:r>
    </w:p>
    <w:tbl>
      <w:tblPr>
        <w:tblStyle w:val="TableGrid"/>
        <w:tblpPr w:leftFromText="180" w:rightFromText="180" w:vertAnchor="text" w:tblpY="97"/>
        <w:tblW w:w="0" w:type="auto"/>
        <w:tblLook w:val="04A0" w:firstRow="1" w:lastRow="0" w:firstColumn="1" w:lastColumn="0" w:noHBand="0" w:noVBand="1"/>
      </w:tblPr>
      <w:tblGrid>
        <w:gridCol w:w="1548"/>
        <w:gridCol w:w="7468"/>
      </w:tblGrid>
      <w:tr w:rsidR="00EF351B" w:rsidRPr="009343EE" w14:paraId="7E733556" w14:textId="77777777" w:rsidTr="008F771D">
        <w:tc>
          <w:tcPr>
            <w:tcW w:w="1548" w:type="dxa"/>
          </w:tcPr>
          <w:p w14:paraId="6C7EDCB9" w14:textId="77777777" w:rsidR="00EF351B" w:rsidRPr="009343EE" w:rsidRDefault="00EF351B" w:rsidP="008F771D">
            <w:pPr>
              <w:rPr>
                <w:rFonts w:cs="Times New Roman"/>
              </w:rPr>
            </w:pPr>
            <w:r w:rsidRPr="009343EE">
              <w:rPr>
                <w:rFonts w:cs="Times New Roman"/>
              </w:rPr>
              <w:t>Primer</w:t>
            </w:r>
          </w:p>
        </w:tc>
        <w:tc>
          <w:tcPr>
            <w:tcW w:w="7468" w:type="dxa"/>
          </w:tcPr>
          <w:p w14:paraId="59E69872" w14:textId="77777777" w:rsidR="00EF351B" w:rsidRPr="009343EE" w:rsidRDefault="00EF351B" w:rsidP="008F771D">
            <w:pPr>
              <w:rPr>
                <w:rFonts w:cs="Times New Roman"/>
              </w:rPr>
            </w:pPr>
            <w:r w:rsidRPr="009343EE">
              <w:rPr>
                <w:rFonts w:cs="Times New Roman"/>
              </w:rPr>
              <w:t>Sequence</w:t>
            </w:r>
          </w:p>
        </w:tc>
      </w:tr>
      <w:tr w:rsidR="00EF351B" w:rsidRPr="009343EE" w14:paraId="17BB6DBC" w14:textId="77777777" w:rsidTr="008F771D">
        <w:tc>
          <w:tcPr>
            <w:tcW w:w="1548" w:type="dxa"/>
          </w:tcPr>
          <w:p w14:paraId="24D221F9" w14:textId="77777777" w:rsidR="00EF351B" w:rsidRPr="009343EE" w:rsidRDefault="00EF351B" w:rsidP="008F771D">
            <w:pPr>
              <w:rPr>
                <w:rFonts w:cs="Times New Roman"/>
              </w:rPr>
            </w:pPr>
            <w:r w:rsidRPr="009343EE">
              <w:rPr>
                <w:rFonts w:cs="Times New Roman"/>
              </w:rPr>
              <w:t>mt-490 F (X)</w:t>
            </w:r>
          </w:p>
        </w:tc>
        <w:tc>
          <w:tcPr>
            <w:tcW w:w="7468" w:type="dxa"/>
          </w:tcPr>
          <w:p w14:paraId="2C6E1F81" w14:textId="77777777" w:rsidR="00EF351B" w:rsidRPr="009343EE" w:rsidRDefault="00EF351B" w:rsidP="008F771D">
            <w:pPr>
              <w:rPr>
                <w:rFonts w:cs="Times New Roman"/>
              </w:rPr>
            </w:pPr>
            <w:r w:rsidRPr="009343EE">
              <w:rPr>
                <w:rFonts w:cs="Times New Roman"/>
              </w:rPr>
              <w:t>5’ - GGA TTA GAT ACC CCA CTA TGC TT – 3’</w:t>
            </w:r>
          </w:p>
        </w:tc>
      </w:tr>
      <w:tr w:rsidR="00EF351B" w:rsidRPr="009343EE" w14:paraId="363A795F" w14:textId="77777777" w:rsidTr="008F771D">
        <w:tc>
          <w:tcPr>
            <w:tcW w:w="1548" w:type="dxa"/>
          </w:tcPr>
          <w:p w14:paraId="0C6D7EEC" w14:textId="77777777" w:rsidR="00EF351B" w:rsidRPr="009343EE" w:rsidRDefault="00EF351B" w:rsidP="008F771D">
            <w:pPr>
              <w:rPr>
                <w:rFonts w:cs="Times New Roman"/>
              </w:rPr>
            </w:pPr>
            <w:r w:rsidRPr="009343EE">
              <w:rPr>
                <w:rFonts w:cs="Times New Roman"/>
              </w:rPr>
              <w:t>mt-9304 R (X)</w:t>
            </w:r>
          </w:p>
        </w:tc>
        <w:tc>
          <w:tcPr>
            <w:tcW w:w="7468" w:type="dxa"/>
          </w:tcPr>
          <w:p w14:paraId="5FAACAFF" w14:textId="77777777" w:rsidR="00EF351B" w:rsidRPr="009343EE" w:rsidRDefault="00EF351B" w:rsidP="008F771D">
            <w:pPr>
              <w:rPr>
                <w:rFonts w:cs="Times New Roman"/>
              </w:rPr>
            </w:pPr>
            <w:r w:rsidRPr="009343EE">
              <w:rPr>
                <w:rFonts w:cs="Times New Roman"/>
              </w:rPr>
              <w:t>5’ – ATG CTG CGG CTT CAA ATC CG – 3’</w:t>
            </w:r>
          </w:p>
        </w:tc>
      </w:tr>
      <w:tr w:rsidR="00EF351B" w:rsidRPr="009343EE" w14:paraId="50BB9AB6" w14:textId="77777777" w:rsidTr="008F771D">
        <w:tc>
          <w:tcPr>
            <w:tcW w:w="1548" w:type="dxa"/>
          </w:tcPr>
          <w:p w14:paraId="7C4EF817" w14:textId="77777777" w:rsidR="00EF351B" w:rsidRPr="009343EE" w:rsidRDefault="00EF351B" w:rsidP="008F771D">
            <w:pPr>
              <w:rPr>
                <w:rFonts w:cs="Times New Roman"/>
              </w:rPr>
            </w:pPr>
            <w:r w:rsidRPr="009343EE">
              <w:rPr>
                <w:rFonts w:cs="Times New Roman"/>
              </w:rPr>
              <w:t>mt-9180 F (Y)</w:t>
            </w:r>
          </w:p>
        </w:tc>
        <w:tc>
          <w:tcPr>
            <w:tcW w:w="7468" w:type="dxa"/>
          </w:tcPr>
          <w:p w14:paraId="7C908E9A" w14:textId="77777777" w:rsidR="00EF351B" w:rsidRPr="009343EE" w:rsidRDefault="00EF351B" w:rsidP="008F771D">
            <w:pPr>
              <w:rPr>
                <w:rFonts w:cs="Times New Roman"/>
              </w:rPr>
            </w:pPr>
            <w:r w:rsidRPr="009343EE">
              <w:rPr>
                <w:rFonts w:cs="Times New Roman"/>
              </w:rPr>
              <w:t>5’ – ATA GCA ACA GGT TTT CAC GG – 3’</w:t>
            </w:r>
          </w:p>
        </w:tc>
      </w:tr>
      <w:tr w:rsidR="00EF351B" w:rsidRPr="009343EE" w14:paraId="52F51E76" w14:textId="77777777" w:rsidTr="008F771D">
        <w:tc>
          <w:tcPr>
            <w:tcW w:w="1548" w:type="dxa"/>
          </w:tcPr>
          <w:p w14:paraId="482B2031" w14:textId="77777777" w:rsidR="00EF351B" w:rsidRPr="009343EE" w:rsidRDefault="00EF351B" w:rsidP="008F771D">
            <w:pPr>
              <w:rPr>
                <w:rFonts w:cs="Times New Roman"/>
              </w:rPr>
            </w:pPr>
            <w:r w:rsidRPr="009343EE">
              <w:rPr>
                <w:rFonts w:cs="Times New Roman"/>
              </w:rPr>
              <w:t>mt-598 R (Y)</w:t>
            </w:r>
          </w:p>
        </w:tc>
        <w:tc>
          <w:tcPr>
            <w:tcW w:w="7468" w:type="dxa"/>
          </w:tcPr>
          <w:p w14:paraId="397EDD1B" w14:textId="77777777" w:rsidR="00EF351B" w:rsidRPr="009343EE" w:rsidRDefault="00EF351B" w:rsidP="008F771D">
            <w:pPr>
              <w:rPr>
                <w:rFonts w:cs="Times New Roman"/>
              </w:rPr>
            </w:pPr>
            <w:r w:rsidRPr="009343EE">
              <w:rPr>
                <w:rFonts w:cs="Times New Roman"/>
              </w:rPr>
              <w:t>5’- CGC CAA GTC CTT TGA GTT TTA – 3’</w:t>
            </w:r>
          </w:p>
        </w:tc>
      </w:tr>
    </w:tbl>
    <w:p w14:paraId="209E83EA" w14:textId="486EE98B" w:rsidR="00EF351B" w:rsidRDefault="00EF351B" w:rsidP="00683FBC">
      <w:pPr>
        <w:pStyle w:val="Title"/>
      </w:pPr>
    </w:p>
    <w:p w14:paraId="6C7AC6A4" w14:textId="77777777" w:rsidR="002240CF" w:rsidRDefault="002240CF" w:rsidP="00EF351B">
      <w:pPr>
        <w:rPr>
          <w:rFonts w:cs="Times New Roman"/>
        </w:rPr>
      </w:pPr>
    </w:p>
    <w:p w14:paraId="0A3026FE" w14:textId="77777777" w:rsidR="00683FBC" w:rsidRDefault="00683FBC" w:rsidP="00EF351B">
      <w:pPr>
        <w:rPr>
          <w:rFonts w:cs="Times New Roman"/>
        </w:rPr>
      </w:pPr>
    </w:p>
    <w:p w14:paraId="307CA215" w14:textId="77777777" w:rsidR="00683FBC" w:rsidRDefault="00683FBC" w:rsidP="00EF351B">
      <w:pPr>
        <w:rPr>
          <w:rFonts w:cs="Times New Roman"/>
        </w:rPr>
      </w:pPr>
    </w:p>
    <w:p w14:paraId="2FA8360B" w14:textId="77777777" w:rsidR="00683FBC" w:rsidRDefault="00683FBC" w:rsidP="00EF351B">
      <w:pPr>
        <w:rPr>
          <w:rFonts w:cs="Times New Roman"/>
        </w:rPr>
      </w:pPr>
    </w:p>
    <w:p w14:paraId="12031C53" w14:textId="77777777" w:rsidR="00683FBC" w:rsidRDefault="00683FBC" w:rsidP="00EF351B">
      <w:pPr>
        <w:rPr>
          <w:rFonts w:cs="Times New Roman"/>
        </w:rPr>
      </w:pPr>
    </w:p>
    <w:p w14:paraId="54DC3152" w14:textId="77777777" w:rsidR="00683FBC" w:rsidRDefault="00683FBC" w:rsidP="00EF351B">
      <w:pPr>
        <w:rPr>
          <w:rFonts w:cs="Times New Roman"/>
        </w:rPr>
      </w:pPr>
    </w:p>
    <w:p w14:paraId="52A1DC2A" w14:textId="77777777" w:rsidR="00683FBC" w:rsidRDefault="00683FBC" w:rsidP="00EF351B">
      <w:pPr>
        <w:rPr>
          <w:rFonts w:cs="Times New Roman"/>
        </w:rPr>
      </w:pPr>
    </w:p>
    <w:p w14:paraId="0AF4A621" w14:textId="77777777" w:rsidR="00683FBC" w:rsidRDefault="00683FBC" w:rsidP="00683FBC">
      <w:pPr>
        <w:rPr>
          <w:rFonts w:cs="Times New Roman"/>
          <w:bCs/>
        </w:rPr>
      </w:pPr>
      <w:r w:rsidRPr="009343EE">
        <w:rPr>
          <w:rFonts w:cs="Times New Roman"/>
          <w:b/>
          <w:bCs/>
        </w:rPr>
        <w:t xml:space="preserve">Table 3: </w:t>
      </w:r>
      <w:r w:rsidRPr="00EF351B">
        <w:rPr>
          <w:rFonts w:cs="Times New Roman"/>
          <w:bCs/>
        </w:rPr>
        <w:t>PCR components</w:t>
      </w:r>
    </w:p>
    <w:tbl>
      <w:tblPr>
        <w:tblStyle w:val="TableGrid"/>
        <w:tblW w:w="0" w:type="auto"/>
        <w:tblLook w:val="04A0" w:firstRow="1" w:lastRow="0" w:firstColumn="1" w:lastColumn="0" w:noHBand="0" w:noVBand="1"/>
      </w:tblPr>
      <w:tblGrid>
        <w:gridCol w:w="2122"/>
        <w:gridCol w:w="2126"/>
        <w:gridCol w:w="2410"/>
        <w:gridCol w:w="2358"/>
      </w:tblGrid>
      <w:tr w:rsidR="00EF351B" w:rsidRPr="009343EE" w14:paraId="266A34F7" w14:textId="77777777" w:rsidTr="00683FBC">
        <w:tc>
          <w:tcPr>
            <w:tcW w:w="2122" w:type="dxa"/>
          </w:tcPr>
          <w:p w14:paraId="7C3762D3" w14:textId="77777777" w:rsidR="00EF351B" w:rsidRPr="009343EE" w:rsidRDefault="00EF351B" w:rsidP="00683FBC">
            <w:pPr>
              <w:rPr>
                <w:rFonts w:cs="Times New Roman"/>
                <w:b/>
                <w:bCs/>
              </w:rPr>
            </w:pPr>
            <w:r w:rsidRPr="009343EE">
              <w:rPr>
                <w:rFonts w:cs="Times New Roman"/>
                <w:b/>
                <w:bCs/>
              </w:rPr>
              <w:t>Reagent</w:t>
            </w:r>
          </w:p>
        </w:tc>
        <w:tc>
          <w:tcPr>
            <w:tcW w:w="2126" w:type="dxa"/>
          </w:tcPr>
          <w:p w14:paraId="73D7290B" w14:textId="77777777" w:rsidR="00EF351B" w:rsidRPr="009343EE" w:rsidRDefault="00EF351B" w:rsidP="00683FBC">
            <w:pPr>
              <w:rPr>
                <w:rFonts w:cs="Times New Roman"/>
                <w:b/>
                <w:bCs/>
              </w:rPr>
            </w:pPr>
            <w:r w:rsidRPr="009343EE">
              <w:rPr>
                <w:rFonts w:cs="Times New Roman"/>
                <w:b/>
                <w:bCs/>
              </w:rPr>
              <w:t>Volume per Rx (</w:t>
            </w:r>
            <w:proofErr w:type="spellStart"/>
            <w:r w:rsidRPr="009343EE">
              <w:rPr>
                <w:rFonts w:cs="Times New Roman"/>
                <w:b/>
                <w:bCs/>
              </w:rPr>
              <w:t>uL</w:t>
            </w:r>
            <w:proofErr w:type="spellEnd"/>
            <w:r w:rsidRPr="009343EE">
              <w:rPr>
                <w:rFonts w:cs="Times New Roman"/>
                <w:b/>
                <w:bCs/>
              </w:rPr>
              <w:t>)</w:t>
            </w:r>
          </w:p>
        </w:tc>
        <w:tc>
          <w:tcPr>
            <w:tcW w:w="2410" w:type="dxa"/>
          </w:tcPr>
          <w:p w14:paraId="204E7685" w14:textId="77777777" w:rsidR="00EF351B" w:rsidRPr="009343EE" w:rsidRDefault="00EF351B" w:rsidP="00683FBC">
            <w:pPr>
              <w:rPr>
                <w:rFonts w:cs="Times New Roman"/>
                <w:b/>
                <w:bCs/>
              </w:rPr>
            </w:pPr>
            <w:r w:rsidRPr="009343EE">
              <w:rPr>
                <w:rFonts w:cs="Times New Roman"/>
                <w:b/>
                <w:bCs/>
              </w:rPr>
              <w:t xml:space="preserve">10x </w:t>
            </w:r>
            <w:proofErr w:type="spellStart"/>
            <w:r w:rsidRPr="009343EE">
              <w:rPr>
                <w:rFonts w:cs="Times New Roman"/>
                <w:b/>
                <w:bCs/>
              </w:rPr>
              <w:t>Mastermix</w:t>
            </w:r>
            <w:proofErr w:type="spellEnd"/>
            <w:r w:rsidRPr="009343EE">
              <w:rPr>
                <w:rFonts w:cs="Times New Roman"/>
                <w:b/>
                <w:bCs/>
              </w:rPr>
              <w:t xml:space="preserve"> (</w:t>
            </w:r>
            <w:proofErr w:type="spellStart"/>
            <w:r w:rsidRPr="009343EE">
              <w:rPr>
                <w:rFonts w:cs="Times New Roman"/>
                <w:b/>
                <w:bCs/>
              </w:rPr>
              <w:t>uL</w:t>
            </w:r>
            <w:proofErr w:type="spellEnd"/>
            <w:r w:rsidRPr="009343EE">
              <w:rPr>
                <w:rFonts w:cs="Times New Roman"/>
                <w:b/>
                <w:bCs/>
              </w:rPr>
              <w:t>) X</w:t>
            </w:r>
          </w:p>
        </w:tc>
        <w:tc>
          <w:tcPr>
            <w:tcW w:w="2358" w:type="dxa"/>
          </w:tcPr>
          <w:p w14:paraId="7D2598F7" w14:textId="77777777" w:rsidR="00EF351B" w:rsidRPr="009343EE" w:rsidRDefault="00EF351B" w:rsidP="00683FBC">
            <w:pPr>
              <w:rPr>
                <w:rFonts w:cs="Times New Roman"/>
                <w:b/>
                <w:bCs/>
              </w:rPr>
            </w:pPr>
            <w:r w:rsidRPr="009343EE">
              <w:rPr>
                <w:rFonts w:cs="Times New Roman"/>
                <w:b/>
                <w:bCs/>
              </w:rPr>
              <w:t xml:space="preserve">10x </w:t>
            </w:r>
            <w:proofErr w:type="spellStart"/>
            <w:r w:rsidRPr="009343EE">
              <w:rPr>
                <w:rFonts w:cs="Times New Roman"/>
                <w:b/>
                <w:bCs/>
              </w:rPr>
              <w:t>Mastermix</w:t>
            </w:r>
            <w:proofErr w:type="spellEnd"/>
            <w:r w:rsidRPr="009343EE">
              <w:rPr>
                <w:rFonts w:cs="Times New Roman"/>
                <w:b/>
                <w:bCs/>
              </w:rPr>
              <w:t xml:space="preserve"> (</w:t>
            </w:r>
            <w:proofErr w:type="spellStart"/>
            <w:r w:rsidRPr="009343EE">
              <w:rPr>
                <w:rFonts w:cs="Times New Roman"/>
                <w:b/>
                <w:bCs/>
              </w:rPr>
              <w:t>uL</w:t>
            </w:r>
            <w:proofErr w:type="spellEnd"/>
            <w:r w:rsidRPr="009343EE">
              <w:rPr>
                <w:rFonts w:cs="Times New Roman"/>
                <w:b/>
                <w:bCs/>
              </w:rPr>
              <w:t>) Y</w:t>
            </w:r>
          </w:p>
        </w:tc>
      </w:tr>
      <w:tr w:rsidR="00EF351B" w:rsidRPr="009343EE" w14:paraId="1D4655B5" w14:textId="77777777" w:rsidTr="00683FBC">
        <w:tc>
          <w:tcPr>
            <w:tcW w:w="2122" w:type="dxa"/>
          </w:tcPr>
          <w:p w14:paraId="537EBDAC" w14:textId="77777777" w:rsidR="00EF351B" w:rsidRPr="009343EE" w:rsidRDefault="00EF351B" w:rsidP="00683FBC">
            <w:pPr>
              <w:rPr>
                <w:rFonts w:cs="Times New Roman"/>
              </w:rPr>
            </w:pPr>
            <w:r w:rsidRPr="009343EE">
              <w:rPr>
                <w:rFonts w:cs="Times New Roman"/>
              </w:rPr>
              <w:t>5x Buffer</w:t>
            </w:r>
          </w:p>
        </w:tc>
        <w:tc>
          <w:tcPr>
            <w:tcW w:w="2126" w:type="dxa"/>
          </w:tcPr>
          <w:p w14:paraId="403F5670" w14:textId="77777777" w:rsidR="00EF351B" w:rsidRPr="009343EE" w:rsidRDefault="00EF351B" w:rsidP="00683FBC">
            <w:pPr>
              <w:rPr>
                <w:rFonts w:cs="Times New Roman"/>
              </w:rPr>
            </w:pPr>
            <w:r w:rsidRPr="009343EE">
              <w:rPr>
                <w:rFonts w:cs="Times New Roman"/>
              </w:rPr>
              <w:t>5</w:t>
            </w:r>
          </w:p>
        </w:tc>
        <w:tc>
          <w:tcPr>
            <w:tcW w:w="2410" w:type="dxa"/>
          </w:tcPr>
          <w:p w14:paraId="58E3D031" w14:textId="77777777" w:rsidR="00EF351B" w:rsidRPr="009343EE" w:rsidRDefault="00EF351B" w:rsidP="00683FBC">
            <w:pPr>
              <w:rPr>
                <w:rFonts w:cs="Times New Roman"/>
              </w:rPr>
            </w:pPr>
            <w:r w:rsidRPr="009343EE">
              <w:rPr>
                <w:rFonts w:cs="Times New Roman"/>
              </w:rPr>
              <w:t>50</w:t>
            </w:r>
          </w:p>
        </w:tc>
        <w:tc>
          <w:tcPr>
            <w:tcW w:w="2358" w:type="dxa"/>
          </w:tcPr>
          <w:p w14:paraId="36B6C8E9" w14:textId="77777777" w:rsidR="00EF351B" w:rsidRPr="009343EE" w:rsidRDefault="00EF351B" w:rsidP="00683FBC">
            <w:pPr>
              <w:rPr>
                <w:rFonts w:cs="Times New Roman"/>
              </w:rPr>
            </w:pPr>
            <w:r w:rsidRPr="009343EE">
              <w:rPr>
                <w:rFonts w:cs="Times New Roman"/>
              </w:rPr>
              <w:t>50</w:t>
            </w:r>
          </w:p>
        </w:tc>
      </w:tr>
      <w:tr w:rsidR="00EF351B" w:rsidRPr="009343EE" w14:paraId="6E12003E" w14:textId="77777777" w:rsidTr="00683FBC">
        <w:tc>
          <w:tcPr>
            <w:tcW w:w="2122" w:type="dxa"/>
          </w:tcPr>
          <w:p w14:paraId="2E52CA09" w14:textId="77777777" w:rsidR="00EF351B" w:rsidRPr="009343EE" w:rsidRDefault="00EF351B" w:rsidP="00683FBC">
            <w:pPr>
              <w:rPr>
                <w:rFonts w:cs="Times New Roman"/>
              </w:rPr>
            </w:pPr>
            <w:r w:rsidRPr="009343EE">
              <w:rPr>
                <w:rFonts w:cs="Times New Roman"/>
              </w:rPr>
              <w:t>10mM DNTP mix</w:t>
            </w:r>
          </w:p>
        </w:tc>
        <w:tc>
          <w:tcPr>
            <w:tcW w:w="2126" w:type="dxa"/>
          </w:tcPr>
          <w:p w14:paraId="391D8779" w14:textId="77777777" w:rsidR="00EF351B" w:rsidRPr="009343EE" w:rsidRDefault="00EF351B" w:rsidP="00683FBC">
            <w:pPr>
              <w:rPr>
                <w:rFonts w:cs="Times New Roman"/>
              </w:rPr>
            </w:pPr>
            <w:r w:rsidRPr="009343EE">
              <w:rPr>
                <w:rFonts w:cs="Times New Roman"/>
              </w:rPr>
              <w:t>0.5</w:t>
            </w:r>
          </w:p>
        </w:tc>
        <w:tc>
          <w:tcPr>
            <w:tcW w:w="2410" w:type="dxa"/>
          </w:tcPr>
          <w:p w14:paraId="3CE2FC62" w14:textId="77777777" w:rsidR="00EF351B" w:rsidRPr="009343EE" w:rsidRDefault="00EF351B" w:rsidP="00683FBC">
            <w:pPr>
              <w:rPr>
                <w:rFonts w:cs="Times New Roman"/>
              </w:rPr>
            </w:pPr>
            <w:r w:rsidRPr="009343EE">
              <w:rPr>
                <w:rFonts w:cs="Times New Roman"/>
              </w:rPr>
              <w:t>5</w:t>
            </w:r>
          </w:p>
        </w:tc>
        <w:tc>
          <w:tcPr>
            <w:tcW w:w="2358" w:type="dxa"/>
          </w:tcPr>
          <w:p w14:paraId="6AF903C1" w14:textId="77777777" w:rsidR="00EF351B" w:rsidRPr="009343EE" w:rsidRDefault="00EF351B" w:rsidP="00683FBC">
            <w:pPr>
              <w:rPr>
                <w:rFonts w:cs="Times New Roman"/>
              </w:rPr>
            </w:pPr>
            <w:r w:rsidRPr="009343EE">
              <w:rPr>
                <w:rFonts w:cs="Times New Roman"/>
              </w:rPr>
              <w:t>5</w:t>
            </w:r>
          </w:p>
        </w:tc>
      </w:tr>
      <w:tr w:rsidR="00EF351B" w:rsidRPr="009343EE" w14:paraId="48B98A96" w14:textId="77777777" w:rsidTr="00683FBC">
        <w:tc>
          <w:tcPr>
            <w:tcW w:w="2122" w:type="dxa"/>
          </w:tcPr>
          <w:p w14:paraId="43A0318D" w14:textId="77777777" w:rsidR="00EF351B" w:rsidRPr="009343EE" w:rsidRDefault="00EF351B" w:rsidP="00683FBC">
            <w:pPr>
              <w:rPr>
                <w:rFonts w:cs="Times New Roman"/>
              </w:rPr>
            </w:pPr>
            <w:r w:rsidRPr="009343EE">
              <w:rPr>
                <w:rFonts w:cs="Times New Roman"/>
              </w:rPr>
              <w:t>10uM Primer F</w:t>
            </w:r>
          </w:p>
        </w:tc>
        <w:tc>
          <w:tcPr>
            <w:tcW w:w="2126" w:type="dxa"/>
          </w:tcPr>
          <w:p w14:paraId="7399BEC5" w14:textId="77777777" w:rsidR="00EF351B" w:rsidRPr="009343EE" w:rsidRDefault="00EF351B" w:rsidP="00683FBC">
            <w:pPr>
              <w:rPr>
                <w:rFonts w:cs="Times New Roman"/>
              </w:rPr>
            </w:pPr>
            <w:r w:rsidRPr="009343EE">
              <w:rPr>
                <w:rFonts w:cs="Times New Roman"/>
              </w:rPr>
              <w:t>1</w:t>
            </w:r>
          </w:p>
        </w:tc>
        <w:tc>
          <w:tcPr>
            <w:tcW w:w="2410" w:type="dxa"/>
          </w:tcPr>
          <w:p w14:paraId="6C386F85" w14:textId="77777777" w:rsidR="00EF351B" w:rsidRPr="009343EE" w:rsidRDefault="00EF351B" w:rsidP="00683FBC">
            <w:pPr>
              <w:rPr>
                <w:rFonts w:cs="Times New Roman"/>
              </w:rPr>
            </w:pPr>
            <w:r w:rsidRPr="009343EE">
              <w:rPr>
                <w:rFonts w:cs="Times New Roman"/>
              </w:rPr>
              <w:t>10 (X primer)</w:t>
            </w:r>
          </w:p>
        </w:tc>
        <w:tc>
          <w:tcPr>
            <w:tcW w:w="2358" w:type="dxa"/>
          </w:tcPr>
          <w:p w14:paraId="4C1B2725" w14:textId="77777777" w:rsidR="00EF351B" w:rsidRPr="009343EE" w:rsidRDefault="00EF351B" w:rsidP="00683FBC">
            <w:pPr>
              <w:rPr>
                <w:rFonts w:cs="Times New Roman"/>
              </w:rPr>
            </w:pPr>
            <w:r w:rsidRPr="009343EE">
              <w:rPr>
                <w:rFonts w:cs="Times New Roman"/>
              </w:rPr>
              <w:t>10 (Y primer)</w:t>
            </w:r>
          </w:p>
        </w:tc>
      </w:tr>
      <w:tr w:rsidR="00EF351B" w:rsidRPr="009343EE" w14:paraId="51AF8AC5" w14:textId="77777777" w:rsidTr="00683FBC">
        <w:tc>
          <w:tcPr>
            <w:tcW w:w="2122" w:type="dxa"/>
          </w:tcPr>
          <w:p w14:paraId="110675A9" w14:textId="77777777" w:rsidR="00EF351B" w:rsidRPr="009343EE" w:rsidRDefault="00EF351B" w:rsidP="00683FBC">
            <w:pPr>
              <w:rPr>
                <w:rFonts w:cs="Times New Roman"/>
              </w:rPr>
            </w:pPr>
            <w:r w:rsidRPr="009343EE">
              <w:rPr>
                <w:rFonts w:cs="Times New Roman"/>
              </w:rPr>
              <w:t>10uM Primer R</w:t>
            </w:r>
          </w:p>
        </w:tc>
        <w:tc>
          <w:tcPr>
            <w:tcW w:w="2126" w:type="dxa"/>
          </w:tcPr>
          <w:p w14:paraId="3FDC8DB7" w14:textId="77777777" w:rsidR="00EF351B" w:rsidRPr="009343EE" w:rsidRDefault="00EF351B" w:rsidP="00683FBC">
            <w:pPr>
              <w:rPr>
                <w:rFonts w:cs="Times New Roman"/>
              </w:rPr>
            </w:pPr>
            <w:r w:rsidRPr="009343EE">
              <w:rPr>
                <w:rFonts w:cs="Times New Roman"/>
              </w:rPr>
              <w:t>1</w:t>
            </w:r>
          </w:p>
        </w:tc>
        <w:tc>
          <w:tcPr>
            <w:tcW w:w="2410" w:type="dxa"/>
          </w:tcPr>
          <w:p w14:paraId="0B357D9A" w14:textId="77777777" w:rsidR="00EF351B" w:rsidRPr="009343EE" w:rsidRDefault="00EF351B" w:rsidP="00683FBC">
            <w:pPr>
              <w:rPr>
                <w:rFonts w:cs="Times New Roman"/>
              </w:rPr>
            </w:pPr>
            <w:r w:rsidRPr="009343EE">
              <w:rPr>
                <w:rFonts w:cs="Times New Roman"/>
              </w:rPr>
              <w:t>10 (X primer)</w:t>
            </w:r>
          </w:p>
        </w:tc>
        <w:tc>
          <w:tcPr>
            <w:tcW w:w="2358" w:type="dxa"/>
          </w:tcPr>
          <w:p w14:paraId="1E202170" w14:textId="77777777" w:rsidR="00EF351B" w:rsidRPr="009343EE" w:rsidRDefault="00EF351B" w:rsidP="00683FBC">
            <w:pPr>
              <w:rPr>
                <w:rFonts w:cs="Times New Roman"/>
              </w:rPr>
            </w:pPr>
            <w:r w:rsidRPr="009343EE">
              <w:rPr>
                <w:rFonts w:cs="Times New Roman"/>
              </w:rPr>
              <w:t>10 (Y primer)</w:t>
            </w:r>
          </w:p>
        </w:tc>
      </w:tr>
      <w:tr w:rsidR="00EF351B" w:rsidRPr="009343EE" w14:paraId="543843C5" w14:textId="77777777" w:rsidTr="00683FBC">
        <w:tc>
          <w:tcPr>
            <w:tcW w:w="2122" w:type="dxa"/>
          </w:tcPr>
          <w:p w14:paraId="566B9389" w14:textId="77777777" w:rsidR="00EF351B" w:rsidRPr="009343EE" w:rsidRDefault="00EF351B" w:rsidP="00683FBC">
            <w:pPr>
              <w:rPr>
                <w:rFonts w:cs="Times New Roman"/>
              </w:rPr>
            </w:pPr>
            <w:r w:rsidRPr="009343EE">
              <w:rPr>
                <w:rFonts w:cs="Times New Roman"/>
              </w:rPr>
              <w:t>Nuclease-free H2O</w:t>
            </w:r>
          </w:p>
        </w:tc>
        <w:tc>
          <w:tcPr>
            <w:tcW w:w="2126" w:type="dxa"/>
          </w:tcPr>
          <w:p w14:paraId="7807E527" w14:textId="77777777" w:rsidR="00EF351B" w:rsidRPr="009343EE" w:rsidRDefault="00EF351B" w:rsidP="00683FBC">
            <w:pPr>
              <w:rPr>
                <w:rFonts w:cs="Times New Roman"/>
              </w:rPr>
            </w:pPr>
            <w:r w:rsidRPr="009343EE">
              <w:rPr>
                <w:rFonts w:cs="Times New Roman"/>
              </w:rPr>
              <w:t>8.5</w:t>
            </w:r>
          </w:p>
        </w:tc>
        <w:tc>
          <w:tcPr>
            <w:tcW w:w="2410" w:type="dxa"/>
          </w:tcPr>
          <w:p w14:paraId="61EF0912" w14:textId="77777777" w:rsidR="00EF351B" w:rsidRPr="009343EE" w:rsidRDefault="00EF351B" w:rsidP="00683FBC">
            <w:pPr>
              <w:rPr>
                <w:rFonts w:cs="Times New Roman"/>
              </w:rPr>
            </w:pPr>
            <w:r w:rsidRPr="009343EE">
              <w:rPr>
                <w:rFonts w:cs="Times New Roman"/>
              </w:rPr>
              <w:t>85</w:t>
            </w:r>
          </w:p>
        </w:tc>
        <w:tc>
          <w:tcPr>
            <w:tcW w:w="2358" w:type="dxa"/>
          </w:tcPr>
          <w:p w14:paraId="2A3BD3C7" w14:textId="77777777" w:rsidR="00EF351B" w:rsidRPr="009343EE" w:rsidRDefault="00EF351B" w:rsidP="00683FBC">
            <w:pPr>
              <w:rPr>
                <w:rFonts w:cs="Times New Roman"/>
              </w:rPr>
            </w:pPr>
            <w:r w:rsidRPr="009343EE">
              <w:rPr>
                <w:rFonts w:cs="Times New Roman"/>
              </w:rPr>
              <w:t>85</w:t>
            </w:r>
          </w:p>
        </w:tc>
      </w:tr>
      <w:tr w:rsidR="00EF351B" w:rsidRPr="009343EE" w14:paraId="5BC92F9B" w14:textId="77777777" w:rsidTr="00683FBC">
        <w:tc>
          <w:tcPr>
            <w:tcW w:w="2122" w:type="dxa"/>
          </w:tcPr>
          <w:p w14:paraId="0D8CCB8A" w14:textId="77777777" w:rsidR="00EF351B" w:rsidRPr="009343EE" w:rsidRDefault="00EF351B" w:rsidP="00683FBC">
            <w:pPr>
              <w:rPr>
                <w:rFonts w:cs="Times New Roman"/>
              </w:rPr>
            </w:pPr>
            <w:proofErr w:type="spellStart"/>
            <w:r w:rsidRPr="009343EE">
              <w:rPr>
                <w:rFonts w:cs="Times New Roman"/>
              </w:rPr>
              <w:t>SuperFi</w:t>
            </w:r>
            <w:proofErr w:type="spellEnd"/>
            <w:r w:rsidRPr="009343EE">
              <w:rPr>
                <w:rFonts w:cs="Times New Roman"/>
              </w:rPr>
              <w:t xml:space="preserve"> II DNA Polymerase</w:t>
            </w:r>
          </w:p>
        </w:tc>
        <w:tc>
          <w:tcPr>
            <w:tcW w:w="2126" w:type="dxa"/>
          </w:tcPr>
          <w:p w14:paraId="6D6920FB" w14:textId="77777777" w:rsidR="00EF351B" w:rsidRPr="009343EE" w:rsidRDefault="00EF351B" w:rsidP="00683FBC">
            <w:pPr>
              <w:rPr>
                <w:rFonts w:cs="Times New Roman"/>
              </w:rPr>
            </w:pPr>
            <w:r w:rsidRPr="009343EE">
              <w:rPr>
                <w:rFonts w:cs="Times New Roman"/>
              </w:rPr>
              <w:t>0.5</w:t>
            </w:r>
          </w:p>
        </w:tc>
        <w:tc>
          <w:tcPr>
            <w:tcW w:w="2410" w:type="dxa"/>
          </w:tcPr>
          <w:p w14:paraId="752331B2" w14:textId="77777777" w:rsidR="00EF351B" w:rsidRPr="009343EE" w:rsidRDefault="00EF351B" w:rsidP="00683FBC">
            <w:pPr>
              <w:rPr>
                <w:rFonts w:cs="Times New Roman"/>
              </w:rPr>
            </w:pPr>
            <w:r w:rsidRPr="009343EE">
              <w:rPr>
                <w:rFonts w:cs="Times New Roman"/>
              </w:rPr>
              <w:t>5</w:t>
            </w:r>
          </w:p>
        </w:tc>
        <w:tc>
          <w:tcPr>
            <w:tcW w:w="2358" w:type="dxa"/>
          </w:tcPr>
          <w:p w14:paraId="623664E2" w14:textId="77777777" w:rsidR="00EF351B" w:rsidRPr="009343EE" w:rsidRDefault="00EF351B" w:rsidP="00683FBC">
            <w:pPr>
              <w:rPr>
                <w:rFonts w:cs="Times New Roman"/>
              </w:rPr>
            </w:pPr>
            <w:r w:rsidRPr="009343EE">
              <w:rPr>
                <w:rFonts w:cs="Times New Roman"/>
              </w:rPr>
              <w:t>5</w:t>
            </w:r>
          </w:p>
        </w:tc>
      </w:tr>
      <w:tr w:rsidR="00EF351B" w:rsidRPr="009343EE" w14:paraId="683366A8" w14:textId="77777777" w:rsidTr="00683FBC">
        <w:tc>
          <w:tcPr>
            <w:tcW w:w="2122" w:type="dxa"/>
          </w:tcPr>
          <w:p w14:paraId="503430AA" w14:textId="77777777" w:rsidR="00EF351B" w:rsidRPr="009343EE" w:rsidRDefault="00EF351B" w:rsidP="00683FBC">
            <w:pPr>
              <w:rPr>
                <w:rFonts w:cs="Times New Roman"/>
                <w:b/>
                <w:bCs/>
              </w:rPr>
            </w:pPr>
            <w:r w:rsidRPr="009343EE">
              <w:rPr>
                <w:rFonts w:cs="Times New Roman"/>
                <w:b/>
                <w:bCs/>
              </w:rPr>
              <w:t>TOTAL</w:t>
            </w:r>
          </w:p>
        </w:tc>
        <w:tc>
          <w:tcPr>
            <w:tcW w:w="2126" w:type="dxa"/>
          </w:tcPr>
          <w:p w14:paraId="7D3BBE0C" w14:textId="77777777" w:rsidR="00EF351B" w:rsidRPr="009343EE" w:rsidRDefault="00EF351B" w:rsidP="00683FBC">
            <w:pPr>
              <w:rPr>
                <w:rFonts w:cs="Times New Roman"/>
                <w:b/>
                <w:bCs/>
              </w:rPr>
            </w:pPr>
            <w:r w:rsidRPr="009343EE">
              <w:rPr>
                <w:rFonts w:cs="Times New Roman"/>
                <w:b/>
                <w:bCs/>
              </w:rPr>
              <w:t>16.5</w:t>
            </w:r>
          </w:p>
        </w:tc>
        <w:tc>
          <w:tcPr>
            <w:tcW w:w="2410" w:type="dxa"/>
          </w:tcPr>
          <w:p w14:paraId="77F6DFD2" w14:textId="77777777" w:rsidR="00EF351B" w:rsidRPr="009343EE" w:rsidRDefault="00EF351B" w:rsidP="00683FBC">
            <w:pPr>
              <w:rPr>
                <w:rFonts w:cs="Times New Roman"/>
                <w:b/>
                <w:bCs/>
              </w:rPr>
            </w:pPr>
            <w:r w:rsidRPr="009343EE">
              <w:rPr>
                <w:rFonts w:cs="Times New Roman"/>
                <w:b/>
                <w:bCs/>
              </w:rPr>
              <w:t>165</w:t>
            </w:r>
          </w:p>
        </w:tc>
        <w:tc>
          <w:tcPr>
            <w:tcW w:w="2358" w:type="dxa"/>
          </w:tcPr>
          <w:p w14:paraId="54F57918" w14:textId="77777777" w:rsidR="00EF351B" w:rsidRPr="009343EE" w:rsidRDefault="00EF351B" w:rsidP="00683FBC">
            <w:pPr>
              <w:rPr>
                <w:rFonts w:cs="Times New Roman"/>
                <w:b/>
                <w:bCs/>
              </w:rPr>
            </w:pPr>
            <w:r w:rsidRPr="009343EE">
              <w:rPr>
                <w:rFonts w:cs="Times New Roman"/>
                <w:b/>
                <w:bCs/>
              </w:rPr>
              <w:t>165</w:t>
            </w:r>
          </w:p>
        </w:tc>
      </w:tr>
    </w:tbl>
    <w:p w14:paraId="25C6D5F4" w14:textId="77777777" w:rsidR="00683FBC" w:rsidRDefault="00683FBC" w:rsidP="00EF351B">
      <w:pPr>
        <w:rPr>
          <w:rFonts w:cs="Times New Roman"/>
          <w:bCs/>
        </w:rPr>
      </w:pPr>
    </w:p>
    <w:p w14:paraId="568CEFD3" w14:textId="77777777" w:rsidR="00683FBC" w:rsidRDefault="00683FBC" w:rsidP="00683FBC">
      <w:pPr>
        <w:rPr>
          <w:rFonts w:cs="Times New Roman"/>
          <w:bCs/>
        </w:rPr>
      </w:pPr>
      <w:r w:rsidRPr="009343EE">
        <w:rPr>
          <w:rFonts w:cs="Times New Roman"/>
          <w:b/>
          <w:bCs/>
        </w:rPr>
        <w:t xml:space="preserve">Table 4: </w:t>
      </w:r>
      <w:r w:rsidRPr="00EF351B">
        <w:rPr>
          <w:rFonts w:cs="Times New Roman"/>
          <w:bCs/>
        </w:rPr>
        <w:t>PCR settings</w:t>
      </w:r>
    </w:p>
    <w:tbl>
      <w:tblPr>
        <w:tblStyle w:val="TableGrid"/>
        <w:tblW w:w="0" w:type="auto"/>
        <w:tblLook w:val="04A0" w:firstRow="1" w:lastRow="0" w:firstColumn="1" w:lastColumn="0" w:noHBand="0" w:noVBand="1"/>
      </w:tblPr>
      <w:tblGrid>
        <w:gridCol w:w="3258"/>
        <w:gridCol w:w="3280"/>
        <w:gridCol w:w="3229"/>
      </w:tblGrid>
      <w:tr w:rsidR="00EF351B" w:rsidRPr="009343EE" w14:paraId="1951333B" w14:textId="77777777" w:rsidTr="00683FBC">
        <w:tc>
          <w:tcPr>
            <w:tcW w:w="3258" w:type="dxa"/>
          </w:tcPr>
          <w:p w14:paraId="6F5F36F5" w14:textId="77777777" w:rsidR="00EF351B" w:rsidRPr="009343EE" w:rsidRDefault="00EF351B" w:rsidP="008F771D">
            <w:pPr>
              <w:rPr>
                <w:rFonts w:cs="Times New Roman"/>
              </w:rPr>
            </w:pPr>
            <w:r w:rsidRPr="009343EE">
              <w:rPr>
                <w:rFonts w:cs="Times New Roman"/>
              </w:rPr>
              <w:t>Step</w:t>
            </w:r>
          </w:p>
        </w:tc>
        <w:tc>
          <w:tcPr>
            <w:tcW w:w="3280" w:type="dxa"/>
          </w:tcPr>
          <w:p w14:paraId="32CC4B04" w14:textId="77777777" w:rsidR="00EF351B" w:rsidRPr="009343EE" w:rsidRDefault="00EF351B" w:rsidP="008F771D">
            <w:pPr>
              <w:rPr>
                <w:rFonts w:cs="Times New Roman"/>
              </w:rPr>
            </w:pPr>
            <w:r w:rsidRPr="009343EE">
              <w:rPr>
                <w:rFonts w:cs="Times New Roman"/>
              </w:rPr>
              <w:t>Temperature (°C)</w:t>
            </w:r>
          </w:p>
        </w:tc>
        <w:tc>
          <w:tcPr>
            <w:tcW w:w="3229" w:type="dxa"/>
          </w:tcPr>
          <w:p w14:paraId="6266B596" w14:textId="77777777" w:rsidR="00EF351B" w:rsidRPr="009343EE" w:rsidRDefault="00EF351B" w:rsidP="008F771D">
            <w:pPr>
              <w:rPr>
                <w:rFonts w:cs="Times New Roman"/>
              </w:rPr>
            </w:pPr>
            <w:r w:rsidRPr="009343EE">
              <w:rPr>
                <w:rFonts w:cs="Times New Roman"/>
              </w:rPr>
              <w:t>Time</w:t>
            </w:r>
          </w:p>
        </w:tc>
      </w:tr>
      <w:tr w:rsidR="00EF351B" w:rsidRPr="009343EE" w14:paraId="0CEB9853" w14:textId="77777777" w:rsidTr="00683FBC">
        <w:tc>
          <w:tcPr>
            <w:tcW w:w="3258" w:type="dxa"/>
          </w:tcPr>
          <w:p w14:paraId="5B271BF3" w14:textId="77777777" w:rsidR="00EF351B" w:rsidRPr="009343EE" w:rsidRDefault="00EF351B" w:rsidP="008F771D">
            <w:pPr>
              <w:rPr>
                <w:rFonts w:cs="Times New Roman"/>
              </w:rPr>
            </w:pPr>
            <w:r w:rsidRPr="009343EE">
              <w:rPr>
                <w:rFonts w:cs="Times New Roman"/>
              </w:rPr>
              <w:lastRenderedPageBreak/>
              <w:t>1. Initial Denature</w:t>
            </w:r>
          </w:p>
        </w:tc>
        <w:tc>
          <w:tcPr>
            <w:tcW w:w="3280" w:type="dxa"/>
          </w:tcPr>
          <w:p w14:paraId="066817FE" w14:textId="77777777" w:rsidR="00EF351B" w:rsidRPr="009343EE" w:rsidRDefault="00EF351B" w:rsidP="008F771D">
            <w:pPr>
              <w:rPr>
                <w:rFonts w:cs="Times New Roman"/>
              </w:rPr>
            </w:pPr>
            <w:r w:rsidRPr="009343EE">
              <w:rPr>
                <w:rFonts w:cs="Times New Roman"/>
              </w:rPr>
              <w:t>94</w:t>
            </w:r>
          </w:p>
        </w:tc>
        <w:tc>
          <w:tcPr>
            <w:tcW w:w="3229" w:type="dxa"/>
          </w:tcPr>
          <w:p w14:paraId="626D0F2A" w14:textId="77777777" w:rsidR="00EF351B" w:rsidRPr="009343EE" w:rsidRDefault="00EF351B" w:rsidP="008F771D">
            <w:pPr>
              <w:rPr>
                <w:rFonts w:cs="Times New Roman"/>
              </w:rPr>
            </w:pPr>
            <w:r w:rsidRPr="009343EE">
              <w:rPr>
                <w:rFonts w:cs="Times New Roman"/>
              </w:rPr>
              <w:t>2 mins</w:t>
            </w:r>
          </w:p>
        </w:tc>
      </w:tr>
      <w:tr w:rsidR="00EF351B" w:rsidRPr="009343EE" w14:paraId="72601036" w14:textId="77777777" w:rsidTr="00683FBC">
        <w:tc>
          <w:tcPr>
            <w:tcW w:w="3258" w:type="dxa"/>
          </w:tcPr>
          <w:p w14:paraId="453F685E" w14:textId="77777777" w:rsidR="00EF351B" w:rsidRPr="009343EE" w:rsidRDefault="00EF351B" w:rsidP="008F771D">
            <w:pPr>
              <w:rPr>
                <w:rFonts w:cs="Times New Roman"/>
              </w:rPr>
            </w:pPr>
            <w:r w:rsidRPr="009343EE">
              <w:rPr>
                <w:rFonts w:cs="Times New Roman"/>
              </w:rPr>
              <w:t>2. (x35) Denature</w:t>
            </w:r>
          </w:p>
        </w:tc>
        <w:tc>
          <w:tcPr>
            <w:tcW w:w="3280" w:type="dxa"/>
          </w:tcPr>
          <w:p w14:paraId="2C93AB2D" w14:textId="77777777" w:rsidR="00EF351B" w:rsidRPr="009343EE" w:rsidRDefault="00EF351B" w:rsidP="008F771D">
            <w:pPr>
              <w:rPr>
                <w:rFonts w:cs="Times New Roman"/>
              </w:rPr>
            </w:pPr>
            <w:r w:rsidRPr="009343EE">
              <w:rPr>
                <w:rFonts w:cs="Times New Roman"/>
              </w:rPr>
              <w:t>94</w:t>
            </w:r>
          </w:p>
        </w:tc>
        <w:tc>
          <w:tcPr>
            <w:tcW w:w="3229" w:type="dxa"/>
          </w:tcPr>
          <w:p w14:paraId="381AACB3" w14:textId="77777777" w:rsidR="00EF351B" w:rsidRPr="009343EE" w:rsidRDefault="00EF351B" w:rsidP="008F771D">
            <w:pPr>
              <w:rPr>
                <w:rFonts w:cs="Times New Roman"/>
              </w:rPr>
            </w:pPr>
            <w:r w:rsidRPr="009343EE">
              <w:rPr>
                <w:rFonts w:cs="Times New Roman"/>
              </w:rPr>
              <w:t>30 s</w:t>
            </w:r>
          </w:p>
        </w:tc>
      </w:tr>
      <w:tr w:rsidR="00EF351B" w:rsidRPr="009343EE" w14:paraId="75989F6E" w14:textId="77777777" w:rsidTr="00683FBC">
        <w:tc>
          <w:tcPr>
            <w:tcW w:w="3258" w:type="dxa"/>
          </w:tcPr>
          <w:p w14:paraId="6A5AE8DE" w14:textId="77777777" w:rsidR="00EF351B" w:rsidRPr="009343EE" w:rsidRDefault="00EF351B" w:rsidP="008F771D">
            <w:pPr>
              <w:rPr>
                <w:rFonts w:cs="Times New Roman"/>
              </w:rPr>
            </w:pPr>
            <w:r w:rsidRPr="009343EE">
              <w:rPr>
                <w:rFonts w:cs="Times New Roman"/>
              </w:rPr>
              <w:t>Annealing</w:t>
            </w:r>
          </w:p>
        </w:tc>
        <w:tc>
          <w:tcPr>
            <w:tcW w:w="3280" w:type="dxa"/>
          </w:tcPr>
          <w:p w14:paraId="3CA4733A" w14:textId="77777777" w:rsidR="00EF351B" w:rsidRPr="009343EE" w:rsidRDefault="00EF351B" w:rsidP="008F771D">
            <w:pPr>
              <w:rPr>
                <w:rFonts w:cs="Times New Roman"/>
              </w:rPr>
            </w:pPr>
            <w:r w:rsidRPr="009343EE">
              <w:rPr>
                <w:rFonts w:cs="Times New Roman"/>
              </w:rPr>
              <w:t>55</w:t>
            </w:r>
          </w:p>
        </w:tc>
        <w:tc>
          <w:tcPr>
            <w:tcW w:w="3229" w:type="dxa"/>
          </w:tcPr>
          <w:p w14:paraId="0BE5451A" w14:textId="77777777" w:rsidR="00EF351B" w:rsidRPr="009343EE" w:rsidRDefault="00EF351B" w:rsidP="008F771D">
            <w:pPr>
              <w:rPr>
                <w:rFonts w:cs="Times New Roman"/>
              </w:rPr>
            </w:pPr>
            <w:r w:rsidRPr="009343EE">
              <w:rPr>
                <w:rFonts w:cs="Times New Roman"/>
              </w:rPr>
              <w:t>30 s</w:t>
            </w:r>
          </w:p>
        </w:tc>
      </w:tr>
      <w:tr w:rsidR="00EF351B" w:rsidRPr="009343EE" w14:paraId="1E6EE871" w14:textId="77777777" w:rsidTr="00683FBC">
        <w:tc>
          <w:tcPr>
            <w:tcW w:w="3258" w:type="dxa"/>
          </w:tcPr>
          <w:p w14:paraId="7B292682" w14:textId="77777777" w:rsidR="00EF351B" w:rsidRPr="009343EE" w:rsidRDefault="00EF351B" w:rsidP="008F771D">
            <w:pPr>
              <w:rPr>
                <w:rFonts w:cs="Times New Roman"/>
              </w:rPr>
            </w:pPr>
            <w:r w:rsidRPr="009343EE">
              <w:rPr>
                <w:rFonts w:cs="Times New Roman"/>
              </w:rPr>
              <w:t>Extension</w:t>
            </w:r>
          </w:p>
        </w:tc>
        <w:tc>
          <w:tcPr>
            <w:tcW w:w="3280" w:type="dxa"/>
          </w:tcPr>
          <w:p w14:paraId="74B74AA0" w14:textId="77777777" w:rsidR="00EF351B" w:rsidRPr="009343EE" w:rsidRDefault="00EF351B" w:rsidP="008F771D">
            <w:pPr>
              <w:rPr>
                <w:rFonts w:cs="Times New Roman"/>
              </w:rPr>
            </w:pPr>
            <w:r w:rsidRPr="009343EE">
              <w:rPr>
                <w:rFonts w:cs="Times New Roman"/>
              </w:rPr>
              <w:t>68</w:t>
            </w:r>
          </w:p>
        </w:tc>
        <w:tc>
          <w:tcPr>
            <w:tcW w:w="3229" w:type="dxa"/>
          </w:tcPr>
          <w:p w14:paraId="36B6D0A4" w14:textId="77777777" w:rsidR="00EF351B" w:rsidRPr="009343EE" w:rsidRDefault="00EF351B" w:rsidP="008F771D">
            <w:pPr>
              <w:rPr>
                <w:rFonts w:cs="Times New Roman"/>
              </w:rPr>
            </w:pPr>
            <w:r w:rsidRPr="009343EE">
              <w:rPr>
                <w:rFonts w:cs="Times New Roman"/>
              </w:rPr>
              <w:t>9 mins</w:t>
            </w:r>
          </w:p>
        </w:tc>
      </w:tr>
      <w:tr w:rsidR="00EF351B" w:rsidRPr="009343EE" w14:paraId="4BDBB0BC" w14:textId="77777777" w:rsidTr="00683FBC">
        <w:tc>
          <w:tcPr>
            <w:tcW w:w="3258" w:type="dxa"/>
          </w:tcPr>
          <w:p w14:paraId="1FD7E7C2" w14:textId="77777777" w:rsidR="00EF351B" w:rsidRPr="009343EE" w:rsidRDefault="00EF351B" w:rsidP="008F771D">
            <w:pPr>
              <w:rPr>
                <w:rFonts w:cs="Times New Roman"/>
              </w:rPr>
            </w:pPr>
            <w:r w:rsidRPr="009343EE">
              <w:rPr>
                <w:rFonts w:cs="Times New Roman"/>
              </w:rPr>
              <w:t>3. Final extension</w:t>
            </w:r>
          </w:p>
        </w:tc>
        <w:tc>
          <w:tcPr>
            <w:tcW w:w="3280" w:type="dxa"/>
          </w:tcPr>
          <w:p w14:paraId="38E2B380" w14:textId="77777777" w:rsidR="00EF351B" w:rsidRPr="009343EE" w:rsidRDefault="00EF351B" w:rsidP="008F771D">
            <w:pPr>
              <w:rPr>
                <w:rFonts w:cs="Times New Roman"/>
              </w:rPr>
            </w:pPr>
            <w:r w:rsidRPr="009343EE">
              <w:rPr>
                <w:rFonts w:cs="Times New Roman"/>
              </w:rPr>
              <w:t>68</w:t>
            </w:r>
          </w:p>
        </w:tc>
        <w:tc>
          <w:tcPr>
            <w:tcW w:w="3229" w:type="dxa"/>
          </w:tcPr>
          <w:p w14:paraId="6C0D0DEA" w14:textId="77777777" w:rsidR="00EF351B" w:rsidRPr="009343EE" w:rsidRDefault="00EF351B" w:rsidP="008F771D">
            <w:pPr>
              <w:rPr>
                <w:rFonts w:cs="Times New Roman"/>
              </w:rPr>
            </w:pPr>
            <w:r w:rsidRPr="009343EE">
              <w:rPr>
                <w:rFonts w:cs="Times New Roman"/>
              </w:rPr>
              <w:t>10 mins</w:t>
            </w:r>
          </w:p>
        </w:tc>
      </w:tr>
      <w:tr w:rsidR="00EF351B" w:rsidRPr="009343EE" w14:paraId="248E6588" w14:textId="77777777" w:rsidTr="00683FBC">
        <w:tc>
          <w:tcPr>
            <w:tcW w:w="3258" w:type="dxa"/>
          </w:tcPr>
          <w:p w14:paraId="4617F756" w14:textId="77777777" w:rsidR="00EF351B" w:rsidRPr="009343EE" w:rsidRDefault="00EF351B" w:rsidP="008F771D">
            <w:pPr>
              <w:rPr>
                <w:rFonts w:cs="Times New Roman"/>
              </w:rPr>
            </w:pPr>
            <w:r w:rsidRPr="009343EE">
              <w:rPr>
                <w:rFonts w:cs="Times New Roman"/>
              </w:rPr>
              <w:t>4. Hold</w:t>
            </w:r>
          </w:p>
        </w:tc>
        <w:tc>
          <w:tcPr>
            <w:tcW w:w="3280" w:type="dxa"/>
          </w:tcPr>
          <w:p w14:paraId="20786C52" w14:textId="77777777" w:rsidR="00EF351B" w:rsidRPr="009343EE" w:rsidRDefault="00EF351B" w:rsidP="008F771D">
            <w:pPr>
              <w:rPr>
                <w:rFonts w:cs="Times New Roman"/>
              </w:rPr>
            </w:pPr>
            <w:r w:rsidRPr="009343EE">
              <w:rPr>
                <w:rFonts w:cs="Times New Roman"/>
              </w:rPr>
              <w:t>4</w:t>
            </w:r>
          </w:p>
        </w:tc>
        <w:tc>
          <w:tcPr>
            <w:tcW w:w="3229" w:type="dxa"/>
          </w:tcPr>
          <w:p w14:paraId="46E0439B" w14:textId="77777777" w:rsidR="00EF351B" w:rsidRPr="009343EE" w:rsidRDefault="00EF351B" w:rsidP="008F771D">
            <w:pPr>
              <w:rPr>
                <w:rFonts w:cs="Times New Roman"/>
              </w:rPr>
            </w:pPr>
            <w:r w:rsidRPr="009343EE">
              <w:rPr>
                <w:rFonts w:cs="Times New Roman"/>
              </w:rPr>
              <w:t>Infinite hold</w:t>
            </w:r>
          </w:p>
        </w:tc>
      </w:tr>
    </w:tbl>
    <w:p w14:paraId="077B3389" w14:textId="77777777" w:rsidR="00512470" w:rsidRDefault="00512470" w:rsidP="006B2D5B">
      <w:pPr>
        <w:rPr>
          <w:rFonts w:cs="Times New Roman"/>
          <w:bCs/>
        </w:rPr>
      </w:pPr>
    </w:p>
    <w:p w14:paraId="54998491" w14:textId="77777777" w:rsidR="007A61FE" w:rsidRDefault="007A61FE" w:rsidP="006B2D5B">
      <w:pPr>
        <w:rPr>
          <w:rFonts w:cs="Times New Roman"/>
          <w:bCs/>
        </w:rPr>
      </w:pPr>
    </w:p>
    <w:p w14:paraId="2832A01C" w14:textId="75282788" w:rsidR="00512470" w:rsidRDefault="00512470" w:rsidP="00512470">
      <w:pPr>
        <w:pStyle w:val="Heading1"/>
      </w:pPr>
      <w:r>
        <w:t>Figure Legends</w:t>
      </w:r>
    </w:p>
    <w:p w14:paraId="768C096A" w14:textId="6D9AD420" w:rsidR="007A2616" w:rsidRDefault="007A2616" w:rsidP="007A2616">
      <w:pPr>
        <w:rPr>
          <w:rFonts w:cs="Arial"/>
          <w:b/>
          <w:szCs w:val="24"/>
        </w:rPr>
      </w:pPr>
      <w:r w:rsidRPr="00187FD3">
        <w:rPr>
          <w:rFonts w:cs="Arial"/>
          <w:b/>
        </w:rPr>
        <w:t xml:space="preserve">Fig. </w:t>
      </w:r>
      <w:r w:rsidR="00B25779">
        <w:rPr>
          <w:rFonts w:cs="Arial"/>
          <w:b/>
        </w:rPr>
        <w:t>1</w:t>
      </w:r>
      <w:r w:rsidRPr="00187FD3">
        <w:rPr>
          <w:rFonts w:cs="Arial"/>
        </w:rPr>
        <w:t>: (</w:t>
      </w:r>
      <w:r w:rsidRPr="00187FD3">
        <w:rPr>
          <w:rFonts w:cs="Arial"/>
          <w:b/>
        </w:rPr>
        <w:t>A</w:t>
      </w:r>
      <w:r w:rsidRPr="00187FD3">
        <w:rPr>
          <w:rFonts w:cs="Arial"/>
        </w:rPr>
        <w:t xml:space="preserve">) </w:t>
      </w:r>
      <w:r w:rsidR="0057753F">
        <w:rPr>
          <w:rFonts w:cs="Arial"/>
        </w:rPr>
        <w:t>An explanation of the multi-copy nature (heteroplasmy) of mitochondrial DNA. Numbers are true for CHO cells, though vary by eukaryotic cell type.</w:t>
      </w:r>
      <w:r w:rsidRPr="00187FD3">
        <w:rPr>
          <w:rFonts w:cs="Arial"/>
        </w:rPr>
        <w:t xml:space="preserve"> (</w:t>
      </w:r>
      <w:r w:rsidRPr="00187FD3">
        <w:rPr>
          <w:rFonts w:cs="Arial"/>
          <w:b/>
        </w:rPr>
        <w:t>B</w:t>
      </w:r>
      <w:r w:rsidRPr="00187FD3">
        <w:rPr>
          <w:rFonts w:cs="Arial"/>
        </w:rPr>
        <w:t xml:space="preserve">) Method overview for </w:t>
      </w:r>
      <w:proofErr w:type="spellStart"/>
      <w:r w:rsidR="0057753F">
        <w:rPr>
          <w:rFonts w:cs="Arial"/>
        </w:rPr>
        <w:t>scmtDNAseq</w:t>
      </w:r>
      <w:proofErr w:type="spellEnd"/>
      <w:r w:rsidR="0057753F">
        <w:rPr>
          <w:rFonts w:cs="Arial"/>
        </w:rPr>
        <w:t xml:space="preserve">. </w:t>
      </w:r>
      <w:r>
        <w:rPr>
          <w:rFonts w:cs="Arial"/>
          <w:szCs w:val="24"/>
        </w:rPr>
        <w:t xml:space="preserve">Made with </w:t>
      </w:r>
      <w:proofErr w:type="spellStart"/>
      <w:r>
        <w:rPr>
          <w:rFonts w:cs="Arial"/>
          <w:szCs w:val="24"/>
        </w:rPr>
        <w:t>BioRender</w:t>
      </w:r>
      <w:proofErr w:type="spellEnd"/>
      <w:r w:rsidRPr="00187FD3">
        <w:rPr>
          <w:rFonts w:cs="Arial"/>
          <w:szCs w:val="24"/>
        </w:rPr>
        <w:t>.</w:t>
      </w:r>
    </w:p>
    <w:p w14:paraId="06845894" w14:textId="09931832" w:rsidR="007A2616" w:rsidRPr="00187FD3" w:rsidRDefault="007A2616" w:rsidP="007A2616">
      <w:pPr>
        <w:rPr>
          <w:rFonts w:cs="Arial"/>
          <w:szCs w:val="24"/>
        </w:rPr>
      </w:pPr>
      <w:r w:rsidRPr="00187FD3">
        <w:rPr>
          <w:rFonts w:cs="Arial"/>
          <w:b/>
          <w:szCs w:val="24"/>
        </w:rPr>
        <w:t xml:space="preserve">Fig. </w:t>
      </w:r>
      <w:r w:rsidR="004F327C">
        <w:rPr>
          <w:rFonts w:cs="Arial"/>
          <w:b/>
          <w:szCs w:val="24"/>
        </w:rPr>
        <w:t>2</w:t>
      </w:r>
      <w:r w:rsidRPr="00187FD3">
        <w:rPr>
          <w:rFonts w:cs="Arial"/>
          <w:szCs w:val="24"/>
        </w:rPr>
        <w:t>: (</w:t>
      </w:r>
      <w:r w:rsidRPr="00187FD3">
        <w:rPr>
          <w:rFonts w:cs="Arial"/>
          <w:b/>
          <w:szCs w:val="24"/>
        </w:rPr>
        <w:t>A-F</w:t>
      </w:r>
      <w:r w:rsidRPr="00187FD3">
        <w:rPr>
          <w:rFonts w:cs="Arial"/>
          <w:szCs w:val="24"/>
        </w:rPr>
        <w:t>) Gating strategy to sort alive, singlet, antibody</w:t>
      </w:r>
      <w:r>
        <w:rPr>
          <w:rFonts w:cs="Arial"/>
          <w:szCs w:val="24"/>
        </w:rPr>
        <w:t>-</w:t>
      </w:r>
      <w:r w:rsidRPr="00187FD3">
        <w:rPr>
          <w:rFonts w:cs="Arial"/>
          <w:szCs w:val="24"/>
        </w:rPr>
        <w:t>producing CHO cells. (</w:t>
      </w:r>
      <w:r w:rsidRPr="00187FD3">
        <w:rPr>
          <w:rFonts w:cs="Arial"/>
          <w:b/>
          <w:szCs w:val="24"/>
        </w:rPr>
        <w:t>G</w:t>
      </w:r>
      <w:r w:rsidRPr="00187FD3">
        <w:rPr>
          <w:rFonts w:cs="Arial"/>
          <w:szCs w:val="24"/>
        </w:rPr>
        <w:t xml:space="preserve">) Agarose gel illustrating amplification of CHO cell mtDNA from a </w:t>
      </w:r>
      <w:r w:rsidR="00C13785">
        <w:rPr>
          <w:rFonts w:cs="Arial"/>
          <w:szCs w:val="24"/>
        </w:rPr>
        <w:t>single cell</w:t>
      </w:r>
      <w:r w:rsidRPr="00187FD3">
        <w:rPr>
          <w:rFonts w:cs="Arial"/>
          <w:szCs w:val="24"/>
        </w:rPr>
        <w:t xml:space="preserve">. Also included is positive control of 1000 cells and negative control of 0 cells. “X” and “Y” refers to the 2 separate halves of the mtDNA molecule. </w:t>
      </w:r>
      <w:r w:rsidRPr="00187FD3">
        <w:rPr>
          <w:rFonts w:cs="Arial"/>
        </w:rPr>
        <w:t xml:space="preserve">Together, 1X and 1Y represent amplification of the whole mtDNA molecule from a </w:t>
      </w:r>
      <w:r w:rsidR="00C13785">
        <w:rPr>
          <w:rFonts w:cs="Arial"/>
        </w:rPr>
        <w:t>single cell</w:t>
      </w:r>
      <w:r w:rsidRPr="00187FD3">
        <w:rPr>
          <w:rFonts w:cs="Arial"/>
        </w:rPr>
        <w:t xml:space="preserve"> in two separate reactions. Red rectangles illustrate gel extraction boundaries to exclude bands other than the desired 8.5kb amplicon. </w:t>
      </w:r>
      <w:r>
        <w:rPr>
          <w:rFonts w:cs="Arial"/>
          <w:szCs w:val="24"/>
        </w:rPr>
        <w:t xml:space="preserve">Made with </w:t>
      </w:r>
      <w:proofErr w:type="spellStart"/>
      <w:r>
        <w:rPr>
          <w:rFonts w:cs="Arial"/>
          <w:szCs w:val="24"/>
        </w:rPr>
        <w:t>BioRender</w:t>
      </w:r>
      <w:proofErr w:type="spellEnd"/>
      <w:r>
        <w:rPr>
          <w:rFonts w:cs="Arial"/>
          <w:szCs w:val="24"/>
        </w:rPr>
        <w:t>.</w:t>
      </w:r>
    </w:p>
    <w:p w14:paraId="6FDD3BEF" w14:textId="7EACC2FE" w:rsidR="007A2616" w:rsidRPr="00187FD3" w:rsidRDefault="007A2616" w:rsidP="007A2616">
      <w:pPr>
        <w:rPr>
          <w:rFonts w:cs="Arial"/>
          <w:b/>
          <w:bCs/>
        </w:rPr>
      </w:pPr>
      <w:r w:rsidRPr="00187FD3">
        <w:rPr>
          <w:rFonts w:cs="Arial"/>
          <w:b/>
          <w:bCs/>
        </w:rPr>
        <w:t xml:space="preserve">Fig. </w:t>
      </w:r>
      <w:r w:rsidR="00B25779">
        <w:rPr>
          <w:rFonts w:cs="Arial"/>
          <w:b/>
          <w:bCs/>
        </w:rPr>
        <w:t>3</w:t>
      </w:r>
      <w:r w:rsidRPr="00187FD3">
        <w:rPr>
          <w:rFonts w:cs="Arial"/>
          <w:b/>
          <w:bCs/>
        </w:rPr>
        <w:t xml:space="preserve">: </w:t>
      </w:r>
      <w:r w:rsidRPr="00187FD3">
        <w:rPr>
          <w:rFonts w:cs="Arial"/>
          <w:bCs/>
        </w:rPr>
        <w:t>(</w:t>
      </w:r>
      <w:r w:rsidRPr="00187FD3">
        <w:rPr>
          <w:rFonts w:cs="Arial"/>
          <w:b/>
          <w:bCs/>
        </w:rPr>
        <w:t>A</w:t>
      </w:r>
      <w:r w:rsidRPr="00187FD3">
        <w:rPr>
          <w:rFonts w:cs="Arial"/>
          <w:bCs/>
        </w:rPr>
        <w:t>)</w:t>
      </w:r>
      <w:r w:rsidRPr="00187FD3">
        <w:rPr>
          <w:rFonts w:cs="Arial"/>
          <w:b/>
          <w:bCs/>
        </w:rPr>
        <w:t xml:space="preserve"> </w:t>
      </w:r>
      <w:r w:rsidRPr="00187FD3">
        <w:rPr>
          <w:rFonts w:cs="Arial"/>
          <w:bCs/>
        </w:rPr>
        <w:t xml:space="preserve">Read mapping of samples to the KX576660 CHO mtDNA reference genome. </w:t>
      </w:r>
      <w:r w:rsidRPr="00A61F5C">
        <w:rPr>
          <w:rFonts w:cs="Arial"/>
          <w:b/>
          <w:bCs/>
        </w:rPr>
        <w:t>(B)</w:t>
      </w:r>
      <w:r w:rsidRPr="00187FD3">
        <w:rPr>
          <w:rFonts w:cs="Arial"/>
          <w:bCs/>
        </w:rPr>
        <w:t xml:space="preserve"> Average per base sequencing depth of each sample. </w:t>
      </w:r>
      <w:r w:rsidRPr="00A61F5C">
        <w:rPr>
          <w:rFonts w:cs="Arial"/>
          <w:b/>
          <w:bCs/>
        </w:rPr>
        <w:t>(C)</w:t>
      </w:r>
      <w:r w:rsidRPr="00187FD3">
        <w:rPr>
          <w:rFonts w:cs="Arial"/>
          <w:bCs/>
        </w:rPr>
        <w:t xml:space="preserve"> Perbase coverage of 4 </w:t>
      </w:r>
      <w:r w:rsidR="00C13785">
        <w:rPr>
          <w:rFonts w:cs="Arial"/>
          <w:bCs/>
        </w:rPr>
        <w:t>single cell</w:t>
      </w:r>
      <w:r w:rsidRPr="00187FD3">
        <w:rPr>
          <w:rFonts w:cs="Arial"/>
          <w:bCs/>
        </w:rPr>
        <w:t>s and a bulk sample with correction around 0 coordinate.</w:t>
      </w:r>
      <w:r>
        <w:rPr>
          <w:rFonts w:cs="Arial"/>
          <w:bCs/>
        </w:rPr>
        <w:t xml:space="preserve"> Made with </w:t>
      </w:r>
      <w:proofErr w:type="spellStart"/>
      <w:r>
        <w:rPr>
          <w:rFonts w:cs="Arial"/>
          <w:bCs/>
        </w:rPr>
        <w:t>BioRender</w:t>
      </w:r>
      <w:proofErr w:type="spellEnd"/>
      <w:r>
        <w:rPr>
          <w:rFonts w:cs="Arial"/>
          <w:bCs/>
        </w:rPr>
        <w:t>.</w:t>
      </w:r>
    </w:p>
    <w:p w14:paraId="38CF83FD" w14:textId="262FCE6A" w:rsidR="007A2616" w:rsidRDefault="007A2616" w:rsidP="007A2616">
      <w:pPr>
        <w:rPr>
          <w:rFonts w:cs="Arial"/>
        </w:rPr>
      </w:pPr>
      <w:r w:rsidRPr="00187FD3">
        <w:rPr>
          <w:rFonts w:cs="Arial"/>
          <w:b/>
          <w:bCs/>
        </w:rPr>
        <w:t xml:space="preserve">Fig. </w:t>
      </w:r>
      <w:r w:rsidR="00B25779">
        <w:rPr>
          <w:rFonts w:cs="Arial"/>
          <w:b/>
          <w:bCs/>
        </w:rPr>
        <w:t>4</w:t>
      </w:r>
      <w:r w:rsidRPr="00187FD3">
        <w:rPr>
          <w:rFonts w:cs="Arial"/>
          <w:b/>
          <w:bCs/>
        </w:rPr>
        <w:t xml:space="preserve">: </w:t>
      </w:r>
      <w:r w:rsidRPr="00A61F5C">
        <w:rPr>
          <w:rFonts w:cs="Arial"/>
          <w:b/>
          <w:bCs/>
        </w:rPr>
        <w:t>(A)</w:t>
      </w:r>
      <w:r w:rsidRPr="00187FD3">
        <w:rPr>
          <w:rFonts w:cs="Arial"/>
          <w:bCs/>
        </w:rPr>
        <w:t xml:space="preserve"> Comparison of bulk sample allele frequencies to </w:t>
      </w:r>
      <w:r>
        <w:rPr>
          <w:rFonts w:cs="Arial"/>
          <w:bCs/>
        </w:rPr>
        <w:t xml:space="preserve">the </w:t>
      </w:r>
      <w:r w:rsidRPr="00187FD3">
        <w:rPr>
          <w:rFonts w:cs="Arial"/>
          <w:bCs/>
        </w:rPr>
        <w:t xml:space="preserve">average of 4 </w:t>
      </w:r>
      <w:r w:rsidR="0057753F">
        <w:rPr>
          <w:rFonts w:cs="Arial"/>
          <w:bCs/>
        </w:rPr>
        <w:t xml:space="preserve">single </w:t>
      </w:r>
      <w:r w:rsidRPr="00187FD3">
        <w:rPr>
          <w:rFonts w:cs="Arial"/>
          <w:bCs/>
        </w:rPr>
        <w:t>cells</w:t>
      </w:r>
      <w:r w:rsidR="0057753F">
        <w:rPr>
          <w:rFonts w:cs="Arial"/>
          <w:bCs/>
        </w:rPr>
        <w:t>’</w:t>
      </w:r>
      <w:r w:rsidRPr="00187FD3">
        <w:rPr>
          <w:rFonts w:cs="Arial"/>
          <w:bCs/>
        </w:rPr>
        <w:t xml:space="preserve"> allele frequencies. </w:t>
      </w:r>
      <w:r>
        <w:rPr>
          <w:rFonts w:cs="Arial"/>
          <w:bCs/>
        </w:rPr>
        <w:t>The m</w:t>
      </w:r>
      <w:r w:rsidRPr="00187FD3">
        <w:rPr>
          <w:rFonts w:cs="Arial"/>
          <w:bCs/>
        </w:rPr>
        <w:t xml:space="preserve">utation must be heteroplasmic </w:t>
      </w:r>
      <w:r w:rsidRPr="00187FD3">
        <w:rPr>
          <w:rFonts w:cs="Arial"/>
        </w:rPr>
        <w:t xml:space="preserve">(between 0.04 and 0.96 allele frequency) in the bulk sample. </w:t>
      </w:r>
      <w:r w:rsidRPr="00A61F5C">
        <w:rPr>
          <w:rFonts w:cs="Arial"/>
          <w:b/>
          <w:bCs/>
        </w:rPr>
        <w:t>(B)</w:t>
      </w:r>
      <w:r w:rsidRPr="00187FD3">
        <w:rPr>
          <w:rFonts w:cs="Arial"/>
          <w:b/>
          <w:bCs/>
        </w:rPr>
        <w:t xml:space="preserve"> </w:t>
      </w:r>
      <w:r w:rsidRPr="00187FD3">
        <w:rPr>
          <w:rFonts w:cs="Arial"/>
          <w:bCs/>
        </w:rPr>
        <w:t>Violin plot of “most variable”</w:t>
      </w:r>
      <w:r w:rsidRPr="00187FD3">
        <w:rPr>
          <w:rFonts w:cs="Arial"/>
          <w:b/>
          <w:bCs/>
        </w:rPr>
        <w:t xml:space="preserve"> </w:t>
      </w:r>
      <w:r w:rsidRPr="00187FD3">
        <w:rPr>
          <w:rFonts w:cs="Arial"/>
        </w:rPr>
        <w:t xml:space="preserve">mutations which must be heteroplasmic in at least 2 of 4 </w:t>
      </w:r>
      <w:r w:rsidR="00C13785">
        <w:rPr>
          <w:rFonts w:cs="Arial"/>
        </w:rPr>
        <w:t>single cell</w:t>
      </w:r>
      <w:r w:rsidRPr="00187FD3">
        <w:rPr>
          <w:rFonts w:cs="Arial"/>
        </w:rPr>
        <w:t xml:space="preserve">s. </w:t>
      </w:r>
      <w:r w:rsidRPr="00A61F5C">
        <w:rPr>
          <w:rFonts w:cs="Arial"/>
          <w:b/>
        </w:rPr>
        <w:t>(C)</w:t>
      </w:r>
      <w:r w:rsidRPr="00187FD3">
        <w:rPr>
          <w:rFonts w:cs="Arial"/>
        </w:rPr>
        <w:t xml:space="preserve"> </w:t>
      </w:r>
      <w:r w:rsidR="0057753F">
        <w:rPr>
          <w:rFonts w:cs="Arial"/>
        </w:rPr>
        <w:t>B</w:t>
      </w:r>
      <w:r w:rsidRPr="00187FD3">
        <w:rPr>
          <w:rFonts w:cs="Arial"/>
        </w:rPr>
        <w:t xml:space="preserve">ase change heatmap of heteroplasmic mutations (between 0.04 and 0.96 allele frequency) in 4 </w:t>
      </w:r>
      <w:r w:rsidR="00C13785">
        <w:rPr>
          <w:rFonts w:cs="Arial"/>
        </w:rPr>
        <w:t>single cell</w:t>
      </w:r>
      <w:r w:rsidRPr="00187FD3">
        <w:rPr>
          <w:rFonts w:cs="Arial"/>
        </w:rPr>
        <w:t xml:space="preserve">s and a bulk sample. </w:t>
      </w:r>
      <w:r w:rsidRPr="00A61F5C">
        <w:rPr>
          <w:rFonts w:cs="Arial"/>
          <w:b/>
        </w:rPr>
        <w:t>(D)</w:t>
      </w:r>
      <w:r w:rsidRPr="00187FD3">
        <w:rPr>
          <w:rFonts w:cs="Arial"/>
        </w:rPr>
        <w:t xml:space="preserve"> snpEff predicted impact of heteroplasmic (between 0.04 and 0.96 allele frequency) mtDNA mutations of 4 </w:t>
      </w:r>
      <w:r w:rsidR="00C13785">
        <w:rPr>
          <w:rFonts w:cs="Arial"/>
        </w:rPr>
        <w:t>single cell</w:t>
      </w:r>
      <w:r w:rsidRPr="00187FD3">
        <w:rPr>
          <w:rFonts w:cs="Arial"/>
        </w:rPr>
        <w:t>s and a bulk sample.</w:t>
      </w:r>
      <w:r>
        <w:rPr>
          <w:rFonts w:cs="Arial"/>
        </w:rPr>
        <w:t xml:space="preserve"> Made with </w:t>
      </w:r>
      <w:proofErr w:type="spellStart"/>
      <w:r>
        <w:rPr>
          <w:rFonts w:cs="Arial"/>
        </w:rPr>
        <w:t>BioRender</w:t>
      </w:r>
      <w:proofErr w:type="spellEnd"/>
      <w:r>
        <w:rPr>
          <w:rFonts w:cs="Arial"/>
        </w:rPr>
        <w:t>.</w:t>
      </w:r>
    </w:p>
    <w:p w14:paraId="0899C468" w14:textId="0BCF467D" w:rsidR="00347451" w:rsidRPr="00187FD3" w:rsidRDefault="00347451" w:rsidP="007A2616">
      <w:pPr>
        <w:rPr>
          <w:rFonts w:cs="Arial"/>
        </w:rPr>
      </w:pPr>
      <w:r w:rsidRPr="00187FD3">
        <w:rPr>
          <w:rFonts w:cs="Arial"/>
          <w:b/>
        </w:rPr>
        <w:t xml:space="preserve">Fig. </w:t>
      </w:r>
      <w:r>
        <w:rPr>
          <w:rFonts w:cs="Arial"/>
          <w:b/>
        </w:rPr>
        <w:t>5</w:t>
      </w:r>
      <w:r w:rsidRPr="00187FD3">
        <w:rPr>
          <w:rFonts w:cs="Arial"/>
        </w:rPr>
        <w:t xml:space="preserve">: How bulk analysis of heteroplasmy can obfuscate </w:t>
      </w:r>
      <w:r>
        <w:rPr>
          <w:rFonts w:cs="Arial"/>
        </w:rPr>
        <w:t>single cell</w:t>
      </w:r>
      <w:r w:rsidRPr="00187FD3">
        <w:rPr>
          <w:rFonts w:cs="Arial"/>
        </w:rPr>
        <w:t xml:space="preserve"> orientations.</w:t>
      </w:r>
      <w:r w:rsidR="0057753F">
        <w:rPr>
          <w:rFonts w:cs="Arial"/>
        </w:rPr>
        <w:t xml:space="preserve"> Made with </w:t>
      </w:r>
      <w:proofErr w:type="spellStart"/>
      <w:r w:rsidR="0057753F">
        <w:rPr>
          <w:rFonts w:cs="Arial"/>
        </w:rPr>
        <w:t>BioRender</w:t>
      </w:r>
      <w:proofErr w:type="spellEnd"/>
      <w:r w:rsidR="0057753F">
        <w:rPr>
          <w:rFonts w:cs="Arial"/>
        </w:rPr>
        <w:t>.</w:t>
      </w:r>
    </w:p>
    <w:p w14:paraId="7D53A81A" w14:textId="576E9956" w:rsidR="007A2616" w:rsidRPr="00683FBC" w:rsidRDefault="007A2616" w:rsidP="00512470">
      <w:pPr>
        <w:rPr>
          <w:rFonts w:cs="Arial"/>
        </w:rPr>
      </w:pPr>
      <w:r>
        <w:rPr>
          <w:rFonts w:cs="Arial"/>
          <w:b/>
        </w:rPr>
        <w:t xml:space="preserve">Fig. </w:t>
      </w:r>
      <w:r w:rsidR="00B25779">
        <w:rPr>
          <w:rFonts w:cs="Arial"/>
          <w:b/>
        </w:rPr>
        <w:t>S1</w:t>
      </w:r>
      <w:r w:rsidRPr="00187FD3">
        <w:rPr>
          <w:rFonts w:cs="Arial"/>
        </w:rPr>
        <w:t xml:space="preserve">: </w:t>
      </w:r>
      <w:r w:rsidRPr="004C0E62">
        <w:rPr>
          <w:rFonts w:cs="Arial"/>
          <w:b/>
        </w:rPr>
        <w:t>(</w:t>
      </w:r>
      <w:r w:rsidRPr="00781DEC">
        <w:rPr>
          <w:rFonts w:cs="Arial"/>
          <w:b/>
        </w:rPr>
        <w:t>A)</w:t>
      </w:r>
      <w:r w:rsidRPr="00187FD3">
        <w:rPr>
          <w:rFonts w:cs="Arial"/>
        </w:rPr>
        <w:t xml:space="preserve"> Tapestation (4200) image of mtDNA LRPCR for dilutions of a </w:t>
      </w:r>
      <w:r w:rsidR="00C13785">
        <w:rPr>
          <w:rFonts w:cs="Arial"/>
        </w:rPr>
        <w:t>single cell</w:t>
      </w:r>
      <w:r w:rsidRPr="00187FD3">
        <w:rPr>
          <w:rFonts w:cs="Arial"/>
        </w:rPr>
        <w:t xml:space="preserve">. Negative control is 0 cells, positive control is 10 cells. Dilutions </w:t>
      </w:r>
      <w:r w:rsidR="0057753F">
        <w:rPr>
          <w:rFonts w:cs="Arial"/>
        </w:rPr>
        <w:t>were</w:t>
      </w:r>
      <w:r w:rsidRPr="00187FD3">
        <w:rPr>
          <w:rFonts w:cs="Arial"/>
        </w:rPr>
        <w:t xml:space="preserve"> made from 1/10 to 1/100,000. </w:t>
      </w:r>
      <w:r w:rsidRPr="00781DEC">
        <w:rPr>
          <w:rFonts w:cs="Arial"/>
          <w:b/>
        </w:rPr>
        <w:t>(B)</w:t>
      </w:r>
      <w:r w:rsidRPr="00187FD3">
        <w:rPr>
          <w:rFonts w:cs="Arial"/>
        </w:rPr>
        <w:t xml:space="preserve"> </w:t>
      </w:r>
      <w:r w:rsidRPr="00187FD3">
        <w:rPr>
          <w:rFonts w:cs="Arial"/>
        </w:rPr>
        <w:lastRenderedPageBreak/>
        <w:t xml:space="preserve">Number of heteroplasmic mutations (between 0.04 and 0.96 allele frequency) in 4 </w:t>
      </w:r>
      <w:r w:rsidR="00C13785">
        <w:rPr>
          <w:rFonts w:cs="Arial"/>
        </w:rPr>
        <w:t>single cell</w:t>
      </w:r>
      <w:r w:rsidRPr="00187FD3">
        <w:rPr>
          <w:rFonts w:cs="Arial"/>
        </w:rPr>
        <w:t xml:space="preserve">s and a bulk sample. </w:t>
      </w:r>
      <w:r w:rsidRPr="00781DEC">
        <w:rPr>
          <w:rFonts w:cs="Arial"/>
          <w:b/>
        </w:rPr>
        <w:t>(C)</w:t>
      </w:r>
      <w:r w:rsidRPr="00187FD3">
        <w:rPr>
          <w:rFonts w:cs="Arial"/>
        </w:rPr>
        <w:t xml:space="preserve"> Allele Frequency heatmap of heteroplasmic (between 0.04 and 0.96 allele frequency) mutations in 4 </w:t>
      </w:r>
      <w:r w:rsidR="00C13785">
        <w:rPr>
          <w:rFonts w:cs="Arial"/>
        </w:rPr>
        <w:t>single cell</w:t>
      </w:r>
      <w:r w:rsidRPr="00187FD3">
        <w:rPr>
          <w:rFonts w:cs="Arial"/>
        </w:rPr>
        <w:t xml:space="preserve">s and a bulk sample. </w:t>
      </w:r>
      <w:r w:rsidRPr="00781DEC">
        <w:rPr>
          <w:rFonts w:cs="Arial"/>
          <w:b/>
        </w:rPr>
        <w:t>(D)</w:t>
      </w:r>
      <w:r w:rsidRPr="00187FD3">
        <w:rPr>
          <w:rFonts w:cs="Arial"/>
        </w:rPr>
        <w:t xml:space="preserve"> snpEf</w:t>
      </w:r>
      <w:r>
        <w:rPr>
          <w:rFonts w:cs="Arial"/>
        </w:rPr>
        <w:t>f predicted im</w:t>
      </w:r>
      <w:r w:rsidRPr="00187FD3">
        <w:rPr>
          <w:rFonts w:cs="Arial"/>
        </w:rPr>
        <w:t xml:space="preserve">pact of heteroplasmic (between 0.04 and 0.96 allele frequency) mutations in 4 </w:t>
      </w:r>
      <w:r w:rsidR="00C13785">
        <w:rPr>
          <w:rFonts w:cs="Arial"/>
        </w:rPr>
        <w:t>single cell</w:t>
      </w:r>
      <w:r w:rsidRPr="00187FD3">
        <w:rPr>
          <w:rFonts w:cs="Arial"/>
        </w:rPr>
        <w:t xml:space="preserve">s and a bulk sample. </w:t>
      </w:r>
      <w:r w:rsidRPr="00781DEC">
        <w:rPr>
          <w:rFonts w:cs="Arial"/>
          <w:b/>
        </w:rPr>
        <w:t>(E)</w:t>
      </w:r>
      <w:r w:rsidRPr="00187FD3">
        <w:rPr>
          <w:rFonts w:cs="Arial"/>
        </w:rPr>
        <w:t xml:space="preserve"> Number of mutations per gene in 4 </w:t>
      </w:r>
      <w:r w:rsidR="00C13785">
        <w:rPr>
          <w:rFonts w:cs="Arial"/>
        </w:rPr>
        <w:t>single cell</w:t>
      </w:r>
      <w:r w:rsidRPr="00187FD3">
        <w:rPr>
          <w:rFonts w:cs="Arial"/>
        </w:rPr>
        <w:t xml:space="preserve">s and a bulk sample. </w:t>
      </w:r>
      <w:r w:rsidRPr="00781DEC">
        <w:rPr>
          <w:rFonts w:cs="Arial"/>
          <w:b/>
        </w:rPr>
        <w:t>(F)</w:t>
      </w:r>
      <w:r w:rsidRPr="00187FD3">
        <w:rPr>
          <w:rFonts w:cs="Arial"/>
        </w:rPr>
        <w:t xml:space="preserve"> Allele frequency distribution of heteroplasmic (between 0.04 and 0.96 allele frequency) mutations in 4 </w:t>
      </w:r>
      <w:r w:rsidR="00C13785">
        <w:rPr>
          <w:rFonts w:cs="Arial"/>
        </w:rPr>
        <w:t>single cell</w:t>
      </w:r>
      <w:r w:rsidRPr="00187FD3">
        <w:rPr>
          <w:rFonts w:cs="Arial"/>
        </w:rPr>
        <w:t>s and a bulk sample</w:t>
      </w:r>
      <w:r w:rsidR="00683FBC">
        <w:rPr>
          <w:rFonts w:cs="Arial"/>
        </w:rPr>
        <w:t xml:space="preserve">. Made with </w:t>
      </w:r>
      <w:proofErr w:type="spellStart"/>
      <w:r w:rsidR="00683FBC">
        <w:rPr>
          <w:rFonts w:cs="Arial"/>
        </w:rPr>
        <w:t>BioRender</w:t>
      </w:r>
      <w:proofErr w:type="spellEnd"/>
      <w:r w:rsidR="00683FBC">
        <w:rPr>
          <w:rFonts w:cs="Arial"/>
        </w:rPr>
        <w:t>.</w:t>
      </w:r>
    </w:p>
    <w:sectPr w:rsidR="007A2616" w:rsidRPr="00683FBC" w:rsidSect="00D537FA">
      <w:headerReference w:type="even" r:id="rId10"/>
      <w:headerReference w:type="default" r:id="rId11"/>
      <w:footerReference w:type="even" r:id="rId12"/>
      <w:footerReference w:type="default" r:id="rId13"/>
      <w:headerReference w:type="first" r:id="rId14"/>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C9809" w14:textId="77777777" w:rsidR="000D44E1" w:rsidRDefault="000D44E1" w:rsidP="00117666">
      <w:pPr>
        <w:spacing w:after="0"/>
      </w:pPr>
      <w:r>
        <w:separator/>
      </w:r>
    </w:p>
  </w:endnote>
  <w:endnote w:type="continuationSeparator" w:id="0">
    <w:p w14:paraId="3A1EDEE5" w14:textId="77777777" w:rsidR="000D44E1" w:rsidRDefault="000D44E1"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D3D87" w14:textId="7980A587" w:rsidR="00A61DE5" w:rsidRPr="00577C4C" w:rsidRDefault="00A61DE5">
    <w:pPr>
      <w:pStyle w:val="Footer"/>
      <w:rPr>
        <w:color w:val="C00000"/>
        <w:szCs w:val="24"/>
      </w:rPr>
    </w:pPr>
    <w:r>
      <w:rPr>
        <w:noProof/>
        <w:lang w:eastAsia="en-IE"/>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A61DE5" w:rsidRPr="00577C4C" w:rsidRDefault="00A61DE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1324A" w:rsidRPr="0041324A">
                            <w:rPr>
                              <w:noProof/>
                              <w:color w:val="000000" w:themeColor="text1"/>
                              <w:sz w:val="22"/>
                              <w:szCs w:val="40"/>
                            </w:rPr>
                            <w:t>18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A61DE5" w:rsidRPr="00577C4C" w:rsidRDefault="00A61DE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1324A" w:rsidRPr="0041324A">
                      <w:rPr>
                        <w:noProof/>
                        <w:color w:val="000000" w:themeColor="text1"/>
                        <w:sz w:val="22"/>
                        <w:szCs w:val="40"/>
                      </w:rPr>
                      <w:t>18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BFF2" w14:textId="77777777" w:rsidR="00A61DE5" w:rsidRPr="00577C4C" w:rsidRDefault="00A61DE5">
    <w:pPr>
      <w:pStyle w:val="Footer"/>
      <w:rPr>
        <w:b/>
        <w:sz w:val="20"/>
        <w:szCs w:val="24"/>
      </w:rPr>
    </w:pPr>
    <w:r>
      <w:rPr>
        <w:noProof/>
        <w:lang w:eastAsia="en-IE"/>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A61DE5" w:rsidRPr="00577C4C" w:rsidRDefault="00A61DE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1324A" w:rsidRPr="0041324A">
                            <w:rPr>
                              <w:noProof/>
                              <w:color w:val="000000" w:themeColor="text1"/>
                              <w:sz w:val="22"/>
                              <w:szCs w:val="40"/>
                            </w:rPr>
                            <w:t>19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A61DE5" w:rsidRPr="00577C4C" w:rsidRDefault="00A61DE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1324A" w:rsidRPr="0041324A">
                      <w:rPr>
                        <w:noProof/>
                        <w:color w:val="000000" w:themeColor="text1"/>
                        <w:sz w:val="22"/>
                        <w:szCs w:val="40"/>
                      </w:rPr>
                      <w:t>19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45AB6" w14:textId="77777777" w:rsidR="000D44E1" w:rsidRDefault="000D44E1" w:rsidP="00117666">
      <w:pPr>
        <w:spacing w:after="0"/>
      </w:pPr>
      <w:r>
        <w:separator/>
      </w:r>
    </w:p>
  </w:footnote>
  <w:footnote w:type="continuationSeparator" w:id="0">
    <w:p w14:paraId="5B1461E7" w14:textId="77777777" w:rsidR="000D44E1" w:rsidRDefault="000D44E1" w:rsidP="0011766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038F2" w14:textId="7F48D867" w:rsidR="007313CD" w:rsidRPr="00D161B5" w:rsidRDefault="00A61DE5" w:rsidP="007313CD">
    <w:pPr>
      <w:rPr>
        <w:rFonts w:cs="Times New Roman"/>
        <w:b/>
        <w:bCs/>
      </w:rPr>
    </w:pPr>
    <w:r w:rsidRPr="007E3148">
      <w:ptab w:relativeTo="margin" w:alignment="center" w:leader="none"/>
    </w:r>
    <w:r w:rsidRPr="007E3148">
      <w:ptab w:relativeTo="margin" w:alignment="right" w:leader="none"/>
    </w:r>
    <w:r w:rsidR="007313CD" w:rsidRPr="00D161B5">
      <w:rPr>
        <w:rFonts w:cs="Times New Roman"/>
        <w:b/>
        <w:bCs/>
      </w:rPr>
      <w:t xml:space="preserve">A </w:t>
    </w:r>
    <w:r w:rsidR="007313CD">
      <w:rPr>
        <w:rFonts w:cs="Times New Roman"/>
        <w:b/>
        <w:bCs/>
      </w:rPr>
      <w:t>C</w:t>
    </w:r>
    <w:r w:rsidR="007313CD" w:rsidRPr="00D161B5">
      <w:rPr>
        <w:rFonts w:cs="Times New Roman"/>
        <w:b/>
        <w:bCs/>
      </w:rPr>
      <w:t xml:space="preserve">omplete </w:t>
    </w:r>
    <w:r w:rsidR="007313CD">
      <w:rPr>
        <w:rFonts w:cs="Times New Roman"/>
        <w:b/>
        <w:bCs/>
      </w:rPr>
      <w:t>W</w:t>
    </w:r>
    <w:r w:rsidR="007313CD" w:rsidRPr="00D161B5">
      <w:rPr>
        <w:rFonts w:cs="Times New Roman"/>
        <w:b/>
        <w:bCs/>
      </w:rPr>
      <w:t>orkflow</w:t>
    </w:r>
    <w:r w:rsidR="007313CD">
      <w:rPr>
        <w:rFonts w:cs="Times New Roman"/>
        <w:b/>
        <w:bCs/>
      </w:rPr>
      <w:t xml:space="preserve"> for </w:t>
    </w:r>
    <w:proofErr w:type="spellStart"/>
    <w:r w:rsidR="007313CD">
      <w:rPr>
        <w:rFonts w:cs="Times New Roman"/>
        <w:b/>
        <w:bCs/>
      </w:rPr>
      <w:t>scmtDNAseq</w:t>
    </w:r>
    <w:proofErr w:type="spellEnd"/>
  </w:p>
  <w:p w14:paraId="23613A34" w14:textId="724070DC" w:rsidR="00A61DE5" w:rsidRPr="007E3148" w:rsidRDefault="00A61DE5" w:rsidP="00A53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8A4BC" w14:textId="77777777" w:rsidR="00A61DE5" w:rsidRPr="00A53000" w:rsidRDefault="00A61DE5"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F27F1" w14:textId="77777777" w:rsidR="00A61DE5" w:rsidRDefault="00A61DE5" w:rsidP="00A53000">
    <w:pPr>
      <w:pStyle w:val="Header"/>
    </w:pPr>
    <w:r w:rsidRPr="005A1D84">
      <w:rPr>
        <w:noProof/>
        <w:color w:val="A6A6A6" w:themeColor="background1" w:themeShade="A6"/>
        <w:lang w:eastAsia="en-IE"/>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EF704B"/>
    <w:multiLevelType w:val="hybridMultilevel"/>
    <w:tmpl w:val="5F0494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6F4663"/>
    <w:multiLevelType w:val="hybridMultilevel"/>
    <w:tmpl w:val="2CDA28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97A3904"/>
    <w:multiLevelType w:val="hybridMultilevel"/>
    <w:tmpl w:val="2E8281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7064E"/>
    <w:multiLevelType w:val="hybridMultilevel"/>
    <w:tmpl w:val="409C30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366565C"/>
    <w:multiLevelType w:val="multilevel"/>
    <w:tmpl w:val="2200D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7" w15:restartNumberingAfterBreak="0">
    <w:nsid w:val="15F62153"/>
    <w:multiLevelType w:val="hybridMultilevel"/>
    <w:tmpl w:val="24D43B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0"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D625713"/>
    <w:multiLevelType w:val="hybridMultilevel"/>
    <w:tmpl w:val="767618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FE64E0A"/>
    <w:multiLevelType w:val="hybridMultilevel"/>
    <w:tmpl w:val="32A44A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02A7CAC"/>
    <w:multiLevelType w:val="multilevel"/>
    <w:tmpl w:val="C6A8CCEA"/>
    <w:numStyleLink w:val="Headings"/>
  </w:abstractNum>
  <w:abstractNum w:abstractNumId="14" w15:restartNumberingAfterBreak="0">
    <w:nsid w:val="3057308D"/>
    <w:multiLevelType w:val="hybridMultilevel"/>
    <w:tmpl w:val="91E2205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2F40AED"/>
    <w:multiLevelType w:val="multilevel"/>
    <w:tmpl w:val="F844136E"/>
    <w:lvl w:ilvl="0">
      <w:start w:val="1"/>
      <w:numFmt w:val="decimal"/>
      <w:lvlText w:val="%1."/>
      <w:lvlJc w:val="left"/>
      <w:pPr>
        <w:ind w:left="720" w:hanging="360"/>
      </w:pPr>
      <w:rPr>
        <w:rFonts w:hint="default"/>
      </w:r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486495"/>
    <w:multiLevelType w:val="hybridMultilevel"/>
    <w:tmpl w:val="1EA278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DE234D1"/>
    <w:multiLevelType w:val="hybridMultilevel"/>
    <w:tmpl w:val="F94EC2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9656E5"/>
    <w:multiLevelType w:val="multilevel"/>
    <w:tmpl w:val="93DE3DC6"/>
    <w:lvl w:ilvl="0">
      <w:start w:val="3"/>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310705"/>
    <w:multiLevelType w:val="hybridMultilevel"/>
    <w:tmpl w:val="F63C08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6696FE0"/>
    <w:multiLevelType w:val="multilevel"/>
    <w:tmpl w:val="26E46144"/>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D24167A"/>
    <w:multiLevelType w:val="hybridMultilevel"/>
    <w:tmpl w:val="138646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4836FB5"/>
    <w:multiLevelType w:val="multilevel"/>
    <w:tmpl w:val="8CCE4380"/>
    <w:lvl w:ilvl="0">
      <w:start w:val="1"/>
      <w:numFmt w:val="decimal"/>
      <w:lvlText w:val="%1."/>
      <w:lvlJc w:val="left"/>
      <w:pPr>
        <w:ind w:left="720" w:hanging="360"/>
      </w:pPr>
      <w:rPr>
        <w:rFonts w:asciiTheme="minorHAnsi" w:eastAsiaTheme="minorHAnsi" w:hAnsiTheme="minorHAnsi" w:cstheme="minorBidi"/>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63FA0"/>
    <w:multiLevelType w:val="hybridMultilevel"/>
    <w:tmpl w:val="48985F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73B4D51"/>
    <w:multiLevelType w:val="hybridMultilevel"/>
    <w:tmpl w:val="A27E45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6B55DE"/>
    <w:multiLevelType w:val="hybridMultilevel"/>
    <w:tmpl w:val="3C7CF5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ECF68D5"/>
    <w:multiLevelType w:val="hybridMultilevel"/>
    <w:tmpl w:val="EED616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976AB7"/>
    <w:multiLevelType w:val="hybridMultilevel"/>
    <w:tmpl w:val="5EDA38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B932687"/>
    <w:multiLevelType w:val="hybridMultilevel"/>
    <w:tmpl w:val="8CC29568"/>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BAF6504"/>
    <w:multiLevelType w:val="hybridMultilevel"/>
    <w:tmpl w:val="141A67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D3E299D"/>
    <w:multiLevelType w:val="hybridMultilevel"/>
    <w:tmpl w:val="4E3CD8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23A76F0"/>
    <w:multiLevelType w:val="hybridMultilevel"/>
    <w:tmpl w:val="76C26C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D6F5F88"/>
    <w:multiLevelType w:val="hybridMultilevel"/>
    <w:tmpl w:val="C33C7B90"/>
    <w:lvl w:ilvl="0" w:tplc="259C19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BC6F29"/>
    <w:multiLevelType w:val="multilevel"/>
    <w:tmpl w:val="C6A8CCEA"/>
    <w:numStyleLink w:val="Headings"/>
  </w:abstractNum>
  <w:abstractNum w:abstractNumId="44"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0"/>
  </w:num>
  <w:num w:numId="3">
    <w:abstractNumId w:val="4"/>
  </w:num>
  <w:num w:numId="4">
    <w:abstractNumId w:val="3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8"/>
  </w:num>
  <w:num w:numId="8">
    <w:abstractNumId w:val="16"/>
  </w:num>
  <w:num w:numId="9">
    <w:abstractNumId w:val="19"/>
  </w:num>
  <w:num w:numId="10">
    <w:abstractNumId w:val="17"/>
  </w:num>
  <w:num w:numId="11">
    <w:abstractNumId w:val="8"/>
  </w:num>
  <w:num w:numId="12">
    <w:abstractNumId w:val="44"/>
  </w:num>
  <w:num w:numId="13">
    <w:abstractNumId w:val="28"/>
  </w:num>
  <w:num w:numId="14">
    <w:abstractNumId w:val="10"/>
  </w:num>
  <w:num w:numId="15">
    <w:abstractNumId w:val="24"/>
  </w:num>
  <w:num w:numId="16">
    <w:abstractNumId w:val="35"/>
  </w:num>
  <w:num w:numId="17">
    <w:abstractNumId w:val="9"/>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43"/>
  </w:num>
  <w:num w:numId="21">
    <w:abstractNumId w:val="9"/>
  </w:num>
  <w:num w:numId="22">
    <w:abstractNumId w:val="9"/>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15"/>
  </w:num>
  <w:num w:numId="24">
    <w:abstractNumId w:val="6"/>
  </w:num>
  <w:num w:numId="25">
    <w:abstractNumId w:val="2"/>
  </w:num>
  <w:num w:numId="26">
    <w:abstractNumId w:val="39"/>
  </w:num>
  <w:num w:numId="27">
    <w:abstractNumId w:val="3"/>
  </w:num>
  <w:num w:numId="28">
    <w:abstractNumId w:val="14"/>
  </w:num>
  <w:num w:numId="29">
    <w:abstractNumId w:val="20"/>
  </w:num>
  <w:num w:numId="30">
    <w:abstractNumId w:val="7"/>
  </w:num>
  <w:num w:numId="31">
    <w:abstractNumId w:val="12"/>
  </w:num>
  <w:num w:numId="32">
    <w:abstractNumId w:val="29"/>
  </w:num>
  <w:num w:numId="33">
    <w:abstractNumId w:val="26"/>
  </w:num>
  <w:num w:numId="34">
    <w:abstractNumId w:val="41"/>
  </w:num>
  <w:num w:numId="35">
    <w:abstractNumId w:val="33"/>
  </w:num>
  <w:num w:numId="36">
    <w:abstractNumId w:val="32"/>
  </w:num>
  <w:num w:numId="37">
    <w:abstractNumId w:val="11"/>
  </w:num>
  <w:num w:numId="38">
    <w:abstractNumId w:val="25"/>
  </w:num>
  <w:num w:numId="39">
    <w:abstractNumId w:val="1"/>
  </w:num>
  <w:num w:numId="40">
    <w:abstractNumId w:val="38"/>
  </w:num>
  <w:num w:numId="41">
    <w:abstractNumId w:val="27"/>
  </w:num>
  <w:num w:numId="42">
    <w:abstractNumId w:val="21"/>
  </w:num>
  <w:num w:numId="43">
    <w:abstractNumId w:val="34"/>
  </w:num>
  <w:num w:numId="44">
    <w:abstractNumId w:val="31"/>
  </w:num>
  <w:num w:numId="45">
    <w:abstractNumId w:val="37"/>
  </w:num>
  <w:num w:numId="46">
    <w:abstractNumId w:val="40"/>
  </w:num>
  <w:num w:numId="47">
    <w:abstractNumId w:val="5"/>
  </w:num>
  <w:num w:numId="48">
    <w:abstractNumId w:val="23"/>
  </w:num>
  <w:num w:numId="49">
    <w:abstractNumId w:val="42"/>
  </w:num>
  <w:num w:numId="50">
    <w:abstractNumId w:val="9"/>
    <w:lvlOverride w:ilvl="0">
      <w:startOverride w:val="1"/>
      <w:lvl w:ilvl="0">
        <w:start w:val="1"/>
        <w:numFmt w:val="decimal"/>
        <w:pStyle w:val="Heading1"/>
        <w:lvlText w:val="%1"/>
        <w:lvlJc w:val="left"/>
        <w:pPr>
          <w:tabs>
            <w:tab w:val="num" w:pos="567"/>
          </w:tabs>
          <w:ind w:left="567" w:hanging="567"/>
        </w:pPr>
        <w:rPr>
          <w:rFonts w:hint="default"/>
        </w:rPr>
      </w:lvl>
    </w:lvlOverride>
    <w:lvlOverride w:ilvl="1">
      <w:startOverride w:val="1"/>
      <w:lvl w:ilvl="1">
        <w:start w:val="1"/>
        <w:numFmt w:val="decimal"/>
        <w:pStyle w:val="Heading2"/>
        <w:lvlText w:val="%1.%2"/>
        <w:lvlJc w:val="left"/>
        <w:pPr>
          <w:tabs>
            <w:tab w:val="num" w:pos="567"/>
          </w:tabs>
          <w:ind w:left="567" w:hanging="567"/>
        </w:pPr>
        <w:rPr>
          <w:rFonts w:hint="default"/>
        </w:rPr>
      </w:lvl>
    </w:lvlOverride>
    <w:lvlOverride w:ilvl="2">
      <w:startOverride w:val="1"/>
      <w:lvl w:ilvl="2">
        <w:start w:val="1"/>
        <w:numFmt w:val="decimal"/>
        <w:pStyle w:val="Heading3"/>
        <w:lvlText w:val="%1.%2.%3"/>
        <w:lvlJc w:val="left"/>
        <w:pPr>
          <w:tabs>
            <w:tab w:val="num" w:pos="567"/>
          </w:tabs>
          <w:ind w:left="567" w:hanging="567"/>
        </w:pPr>
        <w:rPr>
          <w:rFonts w:hint="default"/>
        </w:rPr>
      </w:lvl>
    </w:lvlOverride>
    <w:lvlOverride w:ilvl="3">
      <w:startOverride w:val="1"/>
      <w:lvl w:ilvl="3">
        <w:start w:val="1"/>
        <w:numFmt w:val="decimal"/>
        <w:pStyle w:val="Heading4"/>
        <w:lvlText w:val="%1.%2.%3.%4"/>
        <w:lvlJc w:val="left"/>
        <w:pPr>
          <w:tabs>
            <w:tab w:val="num" w:pos="567"/>
          </w:tabs>
          <w:ind w:left="567" w:hanging="567"/>
        </w:pPr>
        <w:rPr>
          <w:rFonts w:hint="default"/>
        </w:rPr>
      </w:lvl>
    </w:lvlOverride>
    <w:lvlOverride w:ilvl="4">
      <w:startOverride w:val="1"/>
      <w:lvl w:ilvl="4">
        <w:start w:val="1"/>
        <w:numFmt w:val="decimal"/>
        <w:pStyle w:val="Heading5"/>
        <w:lvlText w:val="%1.%2.%3.%4.%5"/>
        <w:lvlJc w:val="left"/>
        <w:pPr>
          <w:tabs>
            <w:tab w:val="num" w:pos="567"/>
          </w:tabs>
          <w:ind w:left="567" w:hanging="567"/>
        </w:pPr>
        <w:rPr>
          <w:rFonts w:hint="default"/>
        </w:rPr>
      </w:lvl>
    </w:lvlOverride>
    <w:lvlOverride w:ilvl="5">
      <w:startOverride w:val="1"/>
      <w:lvl w:ilvl="5">
        <w:start w:val="1"/>
        <w:numFmt w:val="lowerRoman"/>
        <w:lvlText w:val="%6."/>
        <w:lvlJc w:val="right"/>
        <w:pPr>
          <w:tabs>
            <w:tab w:val="num" w:pos="567"/>
          </w:tabs>
          <w:ind w:left="567" w:hanging="567"/>
        </w:pPr>
        <w:rPr>
          <w:rFonts w:hint="default"/>
        </w:rPr>
      </w:lvl>
    </w:lvlOverride>
    <w:lvlOverride w:ilvl="6">
      <w:startOverride w:val="1"/>
      <w:lvl w:ilvl="6">
        <w:start w:val="1"/>
        <w:numFmt w:val="decimal"/>
        <w:lvlText w:val="%7."/>
        <w:lvlJc w:val="left"/>
        <w:pPr>
          <w:tabs>
            <w:tab w:val="num" w:pos="567"/>
          </w:tabs>
          <w:ind w:left="567" w:hanging="567"/>
        </w:pPr>
        <w:rPr>
          <w:rFonts w:hint="default"/>
        </w:rPr>
      </w:lvl>
    </w:lvlOverride>
    <w:lvlOverride w:ilvl="7">
      <w:startOverride w:val="1"/>
      <w:lvl w:ilvl="7">
        <w:start w:val="1"/>
        <w:numFmt w:val="lowerLetter"/>
        <w:lvlText w:val="%8."/>
        <w:lvlJc w:val="left"/>
        <w:pPr>
          <w:tabs>
            <w:tab w:val="num" w:pos="567"/>
          </w:tabs>
          <w:ind w:left="567" w:hanging="567"/>
        </w:pPr>
        <w:rPr>
          <w:rFonts w:hint="default"/>
        </w:rPr>
      </w:lvl>
    </w:lvlOverride>
    <w:lvlOverride w:ilvl="8">
      <w:startOverride w:val="1"/>
      <w:lvl w:ilvl="8">
        <w:start w:val="1"/>
        <w:numFmt w:val="lowerRoman"/>
        <w:lvlText w:val="%9."/>
        <w:lvlJc w:val="right"/>
        <w:pPr>
          <w:tabs>
            <w:tab w:val="num" w:pos="567"/>
          </w:tabs>
          <w:ind w:left="567" w:hanging="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E2tDQxtTS3MDQwMjRX0lEKTi0uzszPAykwrQUA4PMzeCwAAAA="/>
  </w:docVars>
  <w:rsids>
    <w:rsidRoot w:val="00681821"/>
    <w:rsid w:val="0001762E"/>
    <w:rsid w:val="00030F28"/>
    <w:rsid w:val="000340A7"/>
    <w:rsid w:val="00034304"/>
    <w:rsid w:val="00035434"/>
    <w:rsid w:val="00035BA5"/>
    <w:rsid w:val="0004555F"/>
    <w:rsid w:val="00045678"/>
    <w:rsid w:val="000458E4"/>
    <w:rsid w:val="00054562"/>
    <w:rsid w:val="000554B2"/>
    <w:rsid w:val="00063D84"/>
    <w:rsid w:val="000658F8"/>
    <w:rsid w:val="0006636D"/>
    <w:rsid w:val="00070E1C"/>
    <w:rsid w:val="00075306"/>
    <w:rsid w:val="00077BA3"/>
    <w:rsid w:val="00077D53"/>
    <w:rsid w:val="00081394"/>
    <w:rsid w:val="00082130"/>
    <w:rsid w:val="000828CD"/>
    <w:rsid w:val="00083A27"/>
    <w:rsid w:val="00084665"/>
    <w:rsid w:val="00086C17"/>
    <w:rsid w:val="00086D0E"/>
    <w:rsid w:val="000962D1"/>
    <w:rsid w:val="000A089C"/>
    <w:rsid w:val="000A75EF"/>
    <w:rsid w:val="000B34BD"/>
    <w:rsid w:val="000B4B6B"/>
    <w:rsid w:val="000B6F27"/>
    <w:rsid w:val="000B726D"/>
    <w:rsid w:val="000C12B6"/>
    <w:rsid w:val="000C7E2A"/>
    <w:rsid w:val="000D4419"/>
    <w:rsid w:val="000D44E1"/>
    <w:rsid w:val="000D707A"/>
    <w:rsid w:val="000D7B9B"/>
    <w:rsid w:val="000E6BC4"/>
    <w:rsid w:val="000E7771"/>
    <w:rsid w:val="000F08CF"/>
    <w:rsid w:val="000F4CFB"/>
    <w:rsid w:val="000F6F47"/>
    <w:rsid w:val="00100ACA"/>
    <w:rsid w:val="0010736C"/>
    <w:rsid w:val="001130FC"/>
    <w:rsid w:val="00115800"/>
    <w:rsid w:val="00117666"/>
    <w:rsid w:val="001223A7"/>
    <w:rsid w:val="001227AF"/>
    <w:rsid w:val="001270A5"/>
    <w:rsid w:val="001270C0"/>
    <w:rsid w:val="00134256"/>
    <w:rsid w:val="00137BE8"/>
    <w:rsid w:val="00140500"/>
    <w:rsid w:val="001450F3"/>
    <w:rsid w:val="00147395"/>
    <w:rsid w:val="001511B1"/>
    <w:rsid w:val="00154DD9"/>
    <w:rsid w:val="00155256"/>
    <w:rsid w:val="001552C9"/>
    <w:rsid w:val="00155C38"/>
    <w:rsid w:val="00156C51"/>
    <w:rsid w:val="00160108"/>
    <w:rsid w:val="001729A4"/>
    <w:rsid w:val="0017314B"/>
    <w:rsid w:val="0017368D"/>
    <w:rsid w:val="00177D84"/>
    <w:rsid w:val="00190EBE"/>
    <w:rsid w:val="001964EF"/>
    <w:rsid w:val="001B0550"/>
    <w:rsid w:val="001B1A2C"/>
    <w:rsid w:val="001B6FE2"/>
    <w:rsid w:val="001C0BC0"/>
    <w:rsid w:val="001C185D"/>
    <w:rsid w:val="001C4222"/>
    <w:rsid w:val="001C56ED"/>
    <w:rsid w:val="001D404D"/>
    <w:rsid w:val="001D477A"/>
    <w:rsid w:val="001D5C23"/>
    <w:rsid w:val="001E5651"/>
    <w:rsid w:val="001E64CB"/>
    <w:rsid w:val="001F3BCD"/>
    <w:rsid w:val="001F4C07"/>
    <w:rsid w:val="00201260"/>
    <w:rsid w:val="00214E9C"/>
    <w:rsid w:val="00220AEA"/>
    <w:rsid w:val="002240CF"/>
    <w:rsid w:val="00226954"/>
    <w:rsid w:val="00234C1D"/>
    <w:rsid w:val="0023737E"/>
    <w:rsid w:val="002402EC"/>
    <w:rsid w:val="00241234"/>
    <w:rsid w:val="0024754D"/>
    <w:rsid w:val="0025380C"/>
    <w:rsid w:val="0025614A"/>
    <w:rsid w:val="002629A3"/>
    <w:rsid w:val="002643CA"/>
    <w:rsid w:val="00265660"/>
    <w:rsid w:val="00266FAC"/>
    <w:rsid w:val="00267D18"/>
    <w:rsid w:val="00271FE0"/>
    <w:rsid w:val="00273B3C"/>
    <w:rsid w:val="002817E1"/>
    <w:rsid w:val="002834CE"/>
    <w:rsid w:val="002868E2"/>
    <w:rsid w:val="002869C3"/>
    <w:rsid w:val="002936E4"/>
    <w:rsid w:val="00296B88"/>
    <w:rsid w:val="002A028B"/>
    <w:rsid w:val="002A1F03"/>
    <w:rsid w:val="002B7236"/>
    <w:rsid w:val="002B7F6D"/>
    <w:rsid w:val="002C1FF6"/>
    <w:rsid w:val="002C74CA"/>
    <w:rsid w:val="002D17B5"/>
    <w:rsid w:val="002D44BA"/>
    <w:rsid w:val="002E0328"/>
    <w:rsid w:val="002E084D"/>
    <w:rsid w:val="002E7863"/>
    <w:rsid w:val="002F2DC6"/>
    <w:rsid w:val="002F744D"/>
    <w:rsid w:val="00300936"/>
    <w:rsid w:val="00301B52"/>
    <w:rsid w:val="0030256A"/>
    <w:rsid w:val="00303DE6"/>
    <w:rsid w:val="00310124"/>
    <w:rsid w:val="00316C20"/>
    <w:rsid w:val="00321634"/>
    <w:rsid w:val="00321715"/>
    <w:rsid w:val="003227C4"/>
    <w:rsid w:val="00323609"/>
    <w:rsid w:val="00324406"/>
    <w:rsid w:val="00327FAF"/>
    <w:rsid w:val="00336488"/>
    <w:rsid w:val="00343F1D"/>
    <w:rsid w:val="00347451"/>
    <w:rsid w:val="003544FB"/>
    <w:rsid w:val="0035733E"/>
    <w:rsid w:val="0036015C"/>
    <w:rsid w:val="00364D2A"/>
    <w:rsid w:val="00365D63"/>
    <w:rsid w:val="0036793B"/>
    <w:rsid w:val="003709E4"/>
    <w:rsid w:val="00372682"/>
    <w:rsid w:val="00376CC5"/>
    <w:rsid w:val="00386D78"/>
    <w:rsid w:val="00393D7B"/>
    <w:rsid w:val="0039693B"/>
    <w:rsid w:val="003A3D31"/>
    <w:rsid w:val="003B213E"/>
    <w:rsid w:val="003C0B7A"/>
    <w:rsid w:val="003C4A6B"/>
    <w:rsid w:val="003D2F2D"/>
    <w:rsid w:val="003D31ED"/>
    <w:rsid w:val="003E2DF1"/>
    <w:rsid w:val="003E7E19"/>
    <w:rsid w:val="003F63BC"/>
    <w:rsid w:val="00401590"/>
    <w:rsid w:val="0040252A"/>
    <w:rsid w:val="004027BA"/>
    <w:rsid w:val="00407523"/>
    <w:rsid w:val="00411531"/>
    <w:rsid w:val="0041324A"/>
    <w:rsid w:val="00417323"/>
    <w:rsid w:val="00420763"/>
    <w:rsid w:val="004212D4"/>
    <w:rsid w:val="00422C94"/>
    <w:rsid w:val="00425945"/>
    <w:rsid w:val="00433817"/>
    <w:rsid w:val="0043665F"/>
    <w:rsid w:val="00446C35"/>
    <w:rsid w:val="00454A5C"/>
    <w:rsid w:val="00462FB2"/>
    <w:rsid w:val="00463E3D"/>
    <w:rsid w:val="004645AE"/>
    <w:rsid w:val="0046571A"/>
    <w:rsid w:val="004719E8"/>
    <w:rsid w:val="00480944"/>
    <w:rsid w:val="004853B0"/>
    <w:rsid w:val="0048708B"/>
    <w:rsid w:val="0049211D"/>
    <w:rsid w:val="00495AA7"/>
    <w:rsid w:val="00495D80"/>
    <w:rsid w:val="00496467"/>
    <w:rsid w:val="004A1D5F"/>
    <w:rsid w:val="004A64F8"/>
    <w:rsid w:val="004B544B"/>
    <w:rsid w:val="004C16A1"/>
    <w:rsid w:val="004C43B1"/>
    <w:rsid w:val="004D3E33"/>
    <w:rsid w:val="004E0EF5"/>
    <w:rsid w:val="004F327C"/>
    <w:rsid w:val="004F5BAA"/>
    <w:rsid w:val="004F73B6"/>
    <w:rsid w:val="00501936"/>
    <w:rsid w:val="00511FFC"/>
    <w:rsid w:val="00512470"/>
    <w:rsid w:val="00513434"/>
    <w:rsid w:val="005250F2"/>
    <w:rsid w:val="005436D5"/>
    <w:rsid w:val="00556B2A"/>
    <w:rsid w:val="00557BDC"/>
    <w:rsid w:val="00563DB0"/>
    <w:rsid w:val="005654C2"/>
    <w:rsid w:val="00571F06"/>
    <w:rsid w:val="00576816"/>
    <w:rsid w:val="00576DA2"/>
    <w:rsid w:val="0057753F"/>
    <w:rsid w:val="005871AE"/>
    <w:rsid w:val="005920FE"/>
    <w:rsid w:val="005A1D84"/>
    <w:rsid w:val="005A70EA"/>
    <w:rsid w:val="005B11E6"/>
    <w:rsid w:val="005B412E"/>
    <w:rsid w:val="005B5B1A"/>
    <w:rsid w:val="005C0A02"/>
    <w:rsid w:val="005C3963"/>
    <w:rsid w:val="005D1840"/>
    <w:rsid w:val="005D35E4"/>
    <w:rsid w:val="005D7910"/>
    <w:rsid w:val="005D7C9A"/>
    <w:rsid w:val="005E15A4"/>
    <w:rsid w:val="005F2027"/>
    <w:rsid w:val="005F609D"/>
    <w:rsid w:val="00600760"/>
    <w:rsid w:val="0060150B"/>
    <w:rsid w:val="006209B7"/>
    <w:rsid w:val="00620C1F"/>
    <w:rsid w:val="0062154F"/>
    <w:rsid w:val="00626B3E"/>
    <w:rsid w:val="00627BBE"/>
    <w:rsid w:val="006301BD"/>
    <w:rsid w:val="00631A8C"/>
    <w:rsid w:val="00637187"/>
    <w:rsid w:val="00651CA2"/>
    <w:rsid w:val="00652205"/>
    <w:rsid w:val="00653D60"/>
    <w:rsid w:val="00660D05"/>
    <w:rsid w:val="0066601B"/>
    <w:rsid w:val="00666856"/>
    <w:rsid w:val="006708D1"/>
    <w:rsid w:val="00671D9A"/>
    <w:rsid w:val="00673952"/>
    <w:rsid w:val="00674BCC"/>
    <w:rsid w:val="00674DA7"/>
    <w:rsid w:val="00681561"/>
    <w:rsid w:val="00681821"/>
    <w:rsid w:val="0068283C"/>
    <w:rsid w:val="00683FBC"/>
    <w:rsid w:val="00684422"/>
    <w:rsid w:val="00686B46"/>
    <w:rsid w:val="00686C9D"/>
    <w:rsid w:val="00694027"/>
    <w:rsid w:val="006949B4"/>
    <w:rsid w:val="006A16E4"/>
    <w:rsid w:val="006A7644"/>
    <w:rsid w:val="006B2D5B"/>
    <w:rsid w:val="006B2DCB"/>
    <w:rsid w:val="006B361D"/>
    <w:rsid w:val="006B7D14"/>
    <w:rsid w:val="006C69EE"/>
    <w:rsid w:val="006D177C"/>
    <w:rsid w:val="006D3DBF"/>
    <w:rsid w:val="006D5B93"/>
    <w:rsid w:val="006E4D0D"/>
    <w:rsid w:val="006E5B98"/>
    <w:rsid w:val="00700FD2"/>
    <w:rsid w:val="00705928"/>
    <w:rsid w:val="00706944"/>
    <w:rsid w:val="00707568"/>
    <w:rsid w:val="00707723"/>
    <w:rsid w:val="0071648D"/>
    <w:rsid w:val="00717B40"/>
    <w:rsid w:val="00725A7D"/>
    <w:rsid w:val="0073085C"/>
    <w:rsid w:val="007313CD"/>
    <w:rsid w:val="00733784"/>
    <w:rsid w:val="00746505"/>
    <w:rsid w:val="00747376"/>
    <w:rsid w:val="0075472D"/>
    <w:rsid w:val="00760D70"/>
    <w:rsid w:val="00771688"/>
    <w:rsid w:val="00773B75"/>
    <w:rsid w:val="00790BB3"/>
    <w:rsid w:val="00792043"/>
    <w:rsid w:val="00794E30"/>
    <w:rsid w:val="00795235"/>
    <w:rsid w:val="00797EDD"/>
    <w:rsid w:val="007A23AC"/>
    <w:rsid w:val="007A2616"/>
    <w:rsid w:val="007A3938"/>
    <w:rsid w:val="007A61FE"/>
    <w:rsid w:val="007B0322"/>
    <w:rsid w:val="007B2034"/>
    <w:rsid w:val="007B2DA5"/>
    <w:rsid w:val="007B306E"/>
    <w:rsid w:val="007B55B8"/>
    <w:rsid w:val="007C0E3F"/>
    <w:rsid w:val="007C174B"/>
    <w:rsid w:val="007C206C"/>
    <w:rsid w:val="007C5729"/>
    <w:rsid w:val="007D1D09"/>
    <w:rsid w:val="007D2CF5"/>
    <w:rsid w:val="007D5109"/>
    <w:rsid w:val="007E536F"/>
    <w:rsid w:val="007E7ACC"/>
    <w:rsid w:val="007E7D8E"/>
    <w:rsid w:val="0080167F"/>
    <w:rsid w:val="00805E32"/>
    <w:rsid w:val="008111E4"/>
    <w:rsid w:val="0081301C"/>
    <w:rsid w:val="0081496F"/>
    <w:rsid w:val="00814EDD"/>
    <w:rsid w:val="00817DD6"/>
    <w:rsid w:val="00826377"/>
    <w:rsid w:val="008273DB"/>
    <w:rsid w:val="008309F2"/>
    <w:rsid w:val="008403EB"/>
    <w:rsid w:val="00841CF7"/>
    <w:rsid w:val="008516BF"/>
    <w:rsid w:val="008629A9"/>
    <w:rsid w:val="00867312"/>
    <w:rsid w:val="00874CCE"/>
    <w:rsid w:val="00875878"/>
    <w:rsid w:val="00883886"/>
    <w:rsid w:val="0088513A"/>
    <w:rsid w:val="008919A2"/>
    <w:rsid w:val="00892C03"/>
    <w:rsid w:val="00893C19"/>
    <w:rsid w:val="00895203"/>
    <w:rsid w:val="008B29A0"/>
    <w:rsid w:val="008B7729"/>
    <w:rsid w:val="008C4CAC"/>
    <w:rsid w:val="008C5F2D"/>
    <w:rsid w:val="008C63A0"/>
    <w:rsid w:val="008D5704"/>
    <w:rsid w:val="008D5A24"/>
    <w:rsid w:val="008D6C8D"/>
    <w:rsid w:val="008E1468"/>
    <w:rsid w:val="008E27F4"/>
    <w:rsid w:val="008E2B54"/>
    <w:rsid w:val="008E4404"/>
    <w:rsid w:val="008E4AC2"/>
    <w:rsid w:val="008E557C"/>
    <w:rsid w:val="008E58C7"/>
    <w:rsid w:val="008E60F4"/>
    <w:rsid w:val="008F5021"/>
    <w:rsid w:val="008F7595"/>
    <w:rsid w:val="008F771D"/>
    <w:rsid w:val="00916C55"/>
    <w:rsid w:val="00937238"/>
    <w:rsid w:val="009377D0"/>
    <w:rsid w:val="009402D3"/>
    <w:rsid w:val="00941420"/>
    <w:rsid w:val="00943573"/>
    <w:rsid w:val="009440B0"/>
    <w:rsid w:val="00950973"/>
    <w:rsid w:val="00954D9C"/>
    <w:rsid w:val="00957879"/>
    <w:rsid w:val="00960449"/>
    <w:rsid w:val="0096098B"/>
    <w:rsid w:val="00966A92"/>
    <w:rsid w:val="00971B61"/>
    <w:rsid w:val="00971F4D"/>
    <w:rsid w:val="00980C31"/>
    <w:rsid w:val="00985419"/>
    <w:rsid w:val="00991EA7"/>
    <w:rsid w:val="009955FF"/>
    <w:rsid w:val="0099717A"/>
    <w:rsid w:val="00997293"/>
    <w:rsid w:val="009B7C2F"/>
    <w:rsid w:val="009D259D"/>
    <w:rsid w:val="009D345B"/>
    <w:rsid w:val="009D3959"/>
    <w:rsid w:val="009E23A0"/>
    <w:rsid w:val="009E51A3"/>
    <w:rsid w:val="009F0C2B"/>
    <w:rsid w:val="009F557F"/>
    <w:rsid w:val="00A0293D"/>
    <w:rsid w:val="00A04241"/>
    <w:rsid w:val="00A10281"/>
    <w:rsid w:val="00A12C9A"/>
    <w:rsid w:val="00A15FDE"/>
    <w:rsid w:val="00A3087C"/>
    <w:rsid w:val="00A32CC5"/>
    <w:rsid w:val="00A50D9D"/>
    <w:rsid w:val="00A53000"/>
    <w:rsid w:val="00A545C6"/>
    <w:rsid w:val="00A61DE5"/>
    <w:rsid w:val="00A652D0"/>
    <w:rsid w:val="00A75F87"/>
    <w:rsid w:val="00A95D8B"/>
    <w:rsid w:val="00AA0646"/>
    <w:rsid w:val="00AA6B0A"/>
    <w:rsid w:val="00AC0270"/>
    <w:rsid w:val="00AC08CC"/>
    <w:rsid w:val="00AC3EA3"/>
    <w:rsid w:val="00AC792D"/>
    <w:rsid w:val="00AC7F17"/>
    <w:rsid w:val="00AD0458"/>
    <w:rsid w:val="00AD668D"/>
    <w:rsid w:val="00AD74EC"/>
    <w:rsid w:val="00AF2938"/>
    <w:rsid w:val="00B0145D"/>
    <w:rsid w:val="00B14048"/>
    <w:rsid w:val="00B16FB0"/>
    <w:rsid w:val="00B25779"/>
    <w:rsid w:val="00B27BA5"/>
    <w:rsid w:val="00B3723B"/>
    <w:rsid w:val="00B433A9"/>
    <w:rsid w:val="00B4360E"/>
    <w:rsid w:val="00B52FF8"/>
    <w:rsid w:val="00B53055"/>
    <w:rsid w:val="00B56604"/>
    <w:rsid w:val="00B657B8"/>
    <w:rsid w:val="00B76F2C"/>
    <w:rsid w:val="00B8044B"/>
    <w:rsid w:val="00B83ED5"/>
    <w:rsid w:val="00B84920"/>
    <w:rsid w:val="00B8556A"/>
    <w:rsid w:val="00BA65D8"/>
    <w:rsid w:val="00BC5703"/>
    <w:rsid w:val="00BD0B48"/>
    <w:rsid w:val="00BD50FE"/>
    <w:rsid w:val="00BD5B83"/>
    <w:rsid w:val="00BE336B"/>
    <w:rsid w:val="00BE61C9"/>
    <w:rsid w:val="00BE691F"/>
    <w:rsid w:val="00BF71B7"/>
    <w:rsid w:val="00C012A3"/>
    <w:rsid w:val="00C040C4"/>
    <w:rsid w:val="00C068B7"/>
    <w:rsid w:val="00C07462"/>
    <w:rsid w:val="00C13785"/>
    <w:rsid w:val="00C15BDF"/>
    <w:rsid w:val="00C16F19"/>
    <w:rsid w:val="00C311B9"/>
    <w:rsid w:val="00C32F98"/>
    <w:rsid w:val="00C447F2"/>
    <w:rsid w:val="00C52A7B"/>
    <w:rsid w:val="00C54D72"/>
    <w:rsid w:val="00C6324C"/>
    <w:rsid w:val="00C639E4"/>
    <w:rsid w:val="00C66DB5"/>
    <w:rsid w:val="00C679AA"/>
    <w:rsid w:val="00C70F59"/>
    <w:rsid w:val="00C724CF"/>
    <w:rsid w:val="00C72B59"/>
    <w:rsid w:val="00C74389"/>
    <w:rsid w:val="00C75453"/>
    <w:rsid w:val="00C75972"/>
    <w:rsid w:val="00C75989"/>
    <w:rsid w:val="00C80A88"/>
    <w:rsid w:val="00C82792"/>
    <w:rsid w:val="00C858EA"/>
    <w:rsid w:val="00C86D2E"/>
    <w:rsid w:val="00C91094"/>
    <w:rsid w:val="00C91DD2"/>
    <w:rsid w:val="00C948FD"/>
    <w:rsid w:val="00C94D1C"/>
    <w:rsid w:val="00C963FF"/>
    <w:rsid w:val="00C9790E"/>
    <w:rsid w:val="00C97B6A"/>
    <w:rsid w:val="00CA0E4B"/>
    <w:rsid w:val="00CA58C4"/>
    <w:rsid w:val="00CB2882"/>
    <w:rsid w:val="00CB43D5"/>
    <w:rsid w:val="00CB57A5"/>
    <w:rsid w:val="00CB5B6B"/>
    <w:rsid w:val="00CB7865"/>
    <w:rsid w:val="00CC76F9"/>
    <w:rsid w:val="00CC7CF1"/>
    <w:rsid w:val="00CD066B"/>
    <w:rsid w:val="00CD43F6"/>
    <w:rsid w:val="00CD46E2"/>
    <w:rsid w:val="00CE2222"/>
    <w:rsid w:val="00CE28DB"/>
    <w:rsid w:val="00CE4DD7"/>
    <w:rsid w:val="00CF2C77"/>
    <w:rsid w:val="00CF5C12"/>
    <w:rsid w:val="00D00D0B"/>
    <w:rsid w:val="00D04B69"/>
    <w:rsid w:val="00D11825"/>
    <w:rsid w:val="00D131CE"/>
    <w:rsid w:val="00D134A1"/>
    <w:rsid w:val="00D146D8"/>
    <w:rsid w:val="00D14B27"/>
    <w:rsid w:val="00D16BF3"/>
    <w:rsid w:val="00D2186F"/>
    <w:rsid w:val="00D42E1C"/>
    <w:rsid w:val="00D537FA"/>
    <w:rsid w:val="00D5547D"/>
    <w:rsid w:val="00D60B4F"/>
    <w:rsid w:val="00D80D99"/>
    <w:rsid w:val="00D861E5"/>
    <w:rsid w:val="00D9503C"/>
    <w:rsid w:val="00DB01C0"/>
    <w:rsid w:val="00DB60DD"/>
    <w:rsid w:val="00DC5AF4"/>
    <w:rsid w:val="00DC7206"/>
    <w:rsid w:val="00DD551D"/>
    <w:rsid w:val="00DD73EF"/>
    <w:rsid w:val="00DE23E8"/>
    <w:rsid w:val="00DE5681"/>
    <w:rsid w:val="00E0128B"/>
    <w:rsid w:val="00E03A50"/>
    <w:rsid w:val="00E068A4"/>
    <w:rsid w:val="00E22C4D"/>
    <w:rsid w:val="00E26A46"/>
    <w:rsid w:val="00E3306B"/>
    <w:rsid w:val="00E37956"/>
    <w:rsid w:val="00E47145"/>
    <w:rsid w:val="00E501EC"/>
    <w:rsid w:val="00E56A04"/>
    <w:rsid w:val="00E6020F"/>
    <w:rsid w:val="00E64E17"/>
    <w:rsid w:val="00E66D64"/>
    <w:rsid w:val="00E93CE3"/>
    <w:rsid w:val="00EA3D3C"/>
    <w:rsid w:val="00EA4029"/>
    <w:rsid w:val="00EA70AF"/>
    <w:rsid w:val="00EB386F"/>
    <w:rsid w:val="00EB3B6F"/>
    <w:rsid w:val="00EC2FE3"/>
    <w:rsid w:val="00EC4781"/>
    <w:rsid w:val="00EC4B5F"/>
    <w:rsid w:val="00EC7CC3"/>
    <w:rsid w:val="00ED3903"/>
    <w:rsid w:val="00ED7237"/>
    <w:rsid w:val="00ED7984"/>
    <w:rsid w:val="00EE3A89"/>
    <w:rsid w:val="00EF351B"/>
    <w:rsid w:val="00EF4CC9"/>
    <w:rsid w:val="00EF6DB8"/>
    <w:rsid w:val="00F1287E"/>
    <w:rsid w:val="00F13074"/>
    <w:rsid w:val="00F135C4"/>
    <w:rsid w:val="00F20ECD"/>
    <w:rsid w:val="00F25E42"/>
    <w:rsid w:val="00F33924"/>
    <w:rsid w:val="00F40990"/>
    <w:rsid w:val="00F41076"/>
    <w:rsid w:val="00F432EE"/>
    <w:rsid w:val="00F46494"/>
    <w:rsid w:val="00F53102"/>
    <w:rsid w:val="00F542D1"/>
    <w:rsid w:val="00F558AB"/>
    <w:rsid w:val="00F61D89"/>
    <w:rsid w:val="00F643C6"/>
    <w:rsid w:val="00F64861"/>
    <w:rsid w:val="00F6712B"/>
    <w:rsid w:val="00F8365D"/>
    <w:rsid w:val="00F86ABB"/>
    <w:rsid w:val="00F94A5C"/>
    <w:rsid w:val="00F94C93"/>
    <w:rsid w:val="00FA0235"/>
    <w:rsid w:val="00FA3CEB"/>
    <w:rsid w:val="00FA75DA"/>
    <w:rsid w:val="00FB1DA7"/>
    <w:rsid w:val="00FB53BA"/>
    <w:rsid w:val="00FC0D90"/>
    <w:rsid w:val="00FC172F"/>
    <w:rsid w:val="00FC274E"/>
    <w:rsid w:val="00FC3940"/>
    <w:rsid w:val="00FC55B6"/>
    <w:rsid w:val="00FD462B"/>
    <w:rsid w:val="00FD52E1"/>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54AC1F59-9D2E-4447-B157-F164E2F4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lang w:val="en-IE"/>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6B361D"/>
    <w:rPr>
      <w:color w:val="605E5C"/>
      <w:shd w:val="clear" w:color="auto" w:fill="E1DFDD"/>
    </w:rPr>
  </w:style>
  <w:style w:type="character" w:customStyle="1" w:styleId="UnresolvedMention2">
    <w:name w:val="Unresolved Mention2"/>
    <w:basedOn w:val="DefaultParagraphFont"/>
    <w:uiPriority w:val="99"/>
    <w:semiHidden/>
    <w:unhideWhenUsed/>
    <w:rsid w:val="00682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0568333">
      <w:bodyDiv w:val="1"/>
      <w:marLeft w:val="0"/>
      <w:marRight w:val="0"/>
      <w:marTop w:val="0"/>
      <w:marBottom w:val="0"/>
      <w:divBdr>
        <w:top w:val="none" w:sz="0" w:space="0" w:color="auto"/>
        <w:left w:val="none" w:sz="0" w:space="0" w:color="auto"/>
        <w:bottom w:val="none" w:sz="0" w:space="0" w:color="auto"/>
        <w:right w:val="none" w:sz="0" w:space="0" w:color="auto"/>
      </w:divBdr>
      <w:divsChild>
        <w:div w:id="2079553217">
          <w:marLeft w:val="0"/>
          <w:marRight w:val="0"/>
          <w:marTop w:val="0"/>
          <w:marBottom w:val="0"/>
          <w:divBdr>
            <w:top w:val="none" w:sz="0" w:space="0" w:color="auto"/>
            <w:left w:val="none" w:sz="0" w:space="0" w:color="auto"/>
            <w:bottom w:val="none" w:sz="0" w:space="0" w:color="auto"/>
            <w:right w:val="none" w:sz="0" w:space="0" w:color="auto"/>
          </w:divBdr>
          <w:divsChild>
            <w:div w:id="4792915">
              <w:marLeft w:val="0"/>
              <w:marRight w:val="0"/>
              <w:marTop w:val="0"/>
              <w:marBottom w:val="240"/>
              <w:divBdr>
                <w:top w:val="none" w:sz="0" w:space="0" w:color="auto"/>
                <w:left w:val="none" w:sz="0" w:space="0" w:color="auto"/>
                <w:bottom w:val="none" w:sz="0" w:space="0" w:color="auto"/>
                <w:right w:val="none" w:sz="0" w:space="0" w:color="auto"/>
              </w:divBdr>
            </w:div>
            <w:div w:id="73204979">
              <w:marLeft w:val="0"/>
              <w:marRight w:val="0"/>
              <w:marTop w:val="0"/>
              <w:marBottom w:val="240"/>
              <w:divBdr>
                <w:top w:val="none" w:sz="0" w:space="0" w:color="auto"/>
                <w:left w:val="none" w:sz="0" w:space="0" w:color="auto"/>
                <w:bottom w:val="none" w:sz="0" w:space="0" w:color="auto"/>
                <w:right w:val="none" w:sz="0" w:space="0" w:color="auto"/>
              </w:divBdr>
            </w:div>
            <w:div w:id="91321706">
              <w:marLeft w:val="0"/>
              <w:marRight w:val="0"/>
              <w:marTop w:val="0"/>
              <w:marBottom w:val="240"/>
              <w:divBdr>
                <w:top w:val="none" w:sz="0" w:space="0" w:color="auto"/>
                <w:left w:val="none" w:sz="0" w:space="0" w:color="auto"/>
                <w:bottom w:val="none" w:sz="0" w:space="0" w:color="auto"/>
                <w:right w:val="none" w:sz="0" w:space="0" w:color="auto"/>
              </w:divBdr>
            </w:div>
            <w:div w:id="102068996">
              <w:marLeft w:val="0"/>
              <w:marRight w:val="0"/>
              <w:marTop w:val="0"/>
              <w:marBottom w:val="240"/>
              <w:divBdr>
                <w:top w:val="none" w:sz="0" w:space="0" w:color="auto"/>
                <w:left w:val="none" w:sz="0" w:space="0" w:color="auto"/>
                <w:bottom w:val="none" w:sz="0" w:space="0" w:color="auto"/>
                <w:right w:val="none" w:sz="0" w:space="0" w:color="auto"/>
              </w:divBdr>
            </w:div>
            <w:div w:id="200634704">
              <w:marLeft w:val="0"/>
              <w:marRight w:val="0"/>
              <w:marTop w:val="0"/>
              <w:marBottom w:val="240"/>
              <w:divBdr>
                <w:top w:val="none" w:sz="0" w:space="0" w:color="auto"/>
                <w:left w:val="none" w:sz="0" w:space="0" w:color="auto"/>
                <w:bottom w:val="none" w:sz="0" w:space="0" w:color="auto"/>
                <w:right w:val="none" w:sz="0" w:space="0" w:color="auto"/>
              </w:divBdr>
            </w:div>
            <w:div w:id="316374419">
              <w:marLeft w:val="0"/>
              <w:marRight w:val="0"/>
              <w:marTop w:val="0"/>
              <w:marBottom w:val="240"/>
              <w:divBdr>
                <w:top w:val="none" w:sz="0" w:space="0" w:color="auto"/>
                <w:left w:val="none" w:sz="0" w:space="0" w:color="auto"/>
                <w:bottom w:val="none" w:sz="0" w:space="0" w:color="auto"/>
                <w:right w:val="none" w:sz="0" w:space="0" w:color="auto"/>
              </w:divBdr>
            </w:div>
            <w:div w:id="334266193">
              <w:marLeft w:val="0"/>
              <w:marRight w:val="0"/>
              <w:marTop w:val="0"/>
              <w:marBottom w:val="240"/>
              <w:divBdr>
                <w:top w:val="none" w:sz="0" w:space="0" w:color="auto"/>
                <w:left w:val="none" w:sz="0" w:space="0" w:color="auto"/>
                <w:bottom w:val="none" w:sz="0" w:space="0" w:color="auto"/>
                <w:right w:val="none" w:sz="0" w:space="0" w:color="auto"/>
              </w:divBdr>
            </w:div>
            <w:div w:id="363098180">
              <w:marLeft w:val="0"/>
              <w:marRight w:val="0"/>
              <w:marTop w:val="0"/>
              <w:marBottom w:val="240"/>
              <w:divBdr>
                <w:top w:val="none" w:sz="0" w:space="0" w:color="auto"/>
                <w:left w:val="none" w:sz="0" w:space="0" w:color="auto"/>
                <w:bottom w:val="none" w:sz="0" w:space="0" w:color="auto"/>
                <w:right w:val="none" w:sz="0" w:space="0" w:color="auto"/>
              </w:divBdr>
            </w:div>
            <w:div w:id="372653933">
              <w:marLeft w:val="0"/>
              <w:marRight w:val="0"/>
              <w:marTop w:val="0"/>
              <w:marBottom w:val="240"/>
              <w:divBdr>
                <w:top w:val="none" w:sz="0" w:space="0" w:color="auto"/>
                <w:left w:val="none" w:sz="0" w:space="0" w:color="auto"/>
                <w:bottom w:val="none" w:sz="0" w:space="0" w:color="auto"/>
                <w:right w:val="none" w:sz="0" w:space="0" w:color="auto"/>
              </w:divBdr>
            </w:div>
            <w:div w:id="403768409">
              <w:marLeft w:val="0"/>
              <w:marRight w:val="0"/>
              <w:marTop w:val="0"/>
              <w:marBottom w:val="240"/>
              <w:divBdr>
                <w:top w:val="none" w:sz="0" w:space="0" w:color="auto"/>
                <w:left w:val="none" w:sz="0" w:space="0" w:color="auto"/>
                <w:bottom w:val="none" w:sz="0" w:space="0" w:color="auto"/>
                <w:right w:val="none" w:sz="0" w:space="0" w:color="auto"/>
              </w:divBdr>
            </w:div>
            <w:div w:id="465634503">
              <w:marLeft w:val="0"/>
              <w:marRight w:val="0"/>
              <w:marTop w:val="0"/>
              <w:marBottom w:val="240"/>
              <w:divBdr>
                <w:top w:val="none" w:sz="0" w:space="0" w:color="auto"/>
                <w:left w:val="none" w:sz="0" w:space="0" w:color="auto"/>
                <w:bottom w:val="none" w:sz="0" w:space="0" w:color="auto"/>
                <w:right w:val="none" w:sz="0" w:space="0" w:color="auto"/>
              </w:divBdr>
            </w:div>
            <w:div w:id="470101306">
              <w:marLeft w:val="0"/>
              <w:marRight w:val="0"/>
              <w:marTop w:val="0"/>
              <w:marBottom w:val="240"/>
              <w:divBdr>
                <w:top w:val="none" w:sz="0" w:space="0" w:color="auto"/>
                <w:left w:val="none" w:sz="0" w:space="0" w:color="auto"/>
                <w:bottom w:val="none" w:sz="0" w:space="0" w:color="auto"/>
                <w:right w:val="none" w:sz="0" w:space="0" w:color="auto"/>
              </w:divBdr>
            </w:div>
            <w:div w:id="479154372">
              <w:marLeft w:val="0"/>
              <w:marRight w:val="0"/>
              <w:marTop w:val="0"/>
              <w:marBottom w:val="240"/>
              <w:divBdr>
                <w:top w:val="none" w:sz="0" w:space="0" w:color="auto"/>
                <w:left w:val="none" w:sz="0" w:space="0" w:color="auto"/>
                <w:bottom w:val="none" w:sz="0" w:space="0" w:color="auto"/>
                <w:right w:val="none" w:sz="0" w:space="0" w:color="auto"/>
              </w:divBdr>
            </w:div>
            <w:div w:id="506214154">
              <w:marLeft w:val="0"/>
              <w:marRight w:val="0"/>
              <w:marTop w:val="0"/>
              <w:marBottom w:val="240"/>
              <w:divBdr>
                <w:top w:val="none" w:sz="0" w:space="0" w:color="auto"/>
                <w:left w:val="none" w:sz="0" w:space="0" w:color="auto"/>
                <w:bottom w:val="none" w:sz="0" w:space="0" w:color="auto"/>
                <w:right w:val="none" w:sz="0" w:space="0" w:color="auto"/>
              </w:divBdr>
            </w:div>
            <w:div w:id="545487322">
              <w:marLeft w:val="0"/>
              <w:marRight w:val="0"/>
              <w:marTop w:val="0"/>
              <w:marBottom w:val="240"/>
              <w:divBdr>
                <w:top w:val="none" w:sz="0" w:space="0" w:color="auto"/>
                <w:left w:val="none" w:sz="0" w:space="0" w:color="auto"/>
                <w:bottom w:val="none" w:sz="0" w:space="0" w:color="auto"/>
                <w:right w:val="none" w:sz="0" w:space="0" w:color="auto"/>
              </w:divBdr>
            </w:div>
            <w:div w:id="611404442">
              <w:marLeft w:val="0"/>
              <w:marRight w:val="0"/>
              <w:marTop w:val="0"/>
              <w:marBottom w:val="240"/>
              <w:divBdr>
                <w:top w:val="none" w:sz="0" w:space="0" w:color="auto"/>
                <w:left w:val="none" w:sz="0" w:space="0" w:color="auto"/>
                <w:bottom w:val="none" w:sz="0" w:space="0" w:color="auto"/>
                <w:right w:val="none" w:sz="0" w:space="0" w:color="auto"/>
              </w:divBdr>
            </w:div>
            <w:div w:id="614139004">
              <w:marLeft w:val="0"/>
              <w:marRight w:val="0"/>
              <w:marTop w:val="0"/>
              <w:marBottom w:val="240"/>
              <w:divBdr>
                <w:top w:val="none" w:sz="0" w:space="0" w:color="auto"/>
                <w:left w:val="none" w:sz="0" w:space="0" w:color="auto"/>
                <w:bottom w:val="none" w:sz="0" w:space="0" w:color="auto"/>
                <w:right w:val="none" w:sz="0" w:space="0" w:color="auto"/>
              </w:divBdr>
            </w:div>
            <w:div w:id="629744922">
              <w:marLeft w:val="0"/>
              <w:marRight w:val="0"/>
              <w:marTop w:val="0"/>
              <w:marBottom w:val="240"/>
              <w:divBdr>
                <w:top w:val="none" w:sz="0" w:space="0" w:color="auto"/>
                <w:left w:val="none" w:sz="0" w:space="0" w:color="auto"/>
                <w:bottom w:val="none" w:sz="0" w:space="0" w:color="auto"/>
                <w:right w:val="none" w:sz="0" w:space="0" w:color="auto"/>
              </w:divBdr>
            </w:div>
            <w:div w:id="648438735">
              <w:marLeft w:val="0"/>
              <w:marRight w:val="0"/>
              <w:marTop w:val="0"/>
              <w:marBottom w:val="240"/>
              <w:divBdr>
                <w:top w:val="none" w:sz="0" w:space="0" w:color="auto"/>
                <w:left w:val="none" w:sz="0" w:space="0" w:color="auto"/>
                <w:bottom w:val="none" w:sz="0" w:space="0" w:color="auto"/>
                <w:right w:val="none" w:sz="0" w:space="0" w:color="auto"/>
              </w:divBdr>
            </w:div>
            <w:div w:id="659236805">
              <w:marLeft w:val="0"/>
              <w:marRight w:val="0"/>
              <w:marTop w:val="0"/>
              <w:marBottom w:val="240"/>
              <w:divBdr>
                <w:top w:val="none" w:sz="0" w:space="0" w:color="auto"/>
                <w:left w:val="none" w:sz="0" w:space="0" w:color="auto"/>
                <w:bottom w:val="none" w:sz="0" w:space="0" w:color="auto"/>
                <w:right w:val="none" w:sz="0" w:space="0" w:color="auto"/>
              </w:divBdr>
            </w:div>
            <w:div w:id="904492425">
              <w:marLeft w:val="0"/>
              <w:marRight w:val="0"/>
              <w:marTop w:val="0"/>
              <w:marBottom w:val="240"/>
              <w:divBdr>
                <w:top w:val="none" w:sz="0" w:space="0" w:color="auto"/>
                <w:left w:val="none" w:sz="0" w:space="0" w:color="auto"/>
                <w:bottom w:val="none" w:sz="0" w:space="0" w:color="auto"/>
                <w:right w:val="none" w:sz="0" w:space="0" w:color="auto"/>
              </w:divBdr>
            </w:div>
            <w:div w:id="951740015">
              <w:marLeft w:val="0"/>
              <w:marRight w:val="0"/>
              <w:marTop w:val="0"/>
              <w:marBottom w:val="240"/>
              <w:divBdr>
                <w:top w:val="none" w:sz="0" w:space="0" w:color="auto"/>
                <w:left w:val="none" w:sz="0" w:space="0" w:color="auto"/>
                <w:bottom w:val="none" w:sz="0" w:space="0" w:color="auto"/>
                <w:right w:val="none" w:sz="0" w:space="0" w:color="auto"/>
              </w:divBdr>
            </w:div>
            <w:div w:id="958267783">
              <w:marLeft w:val="0"/>
              <w:marRight w:val="0"/>
              <w:marTop w:val="0"/>
              <w:marBottom w:val="240"/>
              <w:divBdr>
                <w:top w:val="none" w:sz="0" w:space="0" w:color="auto"/>
                <w:left w:val="none" w:sz="0" w:space="0" w:color="auto"/>
                <w:bottom w:val="none" w:sz="0" w:space="0" w:color="auto"/>
                <w:right w:val="none" w:sz="0" w:space="0" w:color="auto"/>
              </w:divBdr>
            </w:div>
            <w:div w:id="983239567">
              <w:marLeft w:val="0"/>
              <w:marRight w:val="0"/>
              <w:marTop w:val="0"/>
              <w:marBottom w:val="240"/>
              <w:divBdr>
                <w:top w:val="none" w:sz="0" w:space="0" w:color="auto"/>
                <w:left w:val="none" w:sz="0" w:space="0" w:color="auto"/>
                <w:bottom w:val="none" w:sz="0" w:space="0" w:color="auto"/>
                <w:right w:val="none" w:sz="0" w:space="0" w:color="auto"/>
              </w:divBdr>
            </w:div>
            <w:div w:id="1074858748">
              <w:marLeft w:val="0"/>
              <w:marRight w:val="0"/>
              <w:marTop w:val="0"/>
              <w:marBottom w:val="240"/>
              <w:divBdr>
                <w:top w:val="none" w:sz="0" w:space="0" w:color="auto"/>
                <w:left w:val="none" w:sz="0" w:space="0" w:color="auto"/>
                <w:bottom w:val="none" w:sz="0" w:space="0" w:color="auto"/>
                <w:right w:val="none" w:sz="0" w:space="0" w:color="auto"/>
              </w:divBdr>
            </w:div>
            <w:div w:id="1128620699">
              <w:marLeft w:val="0"/>
              <w:marRight w:val="0"/>
              <w:marTop w:val="0"/>
              <w:marBottom w:val="240"/>
              <w:divBdr>
                <w:top w:val="none" w:sz="0" w:space="0" w:color="auto"/>
                <w:left w:val="none" w:sz="0" w:space="0" w:color="auto"/>
                <w:bottom w:val="none" w:sz="0" w:space="0" w:color="auto"/>
                <w:right w:val="none" w:sz="0" w:space="0" w:color="auto"/>
              </w:divBdr>
            </w:div>
            <w:div w:id="1170488988">
              <w:marLeft w:val="0"/>
              <w:marRight w:val="0"/>
              <w:marTop w:val="0"/>
              <w:marBottom w:val="240"/>
              <w:divBdr>
                <w:top w:val="none" w:sz="0" w:space="0" w:color="auto"/>
                <w:left w:val="none" w:sz="0" w:space="0" w:color="auto"/>
                <w:bottom w:val="none" w:sz="0" w:space="0" w:color="auto"/>
                <w:right w:val="none" w:sz="0" w:space="0" w:color="auto"/>
              </w:divBdr>
            </w:div>
            <w:div w:id="1223633973">
              <w:marLeft w:val="0"/>
              <w:marRight w:val="0"/>
              <w:marTop w:val="0"/>
              <w:marBottom w:val="240"/>
              <w:divBdr>
                <w:top w:val="none" w:sz="0" w:space="0" w:color="auto"/>
                <w:left w:val="none" w:sz="0" w:space="0" w:color="auto"/>
                <w:bottom w:val="none" w:sz="0" w:space="0" w:color="auto"/>
                <w:right w:val="none" w:sz="0" w:space="0" w:color="auto"/>
              </w:divBdr>
            </w:div>
            <w:div w:id="1334185840">
              <w:marLeft w:val="0"/>
              <w:marRight w:val="0"/>
              <w:marTop w:val="0"/>
              <w:marBottom w:val="240"/>
              <w:divBdr>
                <w:top w:val="none" w:sz="0" w:space="0" w:color="auto"/>
                <w:left w:val="none" w:sz="0" w:space="0" w:color="auto"/>
                <w:bottom w:val="none" w:sz="0" w:space="0" w:color="auto"/>
                <w:right w:val="none" w:sz="0" w:space="0" w:color="auto"/>
              </w:divBdr>
            </w:div>
            <w:div w:id="1462453197">
              <w:marLeft w:val="0"/>
              <w:marRight w:val="0"/>
              <w:marTop w:val="0"/>
              <w:marBottom w:val="240"/>
              <w:divBdr>
                <w:top w:val="none" w:sz="0" w:space="0" w:color="auto"/>
                <w:left w:val="none" w:sz="0" w:space="0" w:color="auto"/>
                <w:bottom w:val="none" w:sz="0" w:space="0" w:color="auto"/>
                <w:right w:val="none" w:sz="0" w:space="0" w:color="auto"/>
              </w:divBdr>
            </w:div>
            <w:div w:id="1491671659">
              <w:marLeft w:val="0"/>
              <w:marRight w:val="0"/>
              <w:marTop w:val="0"/>
              <w:marBottom w:val="240"/>
              <w:divBdr>
                <w:top w:val="none" w:sz="0" w:space="0" w:color="auto"/>
                <w:left w:val="none" w:sz="0" w:space="0" w:color="auto"/>
                <w:bottom w:val="none" w:sz="0" w:space="0" w:color="auto"/>
                <w:right w:val="none" w:sz="0" w:space="0" w:color="auto"/>
              </w:divBdr>
            </w:div>
            <w:div w:id="1552419601">
              <w:marLeft w:val="0"/>
              <w:marRight w:val="0"/>
              <w:marTop w:val="0"/>
              <w:marBottom w:val="240"/>
              <w:divBdr>
                <w:top w:val="none" w:sz="0" w:space="0" w:color="auto"/>
                <w:left w:val="none" w:sz="0" w:space="0" w:color="auto"/>
                <w:bottom w:val="none" w:sz="0" w:space="0" w:color="auto"/>
                <w:right w:val="none" w:sz="0" w:space="0" w:color="auto"/>
              </w:divBdr>
            </w:div>
            <w:div w:id="1592079177">
              <w:marLeft w:val="0"/>
              <w:marRight w:val="0"/>
              <w:marTop w:val="0"/>
              <w:marBottom w:val="240"/>
              <w:divBdr>
                <w:top w:val="none" w:sz="0" w:space="0" w:color="auto"/>
                <w:left w:val="none" w:sz="0" w:space="0" w:color="auto"/>
                <w:bottom w:val="none" w:sz="0" w:space="0" w:color="auto"/>
                <w:right w:val="none" w:sz="0" w:space="0" w:color="auto"/>
              </w:divBdr>
            </w:div>
            <w:div w:id="1592621471">
              <w:marLeft w:val="0"/>
              <w:marRight w:val="0"/>
              <w:marTop w:val="0"/>
              <w:marBottom w:val="0"/>
              <w:divBdr>
                <w:top w:val="none" w:sz="0" w:space="0" w:color="auto"/>
                <w:left w:val="none" w:sz="0" w:space="0" w:color="auto"/>
                <w:bottom w:val="none" w:sz="0" w:space="0" w:color="auto"/>
                <w:right w:val="none" w:sz="0" w:space="0" w:color="auto"/>
              </w:divBdr>
            </w:div>
            <w:div w:id="1638028425">
              <w:marLeft w:val="0"/>
              <w:marRight w:val="0"/>
              <w:marTop w:val="0"/>
              <w:marBottom w:val="240"/>
              <w:divBdr>
                <w:top w:val="none" w:sz="0" w:space="0" w:color="auto"/>
                <w:left w:val="none" w:sz="0" w:space="0" w:color="auto"/>
                <w:bottom w:val="none" w:sz="0" w:space="0" w:color="auto"/>
                <w:right w:val="none" w:sz="0" w:space="0" w:color="auto"/>
              </w:divBdr>
            </w:div>
            <w:div w:id="1748846589">
              <w:marLeft w:val="0"/>
              <w:marRight w:val="0"/>
              <w:marTop w:val="0"/>
              <w:marBottom w:val="240"/>
              <w:divBdr>
                <w:top w:val="none" w:sz="0" w:space="0" w:color="auto"/>
                <w:left w:val="none" w:sz="0" w:space="0" w:color="auto"/>
                <w:bottom w:val="none" w:sz="0" w:space="0" w:color="auto"/>
                <w:right w:val="none" w:sz="0" w:space="0" w:color="auto"/>
              </w:divBdr>
            </w:div>
            <w:div w:id="1789397191">
              <w:marLeft w:val="0"/>
              <w:marRight w:val="0"/>
              <w:marTop w:val="0"/>
              <w:marBottom w:val="240"/>
              <w:divBdr>
                <w:top w:val="none" w:sz="0" w:space="0" w:color="auto"/>
                <w:left w:val="none" w:sz="0" w:space="0" w:color="auto"/>
                <w:bottom w:val="none" w:sz="0" w:space="0" w:color="auto"/>
                <w:right w:val="none" w:sz="0" w:space="0" w:color="auto"/>
              </w:divBdr>
            </w:div>
            <w:div w:id="2113547908">
              <w:marLeft w:val="0"/>
              <w:marRight w:val="0"/>
              <w:marTop w:val="0"/>
              <w:marBottom w:val="240"/>
              <w:divBdr>
                <w:top w:val="none" w:sz="0" w:space="0" w:color="auto"/>
                <w:left w:val="none" w:sz="0" w:space="0" w:color="auto"/>
                <w:bottom w:val="none" w:sz="0" w:space="0" w:color="auto"/>
                <w:right w:val="none" w:sz="0" w:space="0" w:color="auto"/>
              </w:divBdr>
            </w:div>
            <w:div w:id="2121486132">
              <w:marLeft w:val="0"/>
              <w:marRight w:val="0"/>
              <w:marTop w:val="0"/>
              <w:marBottom w:val="240"/>
              <w:divBdr>
                <w:top w:val="none" w:sz="0" w:space="0" w:color="auto"/>
                <w:left w:val="none" w:sz="0" w:space="0" w:color="auto"/>
                <w:bottom w:val="none" w:sz="0" w:space="0" w:color="auto"/>
                <w:right w:val="none" w:sz="0" w:space="0" w:color="auto"/>
              </w:divBdr>
            </w:div>
            <w:div w:id="2130123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78349545">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62547674">
      <w:bodyDiv w:val="1"/>
      <w:marLeft w:val="0"/>
      <w:marRight w:val="0"/>
      <w:marTop w:val="0"/>
      <w:marBottom w:val="0"/>
      <w:divBdr>
        <w:top w:val="none" w:sz="0" w:space="0" w:color="auto"/>
        <w:left w:val="none" w:sz="0" w:space="0" w:color="auto"/>
        <w:bottom w:val="none" w:sz="0" w:space="0" w:color="auto"/>
        <w:right w:val="none" w:sz="0" w:space="0" w:color="auto"/>
      </w:divBdr>
      <w:divsChild>
        <w:div w:id="1742023408">
          <w:marLeft w:val="0"/>
          <w:marRight w:val="0"/>
          <w:marTop w:val="0"/>
          <w:marBottom w:val="0"/>
          <w:divBdr>
            <w:top w:val="none" w:sz="0" w:space="0" w:color="auto"/>
            <w:left w:val="none" w:sz="0" w:space="0" w:color="auto"/>
            <w:bottom w:val="none" w:sz="0" w:space="0" w:color="auto"/>
            <w:right w:val="none" w:sz="0" w:space="0" w:color="auto"/>
          </w:divBdr>
          <w:divsChild>
            <w:div w:id="41297212">
              <w:marLeft w:val="0"/>
              <w:marRight w:val="0"/>
              <w:marTop w:val="0"/>
              <w:marBottom w:val="240"/>
              <w:divBdr>
                <w:top w:val="none" w:sz="0" w:space="0" w:color="auto"/>
                <w:left w:val="none" w:sz="0" w:space="0" w:color="auto"/>
                <w:bottom w:val="none" w:sz="0" w:space="0" w:color="auto"/>
                <w:right w:val="none" w:sz="0" w:space="0" w:color="auto"/>
              </w:divBdr>
            </w:div>
            <w:div w:id="47193198">
              <w:marLeft w:val="0"/>
              <w:marRight w:val="0"/>
              <w:marTop w:val="0"/>
              <w:marBottom w:val="240"/>
              <w:divBdr>
                <w:top w:val="none" w:sz="0" w:space="0" w:color="auto"/>
                <w:left w:val="none" w:sz="0" w:space="0" w:color="auto"/>
                <w:bottom w:val="none" w:sz="0" w:space="0" w:color="auto"/>
                <w:right w:val="none" w:sz="0" w:space="0" w:color="auto"/>
              </w:divBdr>
            </w:div>
            <w:div w:id="90980836">
              <w:marLeft w:val="0"/>
              <w:marRight w:val="0"/>
              <w:marTop w:val="0"/>
              <w:marBottom w:val="240"/>
              <w:divBdr>
                <w:top w:val="none" w:sz="0" w:space="0" w:color="auto"/>
                <w:left w:val="none" w:sz="0" w:space="0" w:color="auto"/>
                <w:bottom w:val="none" w:sz="0" w:space="0" w:color="auto"/>
                <w:right w:val="none" w:sz="0" w:space="0" w:color="auto"/>
              </w:divBdr>
            </w:div>
            <w:div w:id="128598130">
              <w:marLeft w:val="0"/>
              <w:marRight w:val="0"/>
              <w:marTop w:val="0"/>
              <w:marBottom w:val="240"/>
              <w:divBdr>
                <w:top w:val="none" w:sz="0" w:space="0" w:color="auto"/>
                <w:left w:val="none" w:sz="0" w:space="0" w:color="auto"/>
                <w:bottom w:val="none" w:sz="0" w:space="0" w:color="auto"/>
                <w:right w:val="none" w:sz="0" w:space="0" w:color="auto"/>
              </w:divBdr>
            </w:div>
            <w:div w:id="160002155">
              <w:marLeft w:val="0"/>
              <w:marRight w:val="0"/>
              <w:marTop w:val="0"/>
              <w:marBottom w:val="240"/>
              <w:divBdr>
                <w:top w:val="none" w:sz="0" w:space="0" w:color="auto"/>
                <w:left w:val="none" w:sz="0" w:space="0" w:color="auto"/>
                <w:bottom w:val="none" w:sz="0" w:space="0" w:color="auto"/>
                <w:right w:val="none" w:sz="0" w:space="0" w:color="auto"/>
              </w:divBdr>
            </w:div>
            <w:div w:id="190925913">
              <w:marLeft w:val="0"/>
              <w:marRight w:val="0"/>
              <w:marTop w:val="0"/>
              <w:marBottom w:val="240"/>
              <w:divBdr>
                <w:top w:val="none" w:sz="0" w:space="0" w:color="auto"/>
                <w:left w:val="none" w:sz="0" w:space="0" w:color="auto"/>
                <w:bottom w:val="none" w:sz="0" w:space="0" w:color="auto"/>
                <w:right w:val="none" w:sz="0" w:space="0" w:color="auto"/>
              </w:divBdr>
            </w:div>
            <w:div w:id="203294977">
              <w:marLeft w:val="0"/>
              <w:marRight w:val="0"/>
              <w:marTop w:val="0"/>
              <w:marBottom w:val="240"/>
              <w:divBdr>
                <w:top w:val="none" w:sz="0" w:space="0" w:color="auto"/>
                <w:left w:val="none" w:sz="0" w:space="0" w:color="auto"/>
                <w:bottom w:val="none" w:sz="0" w:space="0" w:color="auto"/>
                <w:right w:val="none" w:sz="0" w:space="0" w:color="auto"/>
              </w:divBdr>
            </w:div>
            <w:div w:id="292293955">
              <w:marLeft w:val="0"/>
              <w:marRight w:val="0"/>
              <w:marTop w:val="0"/>
              <w:marBottom w:val="240"/>
              <w:divBdr>
                <w:top w:val="none" w:sz="0" w:space="0" w:color="auto"/>
                <w:left w:val="none" w:sz="0" w:space="0" w:color="auto"/>
                <w:bottom w:val="none" w:sz="0" w:space="0" w:color="auto"/>
                <w:right w:val="none" w:sz="0" w:space="0" w:color="auto"/>
              </w:divBdr>
            </w:div>
            <w:div w:id="448594043">
              <w:marLeft w:val="0"/>
              <w:marRight w:val="0"/>
              <w:marTop w:val="0"/>
              <w:marBottom w:val="240"/>
              <w:divBdr>
                <w:top w:val="none" w:sz="0" w:space="0" w:color="auto"/>
                <w:left w:val="none" w:sz="0" w:space="0" w:color="auto"/>
                <w:bottom w:val="none" w:sz="0" w:space="0" w:color="auto"/>
                <w:right w:val="none" w:sz="0" w:space="0" w:color="auto"/>
              </w:divBdr>
            </w:div>
            <w:div w:id="453256973">
              <w:marLeft w:val="0"/>
              <w:marRight w:val="0"/>
              <w:marTop w:val="0"/>
              <w:marBottom w:val="240"/>
              <w:divBdr>
                <w:top w:val="none" w:sz="0" w:space="0" w:color="auto"/>
                <w:left w:val="none" w:sz="0" w:space="0" w:color="auto"/>
                <w:bottom w:val="none" w:sz="0" w:space="0" w:color="auto"/>
                <w:right w:val="none" w:sz="0" w:space="0" w:color="auto"/>
              </w:divBdr>
            </w:div>
            <w:div w:id="549388605">
              <w:marLeft w:val="0"/>
              <w:marRight w:val="0"/>
              <w:marTop w:val="0"/>
              <w:marBottom w:val="240"/>
              <w:divBdr>
                <w:top w:val="none" w:sz="0" w:space="0" w:color="auto"/>
                <w:left w:val="none" w:sz="0" w:space="0" w:color="auto"/>
                <w:bottom w:val="none" w:sz="0" w:space="0" w:color="auto"/>
                <w:right w:val="none" w:sz="0" w:space="0" w:color="auto"/>
              </w:divBdr>
            </w:div>
            <w:div w:id="557596756">
              <w:marLeft w:val="0"/>
              <w:marRight w:val="0"/>
              <w:marTop w:val="0"/>
              <w:marBottom w:val="240"/>
              <w:divBdr>
                <w:top w:val="none" w:sz="0" w:space="0" w:color="auto"/>
                <w:left w:val="none" w:sz="0" w:space="0" w:color="auto"/>
                <w:bottom w:val="none" w:sz="0" w:space="0" w:color="auto"/>
                <w:right w:val="none" w:sz="0" w:space="0" w:color="auto"/>
              </w:divBdr>
            </w:div>
            <w:div w:id="684792349">
              <w:marLeft w:val="0"/>
              <w:marRight w:val="0"/>
              <w:marTop w:val="0"/>
              <w:marBottom w:val="240"/>
              <w:divBdr>
                <w:top w:val="none" w:sz="0" w:space="0" w:color="auto"/>
                <w:left w:val="none" w:sz="0" w:space="0" w:color="auto"/>
                <w:bottom w:val="none" w:sz="0" w:space="0" w:color="auto"/>
                <w:right w:val="none" w:sz="0" w:space="0" w:color="auto"/>
              </w:divBdr>
            </w:div>
            <w:div w:id="790705699">
              <w:marLeft w:val="0"/>
              <w:marRight w:val="0"/>
              <w:marTop w:val="0"/>
              <w:marBottom w:val="0"/>
              <w:divBdr>
                <w:top w:val="none" w:sz="0" w:space="0" w:color="auto"/>
                <w:left w:val="none" w:sz="0" w:space="0" w:color="auto"/>
                <w:bottom w:val="none" w:sz="0" w:space="0" w:color="auto"/>
                <w:right w:val="none" w:sz="0" w:space="0" w:color="auto"/>
              </w:divBdr>
            </w:div>
            <w:div w:id="813106947">
              <w:marLeft w:val="0"/>
              <w:marRight w:val="0"/>
              <w:marTop w:val="0"/>
              <w:marBottom w:val="240"/>
              <w:divBdr>
                <w:top w:val="none" w:sz="0" w:space="0" w:color="auto"/>
                <w:left w:val="none" w:sz="0" w:space="0" w:color="auto"/>
                <w:bottom w:val="none" w:sz="0" w:space="0" w:color="auto"/>
                <w:right w:val="none" w:sz="0" w:space="0" w:color="auto"/>
              </w:divBdr>
            </w:div>
            <w:div w:id="833447279">
              <w:marLeft w:val="0"/>
              <w:marRight w:val="0"/>
              <w:marTop w:val="0"/>
              <w:marBottom w:val="240"/>
              <w:divBdr>
                <w:top w:val="none" w:sz="0" w:space="0" w:color="auto"/>
                <w:left w:val="none" w:sz="0" w:space="0" w:color="auto"/>
                <w:bottom w:val="none" w:sz="0" w:space="0" w:color="auto"/>
                <w:right w:val="none" w:sz="0" w:space="0" w:color="auto"/>
              </w:divBdr>
            </w:div>
            <w:div w:id="951475238">
              <w:marLeft w:val="0"/>
              <w:marRight w:val="0"/>
              <w:marTop w:val="0"/>
              <w:marBottom w:val="240"/>
              <w:divBdr>
                <w:top w:val="none" w:sz="0" w:space="0" w:color="auto"/>
                <w:left w:val="none" w:sz="0" w:space="0" w:color="auto"/>
                <w:bottom w:val="none" w:sz="0" w:space="0" w:color="auto"/>
                <w:right w:val="none" w:sz="0" w:space="0" w:color="auto"/>
              </w:divBdr>
            </w:div>
            <w:div w:id="982392884">
              <w:marLeft w:val="0"/>
              <w:marRight w:val="0"/>
              <w:marTop w:val="0"/>
              <w:marBottom w:val="240"/>
              <w:divBdr>
                <w:top w:val="none" w:sz="0" w:space="0" w:color="auto"/>
                <w:left w:val="none" w:sz="0" w:space="0" w:color="auto"/>
                <w:bottom w:val="none" w:sz="0" w:space="0" w:color="auto"/>
                <w:right w:val="none" w:sz="0" w:space="0" w:color="auto"/>
              </w:divBdr>
            </w:div>
            <w:div w:id="995188354">
              <w:marLeft w:val="0"/>
              <w:marRight w:val="0"/>
              <w:marTop w:val="0"/>
              <w:marBottom w:val="240"/>
              <w:divBdr>
                <w:top w:val="none" w:sz="0" w:space="0" w:color="auto"/>
                <w:left w:val="none" w:sz="0" w:space="0" w:color="auto"/>
                <w:bottom w:val="none" w:sz="0" w:space="0" w:color="auto"/>
                <w:right w:val="none" w:sz="0" w:space="0" w:color="auto"/>
              </w:divBdr>
            </w:div>
            <w:div w:id="996883687">
              <w:marLeft w:val="0"/>
              <w:marRight w:val="0"/>
              <w:marTop w:val="0"/>
              <w:marBottom w:val="240"/>
              <w:divBdr>
                <w:top w:val="none" w:sz="0" w:space="0" w:color="auto"/>
                <w:left w:val="none" w:sz="0" w:space="0" w:color="auto"/>
                <w:bottom w:val="none" w:sz="0" w:space="0" w:color="auto"/>
                <w:right w:val="none" w:sz="0" w:space="0" w:color="auto"/>
              </w:divBdr>
            </w:div>
            <w:div w:id="1016349248">
              <w:marLeft w:val="0"/>
              <w:marRight w:val="0"/>
              <w:marTop w:val="0"/>
              <w:marBottom w:val="240"/>
              <w:divBdr>
                <w:top w:val="none" w:sz="0" w:space="0" w:color="auto"/>
                <w:left w:val="none" w:sz="0" w:space="0" w:color="auto"/>
                <w:bottom w:val="none" w:sz="0" w:space="0" w:color="auto"/>
                <w:right w:val="none" w:sz="0" w:space="0" w:color="auto"/>
              </w:divBdr>
            </w:div>
            <w:div w:id="1040590730">
              <w:marLeft w:val="0"/>
              <w:marRight w:val="0"/>
              <w:marTop w:val="0"/>
              <w:marBottom w:val="240"/>
              <w:divBdr>
                <w:top w:val="none" w:sz="0" w:space="0" w:color="auto"/>
                <w:left w:val="none" w:sz="0" w:space="0" w:color="auto"/>
                <w:bottom w:val="none" w:sz="0" w:space="0" w:color="auto"/>
                <w:right w:val="none" w:sz="0" w:space="0" w:color="auto"/>
              </w:divBdr>
            </w:div>
            <w:div w:id="1131169342">
              <w:marLeft w:val="0"/>
              <w:marRight w:val="0"/>
              <w:marTop w:val="0"/>
              <w:marBottom w:val="240"/>
              <w:divBdr>
                <w:top w:val="none" w:sz="0" w:space="0" w:color="auto"/>
                <w:left w:val="none" w:sz="0" w:space="0" w:color="auto"/>
                <w:bottom w:val="none" w:sz="0" w:space="0" w:color="auto"/>
                <w:right w:val="none" w:sz="0" w:space="0" w:color="auto"/>
              </w:divBdr>
            </w:div>
            <w:div w:id="1321278115">
              <w:marLeft w:val="0"/>
              <w:marRight w:val="0"/>
              <w:marTop w:val="0"/>
              <w:marBottom w:val="240"/>
              <w:divBdr>
                <w:top w:val="none" w:sz="0" w:space="0" w:color="auto"/>
                <w:left w:val="none" w:sz="0" w:space="0" w:color="auto"/>
                <w:bottom w:val="none" w:sz="0" w:space="0" w:color="auto"/>
                <w:right w:val="none" w:sz="0" w:space="0" w:color="auto"/>
              </w:divBdr>
            </w:div>
            <w:div w:id="1383945720">
              <w:marLeft w:val="0"/>
              <w:marRight w:val="0"/>
              <w:marTop w:val="0"/>
              <w:marBottom w:val="240"/>
              <w:divBdr>
                <w:top w:val="none" w:sz="0" w:space="0" w:color="auto"/>
                <w:left w:val="none" w:sz="0" w:space="0" w:color="auto"/>
                <w:bottom w:val="none" w:sz="0" w:space="0" w:color="auto"/>
                <w:right w:val="none" w:sz="0" w:space="0" w:color="auto"/>
              </w:divBdr>
            </w:div>
            <w:div w:id="1441877739">
              <w:marLeft w:val="0"/>
              <w:marRight w:val="0"/>
              <w:marTop w:val="0"/>
              <w:marBottom w:val="240"/>
              <w:divBdr>
                <w:top w:val="none" w:sz="0" w:space="0" w:color="auto"/>
                <w:left w:val="none" w:sz="0" w:space="0" w:color="auto"/>
                <w:bottom w:val="none" w:sz="0" w:space="0" w:color="auto"/>
                <w:right w:val="none" w:sz="0" w:space="0" w:color="auto"/>
              </w:divBdr>
            </w:div>
            <w:div w:id="1456868582">
              <w:marLeft w:val="0"/>
              <w:marRight w:val="0"/>
              <w:marTop w:val="0"/>
              <w:marBottom w:val="240"/>
              <w:divBdr>
                <w:top w:val="none" w:sz="0" w:space="0" w:color="auto"/>
                <w:left w:val="none" w:sz="0" w:space="0" w:color="auto"/>
                <w:bottom w:val="none" w:sz="0" w:space="0" w:color="auto"/>
                <w:right w:val="none" w:sz="0" w:space="0" w:color="auto"/>
              </w:divBdr>
            </w:div>
            <w:div w:id="1555660403">
              <w:marLeft w:val="0"/>
              <w:marRight w:val="0"/>
              <w:marTop w:val="0"/>
              <w:marBottom w:val="240"/>
              <w:divBdr>
                <w:top w:val="none" w:sz="0" w:space="0" w:color="auto"/>
                <w:left w:val="none" w:sz="0" w:space="0" w:color="auto"/>
                <w:bottom w:val="none" w:sz="0" w:space="0" w:color="auto"/>
                <w:right w:val="none" w:sz="0" w:space="0" w:color="auto"/>
              </w:divBdr>
            </w:div>
            <w:div w:id="1556356996">
              <w:marLeft w:val="0"/>
              <w:marRight w:val="0"/>
              <w:marTop w:val="0"/>
              <w:marBottom w:val="240"/>
              <w:divBdr>
                <w:top w:val="none" w:sz="0" w:space="0" w:color="auto"/>
                <w:left w:val="none" w:sz="0" w:space="0" w:color="auto"/>
                <w:bottom w:val="none" w:sz="0" w:space="0" w:color="auto"/>
                <w:right w:val="none" w:sz="0" w:space="0" w:color="auto"/>
              </w:divBdr>
            </w:div>
            <w:div w:id="1603682137">
              <w:marLeft w:val="0"/>
              <w:marRight w:val="0"/>
              <w:marTop w:val="0"/>
              <w:marBottom w:val="240"/>
              <w:divBdr>
                <w:top w:val="none" w:sz="0" w:space="0" w:color="auto"/>
                <w:left w:val="none" w:sz="0" w:space="0" w:color="auto"/>
                <w:bottom w:val="none" w:sz="0" w:space="0" w:color="auto"/>
                <w:right w:val="none" w:sz="0" w:space="0" w:color="auto"/>
              </w:divBdr>
            </w:div>
            <w:div w:id="1648626528">
              <w:marLeft w:val="0"/>
              <w:marRight w:val="0"/>
              <w:marTop w:val="0"/>
              <w:marBottom w:val="240"/>
              <w:divBdr>
                <w:top w:val="none" w:sz="0" w:space="0" w:color="auto"/>
                <w:left w:val="none" w:sz="0" w:space="0" w:color="auto"/>
                <w:bottom w:val="none" w:sz="0" w:space="0" w:color="auto"/>
                <w:right w:val="none" w:sz="0" w:space="0" w:color="auto"/>
              </w:divBdr>
            </w:div>
            <w:div w:id="1707364482">
              <w:marLeft w:val="0"/>
              <w:marRight w:val="0"/>
              <w:marTop w:val="0"/>
              <w:marBottom w:val="240"/>
              <w:divBdr>
                <w:top w:val="none" w:sz="0" w:space="0" w:color="auto"/>
                <w:left w:val="none" w:sz="0" w:space="0" w:color="auto"/>
                <w:bottom w:val="none" w:sz="0" w:space="0" w:color="auto"/>
                <w:right w:val="none" w:sz="0" w:space="0" w:color="auto"/>
              </w:divBdr>
            </w:div>
            <w:div w:id="1736511570">
              <w:marLeft w:val="0"/>
              <w:marRight w:val="0"/>
              <w:marTop w:val="0"/>
              <w:marBottom w:val="240"/>
              <w:divBdr>
                <w:top w:val="none" w:sz="0" w:space="0" w:color="auto"/>
                <w:left w:val="none" w:sz="0" w:space="0" w:color="auto"/>
                <w:bottom w:val="none" w:sz="0" w:space="0" w:color="auto"/>
                <w:right w:val="none" w:sz="0" w:space="0" w:color="auto"/>
              </w:divBdr>
            </w:div>
            <w:div w:id="1801530667">
              <w:marLeft w:val="0"/>
              <w:marRight w:val="0"/>
              <w:marTop w:val="0"/>
              <w:marBottom w:val="240"/>
              <w:divBdr>
                <w:top w:val="none" w:sz="0" w:space="0" w:color="auto"/>
                <w:left w:val="none" w:sz="0" w:space="0" w:color="auto"/>
                <w:bottom w:val="none" w:sz="0" w:space="0" w:color="auto"/>
                <w:right w:val="none" w:sz="0" w:space="0" w:color="auto"/>
              </w:divBdr>
            </w:div>
            <w:div w:id="1821189475">
              <w:marLeft w:val="0"/>
              <w:marRight w:val="0"/>
              <w:marTop w:val="0"/>
              <w:marBottom w:val="240"/>
              <w:divBdr>
                <w:top w:val="none" w:sz="0" w:space="0" w:color="auto"/>
                <w:left w:val="none" w:sz="0" w:space="0" w:color="auto"/>
                <w:bottom w:val="none" w:sz="0" w:space="0" w:color="auto"/>
                <w:right w:val="none" w:sz="0" w:space="0" w:color="auto"/>
              </w:divBdr>
            </w:div>
            <w:div w:id="1870336484">
              <w:marLeft w:val="0"/>
              <w:marRight w:val="0"/>
              <w:marTop w:val="0"/>
              <w:marBottom w:val="240"/>
              <w:divBdr>
                <w:top w:val="none" w:sz="0" w:space="0" w:color="auto"/>
                <w:left w:val="none" w:sz="0" w:space="0" w:color="auto"/>
                <w:bottom w:val="none" w:sz="0" w:space="0" w:color="auto"/>
                <w:right w:val="none" w:sz="0" w:space="0" w:color="auto"/>
              </w:divBdr>
            </w:div>
            <w:div w:id="1917084446">
              <w:marLeft w:val="0"/>
              <w:marRight w:val="0"/>
              <w:marTop w:val="0"/>
              <w:marBottom w:val="240"/>
              <w:divBdr>
                <w:top w:val="none" w:sz="0" w:space="0" w:color="auto"/>
                <w:left w:val="none" w:sz="0" w:space="0" w:color="auto"/>
                <w:bottom w:val="none" w:sz="0" w:space="0" w:color="auto"/>
                <w:right w:val="none" w:sz="0" w:space="0" w:color="auto"/>
              </w:divBdr>
            </w:div>
            <w:div w:id="1919441441">
              <w:marLeft w:val="0"/>
              <w:marRight w:val="0"/>
              <w:marTop w:val="0"/>
              <w:marBottom w:val="240"/>
              <w:divBdr>
                <w:top w:val="none" w:sz="0" w:space="0" w:color="auto"/>
                <w:left w:val="none" w:sz="0" w:space="0" w:color="auto"/>
                <w:bottom w:val="none" w:sz="0" w:space="0" w:color="auto"/>
                <w:right w:val="none" w:sz="0" w:space="0" w:color="auto"/>
              </w:divBdr>
            </w:div>
            <w:div w:id="1942953081">
              <w:marLeft w:val="0"/>
              <w:marRight w:val="0"/>
              <w:marTop w:val="0"/>
              <w:marBottom w:val="240"/>
              <w:divBdr>
                <w:top w:val="none" w:sz="0" w:space="0" w:color="auto"/>
                <w:left w:val="none" w:sz="0" w:space="0" w:color="auto"/>
                <w:bottom w:val="none" w:sz="0" w:space="0" w:color="auto"/>
                <w:right w:val="none" w:sz="0" w:space="0" w:color="auto"/>
              </w:divBdr>
            </w:div>
            <w:div w:id="1975059193">
              <w:marLeft w:val="0"/>
              <w:marRight w:val="0"/>
              <w:marTop w:val="0"/>
              <w:marBottom w:val="240"/>
              <w:divBdr>
                <w:top w:val="none" w:sz="0" w:space="0" w:color="auto"/>
                <w:left w:val="none" w:sz="0" w:space="0" w:color="auto"/>
                <w:bottom w:val="none" w:sz="0" w:space="0" w:color="auto"/>
                <w:right w:val="none" w:sz="0" w:space="0" w:color="auto"/>
              </w:divBdr>
            </w:div>
            <w:div w:id="1976521820">
              <w:marLeft w:val="0"/>
              <w:marRight w:val="0"/>
              <w:marTop w:val="0"/>
              <w:marBottom w:val="240"/>
              <w:divBdr>
                <w:top w:val="none" w:sz="0" w:space="0" w:color="auto"/>
                <w:left w:val="none" w:sz="0" w:space="0" w:color="auto"/>
                <w:bottom w:val="none" w:sz="0" w:space="0" w:color="auto"/>
                <w:right w:val="none" w:sz="0" w:space="0" w:color="auto"/>
              </w:divBdr>
            </w:div>
            <w:div w:id="1996374963">
              <w:marLeft w:val="0"/>
              <w:marRight w:val="0"/>
              <w:marTop w:val="0"/>
              <w:marBottom w:val="240"/>
              <w:divBdr>
                <w:top w:val="none" w:sz="0" w:space="0" w:color="auto"/>
                <w:left w:val="none" w:sz="0" w:space="0" w:color="auto"/>
                <w:bottom w:val="none" w:sz="0" w:space="0" w:color="auto"/>
                <w:right w:val="none" w:sz="0" w:space="0" w:color="auto"/>
              </w:divBdr>
            </w:div>
            <w:div w:id="2025783497">
              <w:marLeft w:val="0"/>
              <w:marRight w:val="0"/>
              <w:marTop w:val="0"/>
              <w:marBottom w:val="240"/>
              <w:divBdr>
                <w:top w:val="none" w:sz="0" w:space="0" w:color="auto"/>
                <w:left w:val="none" w:sz="0" w:space="0" w:color="auto"/>
                <w:bottom w:val="none" w:sz="0" w:space="0" w:color="auto"/>
                <w:right w:val="none" w:sz="0" w:space="0" w:color="auto"/>
              </w:divBdr>
            </w:div>
            <w:div w:id="2040886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3880724">
      <w:bodyDiv w:val="1"/>
      <w:marLeft w:val="0"/>
      <w:marRight w:val="0"/>
      <w:marTop w:val="0"/>
      <w:marBottom w:val="0"/>
      <w:divBdr>
        <w:top w:val="none" w:sz="0" w:space="0" w:color="auto"/>
        <w:left w:val="none" w:sz="0" w:space="0" w:color="auto"/>
        <w:bottom w:val="none" w:sz="0" w:space="0" w:color="auto"/>
        <w:right w:val="none" w:sz="0" w:space="0" w:color="auto"/>
      </w:divBdr>
      <w:divsChild>
        <w:div w:id="1187794975">
          <w:marLeft w:val="0"/>
          <w:marRight w:val="0"/>
          <w:marTop w:val="0"/>
          <w:marBottom w:val="0"/>
          <w:divBdr>
            <w:top w:val="none" w:sz="0" w:space="0" w:color="auto"/>
            <w:left w:val="none" w:sz="0" w:space="0" w:color="auto"/>
            <w:bottom w:val="none" w:sz="0" w:space="0" w:color="auto"/>
            <w:right w:val="none" w:sz="0" w:space="0" w:color="auto"/>
          </w:divBdr>
          <w:divsChild>
            <w:div w:id="22630251">
              <w:marLeft w:val="0"/>
              <w:marRight w:val="0"/>
              <w:marTop w:val="0"/>
              <w:marBottom w:val="240"/>
              <w:divBdr>
                <w:top w:val="none" w:sz="0" w:space="0" w:color="auto"/>
                <w:left w:val="none" w:sz="0" w:space="0" w:color="auto"/>
                <w:bottom w:val="none" w:sz="0" w:space="0" w:color="auto"/>
                <w:right w:val="none" w:sz="0" w:space="0" w:color="auto"/>
              </w:divBdr>
            </w:div>
            <w:div w:id="62456363">
              <w:marLeft w:val="0"/>
              <w:marRight w:val="0"/>
              <w:marTop w:val="0"/>
              <w:marBottom w:val="240"/>
              <w:divBdr>
                <w:top w:val="none" w:sz="0" w:space="0" w:color="auto"/>
                <w:left w:val="none" w:sz="0" w:space="0" w:color="auto"/>
                <w:bottom w:val="none" w:sz="0" w:space="0" w:color="auto"/>
                <w:right w:val="none" w:sz="0" w:space="0" w:color="auto"/>
              </w:divBdr>
            </w:div>
            <w:div w:id="69159519">
              <w:marLeft w:val="0"/>
              <w:marRight w:val="0"/>
              <w:marTop w:val="0"/>
              <w:marBottom w:val="240"/>
              <w:divBdr>
                <w:top w:val="none" w:sz="0" w:space="0" w:color="auto"/>
                <w:left w:val="none" w:sz="0" w:space="0" w:color="auto"/>
                <w:bottom w:val="none" w:sz="0" w:space="0" w:color="auto"/>
                <w:right w:val="none" w:sz="0" w:space="0" w:color="auto"/>
              </w:divBdr>
            </w:div>
            <w:div w:id="79522952">
              <w:marLeft w:val="0"/>
              <w:marRight w:val="0"/>
              <w:marTop w:val="0"/>
              <w:marBottom w:val="240"/>
              <w:divBdr>
                <w:top w:val="none" w:sz="0" w:space="0" w:color="auto"/>
                <w:left w:val="none" w:sz="0" w:space="0" w:color="auto"/>
                <w:bottom w:val="none" w:sz="0" w:space="0" w:color="auto"/>
                <w:right w:val="none" w:sz="0" w:space="0" w:color="auto"/>
              </w:divBdr>
            </w:div>
            <w:div w:id="108596552">
              <w:marLeft w:val="0"/>
              <w:marRight w:val="0"/>
              <w:marTop w:val="0"/>
              <w:marBottom w:val="240"/>
              <w:divBdr>
                <w:top w:val="none" w:sz="0" w:space="0" w:color="auto"/>
                <w:left w:val="none" w:sz="0" w:space="0" w:color="auto"/>
                <w:bottom w:val="none" w:sz="0" w:space="0" w:color="auto"/>
                <w:right w:val="none" w:sz="0" w:space="0" w:color="auto"/>
              </w:divBdr>
            </w:div>
            <w:div w:id="108664857">
              <w:marLeft w:val="0"/>
              <w:marRight w:val="0"/>
              <w:marTop w:val="0"/>
              <w:marBottom w:val="240"/>
              <w:divBdr>
                <w:top w:val="none" w:sz="0" w:space="0" w:color="auto"/>
                <w:left w:val="none" w:sz="0" w:space="0" w:color="auto"/>
                <w:bottom w:val="none" w:sz="0" w:space="0" w:color="auto"/>
                <w:right w:val="none" w:sz="0" w:space="0" w:color="auto"/>
              </w:divBdr>
            </w:div>
            <w:div w:id="147745119">
              <w:marLeft w:val="0"/>
              <w:marRight w:val="0"/>
              <w:marTop w:val="0"/>
              <w:marBottom w:val="240"/>
              <w:divBdr>
                <w:top w:val="none" w:sz="0" w:space="0" w:color="auto"/>
                <w:left w:val="none" w:sz="0" w:space="0" w:color="auto"/>
                <w:bottom w:val="none" w:sz="0" w:space="0" w:color="auto"/>
                <w:right w:val="none" w:sz="0" w:space="0" w:color="auto"/>
              </w:divBdr>
            </w:div>
            <w:div w:id="319577351">
              <w:marLeft w:val="0"/>
              <w:marRight w:val="0"/>
              <w:marTop w:val="0"/>
              <w:marBottom w:val="240"/>
              <w:divBdr>
                <w:top w:val="none" w:sz="0" w:space="0" w:color="auto"/>
                <w:left w:val="none" w:sz="0" w:space="0" w:color="auto"/>
                <w:bottom w:val="none" w:sz="0" w:space="0" w:color="auto"/>
                <w:right w:val="none" w:sz="0" w:space="0" w:color="auto"/>
              </w:divBdr>
            </w:div>
            <w:div w:id="473065905">
              <w:marLeft w:val="0"/>
              <w:marRight w:val="0"/>
              <w:marTop w:val="0"/>
              <w:marBottom w:val="240"/>
              <w:divBdr>
                <w:top w:val="none" w:sz="0" w:space="0" w:color="auto"/>
                <w:left w:val="none" w:sz="0" w:space="0" w:color="auto"/>
                <w:bottom w:val="none" w:sz="0" w:space="0" w:color="auto"/>
                <w:right w:val="none" w:sz="0" w:space="0" w:color="auto"/>
              </w:divBdr>
            </w:div>
            <w:div w:id="611278646">
              <w:marLeft w:val="0"/>
              <w:marRight w:val="0"/>
              <w:marTop w:val="0"/>
              <w:marBottom w:val="240"/>
              <w:divBdr>
                <w:top w:val="none" w:sz="0" w:space="0" w:color="auto"/>
                <w:left w:val="none" w:sz="0" w:space="0" w:color="auto"/>
                <w:bottom w:val="none" w:sz="0" w:space="0" w:color="auto"/>
                <w:right w:val="none" w:sz="0" w:space="0" w:color="auto"/>
              </w:divBdr>
            </w:div>
            <w:div w:id="681397396">
              <w:marLeft w:val="0"/>
              <w:marRight w:val="0"/>
              <w:marTop w:val="0"/>
              <w:marBottom w:val="240"/>
              <w:divBdr>
                <w:top w:val="none" w:sz="0" w:space="0" w:color="auto"/>
                <w:left w:val="none" w:sz="0" w:space="0" w:color="auto"/>
                <w:bottom w:val="none" w:sz="0" w:space="0" w:color="auto"/>
                <w:right w:val="none" w:sz="0" w:space="0" w:color="auto"/>
              </w:divBdr>
            </w:div>
            <w:div w:id="788864628">
              <w:marLeft w:val="0"/>
              <w:marRight w:val="0"/>
              <w:marTop w:val="0"/>
              <w:marBottom w:val="240"/>
              <w:divBdr>
                <w:top w:val="none" w:sz="0" w:space="0" w:color="auto"/>
                <w:left w:val="none" w:sz="0" w:space="0" w:color="auto"/>
                <w:bottom w:val="none" w:sz="0" w:space="0" w:color="auto"/>
                <w:right w:val="none" w:sz="0" w:space="0" w:color="auto"/>
              </w:divBdr>
            </w:div>
            <w:div w:id="940336879">
              <w:marLeft w:val="0"/>
              <w:marRight w:val="0"/>
              <w:marTop w:val="0"/>
              <w:marBottom w:val="240"/>
              <w:divBdr>
                <w:top w:val="none" w:sz="0" w:space="0" w:color="auto"/>
                <w:left w:val="none" w:sz="0" w:space="0" w:color="auto"/>
                <w:bottom w:val="none" w:sz="0" w:space="0" w:color="auto"/>
                <w:right w:val="none" w:sz="0" w:space="0" w:color="auto"/>
              </w:divBdr>
            </w:div>
            <w:div w:id="974985720">
              <w:marLeft w:val="0"/>
              <w:marRight w:val="0"/>
              <w:marTop w:val="0"/>
              <w:marBottom w:val="240"/>
              <w:divBdr>
                <w:top w:val="none" w:sz="0" w:space="0" w:color="auto"/>
                <w:left w:val="none" w:sz="0" w:space="0" w:color="auto"/>
                <w:bottom w:val="none" w:sz="0" w:space="0" w:color="auto"/>
                <w:right w:val="none" w:sz="0" w:space="0" w:color="auto"/>
              </w:divBdr>
            </w:div>
            <w:div w:id="993947657">
              <w:marLeft w:val="0"/>
              <w:marRight w:val="0"/>
              <w:marTop w:val="0"/>
              <w:marBottom w:val="240"/>
              <w:divBdr>
                <w:top w:val="none" w:sz="0" w:space="0" w:color="auto"/>
                <w:left w:val="none" w:sz="0" w:space="0" w:color="auto"/>
                <w:bottom w:val="none" w:sz="0" w:space="0" w:color="auto"/>
                <w:right w:val="none" w:sz="0" w:space="0" w:color="auto"/>
              </w:divBdr>
            </w:div>
            <w:div w:id="1119495870">
              <w:marLeft w:val="0"/>
              <w:marRight w:val="0"/>
              <w:marTop w:val="0"/>
              <w:marBottom w:val="240"/>
              <w:divBdr>
                <w:top w:val="none" w:sz="0" w:space="0" w:color="auto"/>
                <w:left w:val="none" w:sz="0" w:space="0" w:color="auto"/>
                <w:bottom w:val="none" w:sz="0" w:space="0" w:color="auto"/>
                <w:right w:val="none" w:sz="0" w:space="0" w:color="auto"/>
              </w:divBdr>
            </w:div>
            <w:div w:id="1123769124">
              <w:marLeft w:val="0"/>
              <w:marRight w:val="0"/>
              <w:marTop w:val="0"/>
              <w:marBottom w:val="240"/>
              <w:divBdr>
                <w:top w:val="none" w:sz="0" w:space="0" w:color="auto"/>
                <w:left w:val="none" w:sz="0" w:space="0" w:color="auto"/>
                <w:bottom w:val="none" w:sz="0" w:space="0" w:color="auto"/>
                <w:right w:val="none" w:sz="0" w:space="0" w:color="auto"/>
              </w:divBdr>
            </w:div>
            <w:div w:id="1190216378">
              <w:marLeft w:val="0"/>
              <w:marRight w:val="0"/>
              <w:marTop w:val="0"/>
              <w:marBottom w:val="240"/>
              <w:divBdr>
                <w:top w:val="none" w:sz="0" w:space="0" w:color="auto"/>
                <w:left w:val="none" w:sz="0" w:space="0" w:color="auto"/>
                <w:bottom w:val="none" w:sz="0" w:space="0" w:color="auto"/>
                <w:right w:val="none" w:sz="0" w:space="0" w:color="auto"/>
              </w:divBdr>
            </w:div>
            <w:div w:id="1234437971">
              <w:marLeft w:val="0"/>
              <w:marRight w:val="0"/>
              <w:marTop w:val="0"/>
              <w:marBottom w:val="240"/>
              <w:divBdr>
                <w:top w:val="none" w:sz="0" w:space="0" w:color="auto"/>
                <w:left w:val="none" w:sz="0" w:space="0" w:color="auto"/>
                <w:bottom w:val="none" w:sz="0" w:space="0" w:color="auto"/>
                <w:right w:val="none" w:sz="0" w:space="0" w:color="auto"/>
              </w:divBdr>
            </w:div>
            <w:div w:id="1252544264">
              <w:marLeft w:val="0"/>
              <w:marRight w:val="0"/>
              <w:marTop w:val="0"/>
              <w:marBottom w:val="240"/>
              <w:divBdr>
                <w:top w:val="none" w:sz="0" w:space="0" w:color="auto"/>
                <w:left w:val="none" w:sz="0" w:space="0" w:color="auto"/>
                <w:bottom w:val="none" w:sz="0" w:space="0" w:color="auto"/>
                <w:right w:val="none" w:sz="0" w:space="0" w:color="auto"/>
              </w:divBdr>
            </w:div>
            <w:div w:id="1268343353">
              <w:marLeft w:val="0"/>
              <w:marRight w:val="0"/>
              <w:marTop w:val="0"/>
              <w:marBottom w:val="240"/>
              <w:divBdr>
                <w:top w:val="none" w:sz="0" w:space="0" w:color="auto"/>
                <w:left w:val="none" w:sz="0" w:space="0" w:color="auto"/>
                <w:bottom w:val="none" w:sz="0" w:space="0" w:color="auto"/>
                <w:right w:val="none" w:sz="0" w:space="0" w:color="auto"/>
              </w:divBdr>
            </w:div>
            <w:div w:id="1319576447">
              <w:marLeft w:val="0"/>
              <w:marRight w:val="0"/>
              <w:marTop w:val="0"/>
              <w:marBottom w:val="0"/>
              <w:divBdr>
                <w:top w:val="none" w:sz="0" w:space="0" w:color="auto"/>
                <w:left w:val="none" w:sz="0" w:space="0" w:color="auto"/>
                <w:bottom w:val="none" w:sz="0" w:space="0" w:color="auto"/>
                <w:right w:val="none" w:sz="0" w:space="0" w:color="auto"/>
              </w:divBdr>
            </w:div>
            <w:div w:id="1592203404">
              <w:marLeft w:val="0"/>
              <w:marRight w:val="0"/>
              <w:marTop w:val="0"/>
              <w:marBottom w:val="240"/>
              <w:divBdr>
                <w:top w:val="none" w:sz="0" w:space="0" w:color="auto"/>
                <w:left w:val="none" w:sz="0" w:space="0" w:color="auto"/>
                <w:bottom w:val="none" w:sz="0" w:space="0" w:color="auto"/>
                <w:right w:val="none" w:sz="0" w:space="0" w:color="auto"/>
              </w:divBdr>
            </w:div>
            <w:div w:id="1671330626">
              <w:marLeft w:val="0"/>
              <w:marRight w:val="0"/>
              <w:marTop w:val="0"/>
              <w:marBottom w:val="240"/>
              <w:divBdr>
                <w:top w:val="none" w:sz="0" w:space="0" w:color="auto"/>
                <w:left w:val="none" w:sz="0" w:space="0" w:color="auto"/>
                <w:bottom w:val="none" w:sz="0" w:space="0" w:color="auto"/>
                <w:right w:val="none" w:sz="0" w:space="0" w:color="auto"/>
              </w:divBdr>
            </w:div>
            <w:div w:id="1697845564">
              <w:marLeft w:val="0"/>
              <w:marRight w:val="0"/>
              <w:marTop w:val="0"/>
              <w:marBottom w:val="240"/>
              <w:divBdr>
                <w:top w:val="none" w:sz="0" w:space="0" w:color="auto"/>
                <w:left w:val="none" w:sz="0" w:space="0" w:color="auto"/>
                <w:bottom w:val="none" w:sz="0" w:space="0" w:color="auto"/>
                <w:right w:val="none" w:sz="0" w:space="0" w:color="auto"/>
              </w:divBdr>
            </w:div>
            <w:div w:id="1728995045">
              <w:marLeft w:val="0"/>
              <w:marRight w:val="0"/>
              <w:marTop w:val="0"/>
              <w:marBottom w:val="240"/>
              <w:divBdr>
                <w:top w:val="none" w:sz="0" w:space="0" w:color="auto"/>
                <w:left w:val="none" w:sz="0" w:space="0" w:color="auto"/>
                <w:bottom w:val="none" w:sz="0" w:space="0" w:color="auto"/>
                <w:right w:val="none" w:sz="0" w:space="0" w:color="auto"/>
              </w:divBdr>
            </w:div>
            <w:div w:id="1773935442">
              <w:marLeft w:val="0"/>
              <w:marRight w:val="0"/>
              <w:marTop w:val="0"/>
              <w:marBottom w:val="240"/>
              <w:divBdr>
                <w:top w:val="none" w:sz="0" w:space="0" w:color="auto"/>
                <w:left w:val="none" w:sz="0" w:space="0" w:color="auto"/>
                <w:bottom w:val="none" w:sz="0" w:space="0" w:color="auto"/>
                <w:right w:val="none" w:sz="0" w:space="0" w:color="auto"/>
              </w:divBdr>
            </w:div>
            <w:div w:id="1800106275">
              <w:marLeft w:val="0"/>
              <w:marRight w:val="0"/>
              <w:marTop w:val="0"/>
              <w:marBottom w:val="240"/>
              <w:divBdr>
                <w:top w:val="none" w:sz="0" w:space="0" w:color="auto"/>
                <w:left w:val="none" w:sz="0" w:space="0" w:color="auto"/>
                <w:bottom w:val="none" w:sz="0" w:space="0" w:color="auto"/>
                <w:right w:val="none" w:sz="0" w:space="0" w:color="auto"/>
              </w:divBdr>
            </w:div>
            <w:div w:id="1823425837">
              <w:marLeft w:val="0"/>
              <w:marRight w:val="0"/>
              <w:marTop w:val="0"/>
              <w:marBottom w:val="240"/>
              <w:divBdr>
                <w:top w:val="none" w:sz="0" w:space="0" w:color="auto"/>
                <w:left w:val="none" w:sz="0" w:space="0" w:color="auto"/>
                <w:bottom w:val="none" w:sz="0" w:space="0" w:color="auto"/>
                <w:right w:val="none" w:sz="0" w:space="0" w:color="auto"/>
              </w:divBdr>
            </w:div>
            <w:div w:id="1946232231">
              <w:marLeft w:val="0"/>
              <w:marRight w:val="0"/>
              <w:marTop w:val="0"/>
              <w:marBottom w:val="240"/>
              <w:divBdr>
                <w:top w:val="none" w:sz="0" w:space="0" w:color="auto"/>
                <w:left w:val="none" w:sz="0" w:space="0" w:color="auto"/>
                <w:bottom w:val="none" w:sz="0" w:space="0" w:color="auto"/>
                <w:right w:val="none" w:sz="0" w:space="0" w:color="auto"/>
              </w:divBdr>
            </w:div>
            <w:div w:id="2005157108">
              <w:marLeft w:val="0"/>
              <w:marRight w:val="0"/>
              <w:marTop w:val="0"/>
              <w:marBottom w:val="240"/>
              <w:divBdr>
                <w:top w:val="none" w:sz="0" w:space="0" w:color="auto"/>
                <w:left w:val="none" w:sz="0" w:space="0" w:color="auto"/>
                <w:bottom w:val="none" w:sz="0" w:space="0" w:color="auto"/>
                <w:right w:val="none" w:sz="0" w:space="0" w:color="auto"/>
              </w:divBdr>
            </w:div>
            <w:div w:id="2059164431">
              <w:marLeft w:val="0"/>
              <w:marRight w:val="0"/>
              <w:marTop w:val="0"/>
              <w:marBottom w:val="240"/>
              <w:divBdr>
                <w:top w:val="none" w:sz="0" w:space="0" w:color="auto"/>
                <w:left w:val="none" w:sz="0" w:space="0" w:color="auto"/>
                <w:bottom w:val="none" w:sz="0" w:space="0" w:color="auto"/>
                <w:right w:val="none" w:sz="0" w:space="0" w:color="auto"/>
              </w:divBdr>
            </w:div>
            <w:div w:id="2090732840">
              <w:marLeft w:val="0"/>
              <w:marRight w:val="0"/>
              <w:marTop w:val="0"/>
              <w:marBottom w:val="240"/>
              <w:divBdr>
                <w:top w:val="none" w:sz="0" w:space="0" w:color="auto"/>
                <w:left w:val="none" w:sz="0" w:space="0" w:color="auto"/>
                <w:bottom w:val="none" w:sz="0" w:space="0" w:color="auto"/>
                <w:right w:val="none" w:sz="0" w:space="0" w:color="auto"/>
              </w:divBdr>
            </w:div>
            <w:div w:id="21054899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4792718">
      <w:bodyDiv w:val="1"/>
      <w:marLeft w:val="0"/>
      <w:marRight w:val="0"/>
      <w:marTop w:val="0"/>
      <w:marBottom w:val="0"/>
      <w:divBdr>
        <w:top w:val="none" w:sz="0" w:space="0" w:color="auto"/>
        <w:left w:val="none" w:sz="0" w:space="0" w:color="auto"/>
        <w:bottom w:val="none" w:sz="0" w:space="0" w:color="auto"/>
        <w:right w:val="none" w:sz="0" w:space="0" w:color="auto"/>
      </w:divBdr>
      <w:divsChild>
        <w:div w:id="1455248109">
          <w:marLeft w:val="0"/>
          <w:marRight w:val="0"/>
          <w:marTop w:val="0"/>
          <w:marBottom w:val="0"/>
          <w:divBdr>
            <w:top w:val="none" w:sz="0" w:space="0" w:color="auto"/>
            <w:left w:val="none" w:sz="0" w:space="0" w:color="auto"/>
            <w:bottom w:val="none" w:sz="0" w:space="0" w:color="auto"/>
            <w:right w:val="none" w:sz="0" w:space="0" w:color="auto"/>
          </w:divBdr>
          <w:divsChild>
            <w:div w:id="52120361">
              <w:marLeft w:val="0"/>
              <w:marRight w:val="0"/>
              <w:marTop w:val="0"/>
              <w:marBottom w:val="240"/>
              <w:divBdr>
                <w:top w:val="none" w:sz="0" w:space="0" w:color="auto"/>
                <w:left w:val="none" w:sz="0" w:space="0" w:color="auto"/>
                <w:bottom w:val="none" w:sz="0" w:space="0" w:color="auto"/>
                <w:right w:val="none" w:sz="0" w:space="0" w:color="auto"/>
              </w:divBdr>
            </w:div>
            <w:div w:id="78066051">
              <w:marLeft w:val="0"/>
              <w:marRight w:val="0"/>
              <w:marTop w:val="0"/>
              <w:marBottom w:val="240"/>
              <w:divBdr>
                <w:top w:val="none" w:sz="0" w:space="0" w:color="auto"/>
                <w:left w:val="none" w:sz="0" w:space="0" w:color="auto"/>
                <w:bottom w:val="none" w:sz="0" w:space="0" w:color="auto"/>
                <w:right w:val="none" w:sz="0" w:space="0" w:color="auto"/>
              </w:divBdr>
            </w:div>
            <w:div w:id="88088488">
              <w:marLeft w:val="0"/>
              <w:marRight w:val="0"/>
              <w:marTop w:val="0"/>
              <w:marBottom w:val="240"/>
              <w:divBdr>
                <w:top w:val="none" w:sz="0" w:space="0" w:color="auto"/>
                <w:left w:val="none" w:sz="0" w:space="0" w:color="auto"/>
                <w:bottom w:val="none" w:sz="0" w:space="0" w:color="auto"/>
                <w:right w:val="none" w:sz="0" w:space="0" w:color="auto"/>
              </w:divBdr>
            </w:div>
            <w:div w:id="100688377">
              <w:marLeft w:val="0"/>
              <w:marRight w:val="0"/>
              <w:marTop w:val="0"/>
              <w:marBottom w:val="240"/>
              <w:divBdr>
                <w:top w:val="none" w:sz="0" w:space="0" w:color="auto"/>
                <w:left w:val="none" w:sz="0" w:space="0" w:color="auto"/>
                <w:bottom w:val="none" w:sz="0" w:space="0" w:color="auto"/>
                <w:right w:val="none" w:sz="0" w:space="0" w:color="auto"/>
              </w:divBdr>
            </w:div>
            <w:div w:id="111554818">
              <w:marLeft w:val="0"/>
              <w:marRight w:val="0"/>
              <w:marTop w:val="0"/>
              <w:marBottom w:val="240"/>
              <w:divBdr>
                <w:top w:val="none" w:sz="0" w:space="0" w:color="auto"/>
                <w:left w:val="none" w:sz="0" w:space="0" w:color="auto"/>
                <w:bottom w:val="none" w:sz="0" w:space="0" w:color="auto"/>
                <w:right w:val="none" w:sz="0" w:space="0" w:color="auto"/>
              </w:divBdr>
            </w:div>
            <w:div w:id="115956522">
              <w:marLeft w:val="0"/>
              <w:marRight w:val="0"/>
              <w:marTop w:val="0"/>
              <w:marBottom w:val="240"/>
              <w:divBdr>
                <w:top w:val="none" w:sz="0" w:space="0" w:color="auto"/>
                <w:left w:val="none" w:sz="0" w:space="0" w:color="auto"/>
                <w:bottom w:val="none" w:sz="0" w:space="0" w:color="auto"/>
                <w:right w:val="none" w:sz="0" w:space="0" w:color="auto"/>
              </w:divBdr>
            </w:div>
            <w:div w:id="203058125">
              <w:marLeft w:val="0"/>
              <w:marRight w:val="0"/>
              <w:marTop w:val="0"/>
              <w:marBottom w:val="240"/>
              <w:divBdr>
                <w:top w:val="none" w:sz="0" w:space="0" w:color="auto"/>
                <w:left w:val="none" w:sz="0" w:space="0" w:color="auto"/>
                <w:bottom w:val="none" w:sz="0" w:space="0" w:color="auto"/>
                <w:right w:val="none" w:sz="0" w:space="0" w:color="auto"/>
              </w:divBdr>
            </w:div>
            <w:div w:id="260067041">
              <w:marLeft w:val="0"/>
              <w:marRight w:val="0"/>
              <w:marTop w:val="0"/>
              <w:marBottom w:val="240"/>
              <w:divBdr>
                <w:top w:val="none" w:sz="0" w:space="0" w:color="auto"/>
                <w:left w:val="none" w:sz="0" w:space="0" w:color="auto"/>
                <w:bottom w:val="none" w:sz="0" w:space="0" w:color="auto"/>
                <w:right w:val="none" w:sz="0" w:space="0" w:color="auto"/>
              </w:divBdr>
            </w:div>
            <w:div w:id="382483671">
              <w:marLeft w:val="0"/>
              <w:marRight w:val="0"/>
              <w:marTop w:val="0"/>
              <w:marBottom w:val="240"/>
              <w:divBdr>
                <w:top w:val="none" w:sz="0" w:space="0" w:color="auto"/>
                <w:left w:val="none" w:sz="0" w:space="0" w:color="auto"/>
                <w:bottom w:val="none" w:sz="0" w:space="0" w:color="auto"/>
                <w:right w:val="none" w:sz="0" w:space="0" w:color="auto"/>
              </w:divBdr>
            </w:div>
            <w:div w:id="421072278">
              <w:marLeft w:val="0"/>
              <w:marRight w:val="0"/>
              <w:marTop w:val="0"/>
              <w:marBottom w:val="240"/>
              <w:divBdr>
                <w:top w:val="none" w:sz="0" w:space="0" w:color="auto"/>
                <w:left w:val="none" w:sz="0" w:space="0" w:color="auto"/>
                <w:bottom w:val="none" w:sz="0" w:space="0" w:color="auto"/>
                <w:right w:val="none" w:sz="0" w:space="0" w:color="auto"/>
              </w:divBdr>
            </w:div>
            <w:div w:id="425345325">
              <w:marLeft w:val="0"/>
              <w:marRight w:val="0"/>
              <w:marTop w:val="0"/>
              <w:marBottom w:val="240"/>
              <w:divBdr>
                <w:top w:val="none" w:sz="0" w:space="0" w:color="auto"/>
                <w:left w:val="none" w:sz="0" w:space="0" w:color="auto"/>
                <w:bottom w:val="none" w:sz="0" w:space="0" w:color="auto"/>
                <w:right w:val="none" w:sz="0" w:space="0" w:color="auto"/>
              </w:divBdr>
            </w:div>
            <w:div w:id="522866526">
              <w:marLeft w:val="0"/>
              <w:marRight w:val="0"/>
              <w:marTop w:val="0"/>
              <w:marBottom w:val="240"/>
              <w:divBdr>
                <w:top w:val="none" w:sz="0" w:space="0" w:color="auto"/>
                <w:left w:val="none" w:sz="0" w:space="0" w:color="auto"/>
                <w:bottom w:val="none" w:sz="0" w:space="0" w:color="auto"/>
                <w:right w:val="none" w:sz="0" w:space="0" w:color="auto"/>
              </w:divBdr>
            </w:div>
            <w:div w:id="537284323">
              <w:marLeft w:val="0"/>
              <w:marRight w:val="0"/>
              <w:marTop w:val="0"/>
              <w:marBottom w:val="240"/>
              <w:divBdr>
                <w:top w:val="none" w:sz="0" w:space="0" w:color="auto"/>
                <w:left w:val="none" w:sz="0" w:space="0" w:color="auto"/>
                <w:bottom w:val="none" w:sz="0" w:space="0" w:color="auto"/>
                <w:right w:val="none" w:sz="0" w:space="0" w:color="auto"/>
              </w:divBdr>
            </w:div>
            <w:div w:id="571280739">
              <w:marLeft w:val="0"/>
              <w:marRight w:val="0"/>
              <w:marTop w:val="0"/>
              <w:marBottom w:val="240"/>
              <w:divBdr>
                <w:top w:val="none" w:sz="0" w:space="0" w:color="auto"/>
                <w:left w:val="none" w:sz="0" w:space="0" w:color="auto"/>
                <w:bottom w:val="none" w:sz="0" w:space="0" w:color="auto"/>
                <w:right w:val="none" w:sz="0" w:space="0" w:color="auto"/>
              </w:divBdr>
            </w:div>
            <w:div w:id="582305015">
              <w:marLeft w:val="0"/>
              <w:marRight w:val="0"/>
              <w:marTop w:val="0"/>
              <w:marBottom w:val="240"/>
              <w:divBdr>
                <w:top w:val="none" w:sz="0" w:space="0" w:color="auto"/>
                <w:left w:val="none" w:sz="0" w:space="0" w:color="auto"/>
                <w:bottom w:val="none" w:sz="0" w:space="0" w:color="auto"/>
                <w:right w:val="none" w:sz="0" w:space="0" w:color="auto"/>
              </w:divBdr>
            </w:div>
            <w:div w:id="606238384">
              <w:marLeft w:val="0"/>
              <w:marRight w:val="0"/>
              <w:marTop w:val="0"/>
              <w:marBottom w:val="240"/>
              <w:divBdr>
                <w:top w:val="none" w:sz="0" w:space="0" w:color="auto"/>
                <w:left w:val="none" w:sz="0" w:space="0" w:color="auto"/>
                <w:bottom w:val="none" w:sz="0" w:space="0" w:color="auto"/>
                <w:right w:val="none" w:sz="0" w:space="0" w:color="auto"/>
              </w:divBdr>
            </w:div>
            <w:div w:id="609557139">
              <w:marLeft w:val="0"/>
              <w:marRight w:val="0"/>
              <w:marTop w:val="0"/>
              <w:marBottom w:val="240"/>
              <w:divBdr>
                <w:top w:val="none" w:sz="0" w:space="0" w:color="auto"/>
                <w:left w:val="none" w:sz="0" w:space="0" w:color="auto"/>
                <w:bottom w:val="none" w:sz="0" w:space="0" w:color="auto"/>
                <w:right w:val="none" w:sz="0" w:space="0" w:color="auto"/>
              </w:divBdr>
            </w:div>
            <w:div w:id="622424354">
              <w:marLeft w:val="0"/>
              <w:marRight w:val="0"/>
              <w:marTop w:val="0"/>
              <w:marBottom w:val="240"/>
              <w:divBdr>
                <w:top w:val="none" w:sz="0" w:space="0" w:color="auto"/>
                <w:left w:val="none" w:sz="0" w:space="0" w:color="auto"/>
                <w:bottom w:val="none" w:sz="0" w:space="0" w:color="auto"/>
                <w:right w:val="none" w:sz="0" w:space="0" w:color="auto"/>
              </w:divBdr>
            </w:div>
            <w:div w:id="651449718">
              <w:marLeft w:val="0"/>
              <w:marRight w:val="0"/>
              <w:marTop w:val="0"/>
              <w:marBottom w:val="240"/>
              <w:divBdr>
                <w:top w:val="none" w:sz="0" w:space="0" w:color="auto"/>
                <w:left w:val="none" w:sz="0" w:space="0" w:color="auto"/>
                <w:bottom w:val="none" w:sz="0" w:space="0" w:color="auto"/>
                <w:right w:val="none" w:sz="0" w:space="0" w:color="auto"/>
              </w:divBdr>
            </w:div>
            <w:div w:id="758067406">
              <w:marLeft w:val="0"/>
              <w:marRight w:val="0"/>
              <w:marTop w:val="0"/>
              <w:marBottom w:val="240"/>
              <w:divBdr>
                <w:top w:val="none" w:sz="0" w:space="0" w:color="auto"/>
                <w:left w:val="none" w:sz="0" w:space="0" w:color="auto"/>
                <w:bottom w:val="none" w:sz="0" w:space="0" w:color="auto"/>
                <w:right w:val="none" w:sz="0" w:space="0" w:color="auto"/>
              </w:divBdr>
            </w:div>
            <w:div w:id="761685039">
              <w:marLeft w:val="0"/>
              <w:marRight w:val="0"/>
              <w:marTop w:val="0"/>
              <w:marBottom w:val="240"/>
              <w:divBdr>
                <w:top w:val="none" w:sz="0" w:space="0" w:color="auto"/>
                <w:left w:val="none" w:sz="0" w:space="0" w:color="auto"/>
                <w:bottom w:val="none" w:sz="0" w:space="0" w:color="auto"/>
                <w:right w:val="none" w:sz="0" w:space="0" w:color="auto"/>
              </w:divBdr>
            </w:div>
            <w:div w:id="776750613">
              <w:marLeft w:val="0"/>
              <w:marRight w:val="0"/>
              <w:marTop w:val="0"/>
              <w:marBottom w:val="240"/>
              <w:divBdr>
                <w:top w:val="none" w:sz="0" w:space="0" w:color="auto"/>
                <w:left w:val="none" w:sz="0" w:space="0" w:color="auto"/>
                <w:bottom w:val="none" w:sz="0" w:space="0" w:color="auto"/>
                <w:right w:val="none" w:sz="0" w:space="0" w:color="auto"/>
              </w:divBdr>
            </w:div>
            <w:div w:id="878588203">
              <w:marLeft w:val="0"/>
              <w:marRight w:val="0"/>
              <w:marTop w:val="0"/>
              <w:marBottom w:val="240"/>
              <w:divBdr>
                <w:top w:val="none" w:sz="0" w:space="0" w:color="auto"/>
                <w:left w:val="none" w:sz="0" w:space="0" w:color="auto"/>
                <w:bottom w:val="none" w:sz="0" w:space="0" w:color="auto"/>
                <w:right w:val="none" w:sz="0" w:space="0" w:color="auto"/>
              </w:divBdr>
            </w:div>
            <w:div w:id="964117996">
              <w:marLeft w:val="0"/>
              <w:marRight w:val="0"/>
              <w:marTop w:val="0"/>
              <w:marBottom w:val="240"/>
              <w:divBdr>
                <w:top w:val="none" w:sz="0" w:space="0" w:color="auto"/>
                <w:left w:val="none" w:sz="0" w:space="0" w:color="auto"/>
                <w:bottom w:val="none" w:sz="0" w:space="0" w:color="auto"/>
                <w:right w:val="none" w:sz="0" w:space="0" w:color="auto"/>
              </w:divBdr>
            </w:div>
            <w:div w:id="1001196672">
              <w:marLeft w:val="0"/>
              <w:marRight w:val="0"/>
              <w:marTop w:val="0"/>
              <w:marBottom w:val="240"/>
              <w:divBdr>
                <w:top w:val="none" w:sz="0" w:space="0" w:color="auto"/>
                <w:left w:val="none" w:sz="0" w:space="0" w:color="auto"/>
                <w:bottom w:val="none" w:sz="0" w:space="0" w:color="auto"/>
                <w:right w:val="none" w:sz="0" w:space="0" w:color="auto"/>
              </w:divBdr>
            </w:div>
            <w:div w:id="1164514526">
              <w:marLeft w:val="0"/>
              <w:marRight w:val="0"/>
              <w:marTop w:val="0"/>
              <w:marBottom w:val="240"/>
              <w:divBdr>
                <w:top w:val="none" w:sz="0" w:space="0" w:color="auto"/>
                <w:left w:val="none" w:sz="0" w:space="0" w:color="auto"/>
                <w:bottom w:val="none" w:sz="0" w:space="0" w:color="auto"/>
                <w:right w:val="none" w:sz="0" w:space="0" w:color="auto"/>
              </w:divBdr>
            </w:div>
            <w:div w:id="1323772671">
              <w:marLeft w:val="0"/>
              <w:marRight w:val="0"/>
              <w:marTop w:val="0"/>
              <w:marBottom w:val="240"/>
              <w:divBdr>
                <w:top w:val="none" w:sz="0" w:space="0" w:color="auto"/>
                <w:left w:val="none" w:sz="0" w:space="0" w:color="auto"/>
                <w:bottom w:val="none" w:sz="0" w:space="0" w:color="auto"/>
                <w:right w:val="none" w:sz="0" w:space="0" w:color="auto"/>
              </w:divBdr>
            </w:div>
            <w:div w:id="1435980195">
              <w:marLeft w:val="0"/>
              <w:marRight w:val="0"/>
              <w:marTop w:val="0"/>
              <w:marBottom w:val="240"/>
              <w:divBdr>
                <w:top w:val="none" w:sz="0" w:space="0" w:color="auto"/>
                <w:left w:val="none" w:sz="0" w:space="0" w:color="auto"/>
                <w:bottom w:val="none" w:sz="0" w:space="0" w:color="auto"/>
                <w:right w:val="none" w:sz="0" w:space="0" w:color="auto"/>
              </w:divBdr>
            </w:div>
            <w:div w:id="1459837242">
              <w:marLeft w:val="0"/>
              <w:marRight w:val="0"/>
              <w:marTop w:val="0"/>
              <w:marBottom w:val="240"/>
              <w:divBdr>
                <w:top w:val="none" w:sz="0" w:space="0" w:color="auto"/>
                <w:left w:val="none" w:sz="0" w:space="0" w:color="auto"/>
                <w:bottom w:val="none" w:sz="0" w:space="0" w:color="auto"/>
                <w:right w:val="none" w:sz="0" w:space="0" w:color="auto"/>
              </w:divBdr>
            </w:div>
            <w:div w:id="1578435598">
              <w:marLeft w:val="0"/>
              <w:marRight w:val="0"/>
              <w:marTop w:val="0"/>
              <w:marBottom w:val="240"/>
              <w:divBdr>
                <w:top w:val="none" w:sz="0" w:space="0" w:color="auto"/>
                <w:left w:val="none" w:sz="0" w:space="0" w:color="auto"/>
                <w:bottom w:val="none" w:sz="0" w:space="0" w:color="auto"/>
                <w:right w:val="none" w:sz="0" w:space="0" w:color="auto"/>
              </w:divBdr>
            </w:div>
            <w:div w:id="1581258899">
              <w:marLeft w:val="0"/>
              <w:marRight w:val="0"/>
              <w:marTop w:val="0"/>
              <w:marBottom w:val="240"/>
              <w:divBdr>
                <w:top w:val="none" w:sz="0" w:space="0" w:color="auto"/>
                <w:left w:val="none" w:sz="0" w:space="0" w:color="auto"/>
                <w:bottom w:val="none" w:sz="0" w:space="0" w:color="auto"/>
                <w:right w:val="none" w:sz="0" w:space="0" w:color="auto"/>
              </w:divBdr>
            </w:div>
            <w:div w:id="1586644277">
              <w:marLeft w:val="0"/>
              <w:marRight w:val="0"/>
              <w:marTop w:val="0"/>
              <w:marBottom w:val="240"/>
              <w:divBdr>
                <w:top w:val="none" w:sz="0" w:space="0" w:color="auto"/>
                <w:left w:val="none" w:sz="0" w:space="0" w:color="auto"/>
                <w:bottom w:val="none" w:sz="0" w:space="0" w:color="auto"/>
                <w:right w:val="none" w:sz="0" w:space="0" w:color="auto"/>
              </w:divBdr>
            </w:div>
            <w:div w:id="1588417782">
              <w:marLeft w:val="0"/>
              <w:marRight w:val="0"/>
              <w:marTop w:val="0"/>
              <w:marBottom w:val="240"/>
              <w:divBdr>
                <w:top w:val="none" w:sz="0" w:space="0" w:color="auto"/>
                <w:left w:val="none" w:sz="0" w:space="0" w:color="auto"/>
                <w:bottom w:val="none" w:sz="0" w:space="0" w:color="auto"/>
                <w:right w:val="none" w:sz="0" w:space="0" w:color="auto"/>
              </w:divBdr>
            </w:div>
            <w:div w:id="1615865568">
              <w:marLeft w:val="0"/>
              <w:marRight w:val="0"/>
              <w:marTop w:val="0"/>
              <w:marBottom w:val="240"/>
              <w:divBdr>
                <w:top w:val="none" w:sz="0" w:space="0" w:color="auto"/>
                <w:left w:val="none" w:sz="0" w:space="0" w:color="auto"/>
                <w:bottom w:val="none" w:sz="0" w:space="0" w:color="auto"/>
                <w:right w:val="none" w:sz="0" w:space="0" w:color="auto"/>
              </w:divBdr>
            </w:div>
            <w:div w:id="1618833182">
              <w:marLeft w:val="0"/>
              <w:marRight w:val="0"/>
              <w:marTop w:val="0"/>
              <w:marBottom w:val="240"/>
              <w:divBdr>
                <w:top w:val="none" w:sz="0" w:space="0" w:color="auto"/>
                <w:left w:val="none" w:sz="0" w:space="0" w:color="auto"/>
                <w:bottom w:val="none" w:sz="0" w:space="0" w:color="auto"/>
                <w:right w:val="none" w:sz="0" w:space="0" w:color="auto"/>
              </w:divBdr>
            </w:div>
            <w:div w:id="1734618447">
              <w:marLeft w:val="0"/>
              <w:marRight w:val="0"/>
              <w:marTop w:val="0"/>
              <w:marBottom w:val="240"/>
              <w:divBdr>
                <w:top w:val="none" w:sz="0" w:space="0" w:color="auto"/>
                <w:left w:val="none" w:sz="0" w:space="0" w:color="auto"/>
                <w:bottom w:val="none" w:sz="0" w:space="0" w:color="auto"/>
                <w:right w:val="none" w:sz="0" w:space="0" w:color="auto"/>
              </w:divBdr>
            </w:div>
            <w:div w:id="1800800494">
              <w:marLeft w:val="0"/>
              <w:marRight w:val="0"/>
              <w:marTop w:val="0"/>
              <w:marBottom w:val="240"/>
              <w:divBdr>
                <w:top w:val="none" w:sz="0" w:space="0" w:color="auto"/>
                <w:left w:val="none" w:sz="0" w:space="0" w:color="auto"/>
                <w:bottom w:val="none" w:sz="0" w:space="0" w:color="auto"/>
                <w:right w:val="none" w:sz="0" w:space="0" w:color="auto"/>
              </w:divBdr>
            </w:div>
            <w:div w:id="1842700810">
              <w:marLeft w:val="0"/>
              <w:marRight w:val="0"/>
              <w:marTop w:val="0"/>
              <w:marBottom w:val="240"/>
              <w:divBdr>
                <w:top w:val="none" w:sz="0" w:space="0" w:color="auto"/>
                <w:left w:val="none" w:sz="0" w:space="0" w:color="auto"/>
                <w:bottom w:val="none" w:sz="0" w:space="0" w:color="auto"/>
                <w:right w:val="none" w:sz="0" w:space="0" w:color="auto"/>
              </w:divBdr>
            </w:div>
            <w:div w:id="1928996656">
              <w:marLeft w:val="0"/>
              <w:marRight w:val="0"/>
              <w:marTop w:val="0"/>
              <w:marBottom w:val="240"/>
              <w:divBdr>
                <w:top w:val="none" w:sz="0" w:space="0" w:color="auto"/>
                <w:left w:val="none" w:sz="0" w:space="0" w:color="auto"/>
                <w:bottom w:val="none" w:sz="0" w:space="0" w:color="auto"/>
                <w:right w:val="none" w:sz="0" w:space="0" w:color="auto"/>
              </w:divBdr>
            </w:div>
            <w:div w:id="1950432005">
              <w:marLeft w:val="0"/>
              <w:marRight w:val="0"/>
              <w:marTop w:val="0"/>
              <w:marBottom w:val="240"/>
              <w:divBdr>
                <w:top w:val="none" w:sz="0" w:space="0" w:color="auto"/>
                <w:left w:val="none" w:sz="0" w:space="0" w:color="auto"/>
                <w:bottom w:val="none" w:sz="0" w:space="0" w:color="auto"/>
                <w:right w:val="none" w:sz="0" w:space="0" w:color="auto"/>
              </w:divBdr>
            </w:div>
            <w:div w:id="2072343592">
              <w:marLeft w:val="0"/>
              <w:marRight w:val="0"/>
              <w:marTop w:val="0"/>
              <w:marBottom w:val="0"/>
              <w:divBdr>
                <w:top w:val="none" w:sz="0" w:space="0" w:color="auto"/>
                <w:left w:val="none" w:sz="0" w:space="0" w:color="auto"/>
                <w:bottom w:val="none" w:sz="0" w:space="0" w:color="auto"/>
                <w:right w:val="none" w:sz="0" w:space="0" w:color="auto"/>
              </w:divBdr>
            </w:div>
            <w:div w:id="2103256056">
              <w:marLeft w:val="0"/>
              <w:marRight w:val="0"/>
              <w:marTop w:val="0"/>
              <w:marBottom w:val="240"/>
              <w:divBdr>
                <w:top w:val="none" w:sz="0" w:space="0" w:color="auto"/>
                <w:left w:val="none" w:sz="0" w:space="0" w:color="auto"/>
                <w:bottom w:val="none" w:sz="0" w:space="0" w:color="auto"/>
                <w:right w:val="none" w:sz="0" w:space="0" w:color="auto"/>
              </w:divBdr>
            </w:div>
            <w:div w:id="2104182218">
              <w:marLeft w:val="0"/>
              <w:marRight w:val="0"/>
              <w:marTop w:val="0"/>
              <w:marBottom w:val="240"/>
              <w:divBdr>
                <w:top w:val="none" w:sz="0" w:space="0" w:color="auto"/>
                <w:left w:val="none" w:sz="0" w:space="0" w:color="auto"/>
                <w:bottom w:val="none" w:sz="0" w:space="0" w:color="auto"/>
                <w:right w:val="none" w:sz="0" w:space="0" w:color="auto"/>
              </w:divBdr>
            </w:div>
            <w:div w:id="2127698861">
              <w:marLeft w:val="0"/>
              <w:marRight w:val="0"/>
              <w:marTop w:val="0"/>
              <w:marBottom w:val="240"/>
              <w:divBdr>
                <w:top w:val="none" w:sz="0" w:space="0" w:color="auto"/>
                <w:left w:val="none" w:sz="0" w:space="0" w:color="auto"/>
                <w:bottom w:val="none" w:sz="0" w:space="0" w:color="auto"/>
                <w:right w:val="none" w:sz="0" w:space="0" w:color="auto"/>
              </w:divBdr>
            </w:div>
            <w:div w:id="21325060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9344923">
      <w:bodyDiv w:val="1"/>
      <w:marLeft w:val="0"/>
      <w:marRight w:val="0"/>
      <w:marTop w:val="0"/>
      <w:marBottom w:val="0"/>
      <w:divBdr>
        <w:top w:val="none" w:sz="0" w:space="0" w:color="auto"/>
        <w:left w:val="none" w:sz="0" w:space="0" w:color="auto"/>
        <w:bottom w:val="none" w:sz="0" w:space="0" w:color="auto"/>
        <w:right w:val="none" w:sz="0" w:space="0" w:color="auto"/>
      </w:divBdr>
    </w:div>
    <w:div w:id="1970502555">
      <w:bodyDiv w:val="1"/>
      <w:marLeft w:val="0"/>
      <w:marRight w:val="0"/>
      <w:marTop w:val="0"/>
      <w:marBottom w:val="0"/>
      <w:divBdr>
        <w:top w:val="none" w:sz="0" w:space="0" w:color="auto"/>
        <w:left w:val="none" w:sz="0" w:space="0" w:color="auto"/>
        <w:bottom w:val="none" w:sz="0" w:space="0" w:color="auto"/>
        <w:right w:val="none" w:sz="0" w:space="0" w:color="auto"/>
      </w:divBdr>
      <w:divsChild>
        <w:div w:id="62871821">
          <w:marLeft w:val="0"/>
          <w:marRight w:val="0"/>
          <w:marTop w:val="0"/>
          <w:marBottom w:val="0"/>
          <w:divBdr>
            <w:top w:val="none" w:sz="0" w:space="0" w:color="auto"/>
            <w:left w:val="none" w:sz="0" w:space="0" w:color="auto"/>
            <w:bottom w:val="none" w:sz="0" w:space="0" w:color="auto"/>
            <w:right w:val="none" w:sz="0" w:space="0" w:color="auto"/>
          </w:divBdr>
          <w:divsChild>
            <w:div w:id="90247365">
              <w:marLeft w:val="0"/>
              <w:marRight w:val="0"/>
              <w:marTop w:val="0"/>
              <w:marBottom w:val="240"/>
              <w:divBdr>
                <w:top w:val="none" w:sz="0" w:space="0" w:color="auto"/>
                <w:left w:val="none" w:sz="0" w:space="0" w:color="auto"/>
                <w:bottom w:val="none" w:sz="0" w:space="0" w:color="auto"/>
                <w:right w:val="none" w:sz="0" w:space="0" w:color="auto"/>
              </w:divBdr>
            </w:div>
            <w:div w:id="204147970">
              <w:marLeft w:val="0"/>
              <w:marRight w:val="0"/>
              <w:marTop w:val="0"/>
              <w:marBottom w:val="240"/>
              <w:divBdr>
                <w:top w:val="none" w:sz="0" w:space="0" w:color="auto"/>
                <w:left w:val="none" w:sz="0" w:space="0" w:color="auto"/>
                <w:bottom w:val="none" w:sz="0" w:space="0" w:color="auto"/>
                <w:right w:val="none" w:sz="0" w:space="0" w:color="auto"/>
              </w:divBdr>
            </w:div>
            <w:div w:id="409039029">
              <w:marLeft w:val="0"/>
              <w:marRight w:val="0"/>
              <w:marTop w:val="0"/>
              <w:marBottom w:val="240"/>
              <w:divBdr>
                <w:top w:val="none" w:sz="0" w:space="0" w:color="auto"/>
                <w:left w:val="none" w:sz="0" w:space="0" w:color="auto"/>
                <w:bottom w:val="none" w:sz="0" w:space="0" w:color="auto"/>
                <w:right w:val="none" w:sz="0" w:space="0" w:color="auto"/>
              </w:divBdr>
            </w:div>
            <w:div w:id="610168434">
              <w:marLeft w:val="0"/>
              <w:marRight w:val="0"/>
              <w:marTop w:val="0"/>
              <w:marBottom w:val="240"/>
              <w:divBdr>
                <w:top w:val="none" w:sz="0" w:space="0" w:color="auto"/>
                <w:left w:val="none" w:sz="0" w:space="0" w:color="auto"/>
                <w:bottom w:val="none" w:sz="0" w:space="0" w:color="auto"/>
                <w:right w:val="none" w:sz="0" w:space="0" w:color="auto"/>
              </w:divBdr>
            </w:div>
            <w:div w:id="619918031">
              <w:marLeft w:val="0"/>
              <w:marRight w:val="0"/>
              <w:marTop w:val="0"/>
              <w:marBottom w:val="240"/>
              <w:divBdr>
                <w:top w:val="none" w:sz="0" w:space="0" w:color="auto"/>
                <w:left w:val="none" w:sz="0" w:space="0" w:color="auto"/>
                <w:bottom w:val="none" w:sz="0" w:space="0" w:color="auto"/>
                <w:right w:val="none" w:sz="0" w:space="0" w:color="auto"/>
              </w:divBdr>
            </w:div>
            <w:div w:id="742675760">
              <w:marLeft w:val="0"/>
              <w:marRight w:val="0"/>
              <w:marTop w:val="0"/>
              <w:marBottom w:val="240"/>
              <w:divBdr>
                <w:top w:val="none" w:sz="0" w:space="0" w:color="auto"/>
                <w:left w:val="none" w:sz="0" w:space="0" w:color="auto"/>
                <w:bottom w:val="none" w:sz="0" w:space="0" w:color="auto"/>
                <w:right w:val="none" w:sz="0" w:space="0" w:color="auto"/>
              </w:divBdr>
            </w:div>
            <w:div w:id="858468532">
              <w:marLeft w:val="0"/>
              <w:marRight w:val="0"/>
              <w:marTop w:val="0"/>
              <w:marBottom w:val="240"/>
              <w:divBdr>
                <w:top w:val="none" w:sz="0" w:space="0" w:color="auto"/>
                <w:left w:val="none" w:sz="0" w:space="0" w:color="auto"/>
                <w:bottom w:val="none" w:sz="0" w:space="0" w:color="auto"/>
                <w:right w:val="none" w:sz="0" w:space="0" w:color="auto"/>
              </w:divBdr>
            </w:div>
            <w:div w:id="982544638">
              <w:marLeft w:val="0"/>
              <w:marRight w:val="0"/>
              <w:marTop w:val="0"/>
              <w:marBottom w:val="240"/>
              <w:divBdr>
                <w:top w:val="none" w:sz="0" w:space="0" w:color="auto"/>
                <w:left w:val="none" w:sz="0" w:space="0" w:color="auto"/>
                <w:bottom w:val="none" w:sz="0" w:space="0" w:color="auto"/>
                <w:right w:val="none" w:sz="0" w:space="0" w:color="auto"/>
              </w:divBdr>
            </w:div>
            <w:div w:id="1129741286">
              <w:marLeft w:val="0"/>
              <w:marRight w:val="0"/>
              <w:marTop w:val="0"/>
              <w:marBottom w:val="240"/>
              <w:divBdr>
                <w:top w:val="none" w:sz="0" w:space="0" w:color="auto"/>
                <w:left w:val="none" w:sz="0" w:space="0" w:color="auto"/>
                <w:bottom w:val="none" w:sz="0" w:space="0" w:color="auto"/>
                <w:right w:val="none" w:sz="0" w:space="0" w:color="auto"/>
              </w:divBdr>
            </w:div>
            <w:div w:id="1269696030">
              <w:marLeft w:val="0"/>
              <w:marRight w:val="0"/>
              <w:marTop w:val="0"/>
              <w:marBottom w:val="240"/>
              <w:divBdr>
                <w:top w:val="none" w:sz="0" w:space="0" w:color="auto"/>
                <w:left w:val="none" w:sz="0" w:space="0" w:color="auto"/>
                <w:bottom w:val="none" w:sz="0" w:space="0" w:color="auto"/>
                <w:right w:val="none" w:sz="0" w:space="0" w:color="auto"/>
              </w:divBdr>
            </w:div>
            <w:div w:id="1636719159">
              <w:marLeft w:val="0"/>
              <w:marRight w:val="0"/>
              <w:marTop w:val="0"/>
              <w:marBottom w:val="240"/>
              <w:divBdr>
                <w:top w:val="none" w:sz="0" w:space="0" w:color="auto"/>
                <w:left w:val="none" w:sz="0" w:space="0" w:color="auto"/>
                <w:bottom w:val="none" w:sz="0" w:space="0" w:color="auto"/>
                <w:right w:val="none" w:sz="0" w:space="0" w:color="auto"/>
              </w:divBdr>
            </w:div>
            <w:div w:id="1732269933">
              <w:marLeft w:val="0"/>
              <w:marRight w:val="0"/>
              <w:marTop w:val="0"/>
              <w:marBottom w:val="240"/>
              <w:divBdr>
                <w:top w:val="none" w:sz="0" w:space="0" w:color="auto"/>
                <w:left w:val="none" w:sz="0" w:space="0" w:color="auto"/>
                <w:bottom w:val="none" w:sz="0" w:space="0" w:color="auto"/>
                <w:right w:val="none" w:sz="0" w:space="0" w:color="auto"/>
              </w:divBdr>
            </w:div>
            <w:div w:id="1765569479">
              <w:marLeft w:val="0"/>
              <w:marRight w:val="0"/>
              <w:marTop w:val="0"/>
              <w:marBottom w:val="240"/>
              <w:divBdr>
                <w:top w:val="none" w:sz="0" w:space="0" w:color="auto"/>
                <w:left w:val="none" w:sz="0" w:space="0" w:color="auto"/>
                <w:bottom w:val="none" w:sz="0" w:space="0" w:color="auto"/>
                <w:right w:val="none" w:sz="0" w:space="0" w:color="auto"/>
              </w:divBdr>
            </w:div>
            <w:div w:id="1819684380">
              <w:marLeft w:val="0"/>
              <w:marRight w:val="0"/>
              <w:marTop w:val="0"/>
              <w:marBottom w:val="0"/>
              <w:divBdr>
                <w:top w:val="none" w:sz="0" w:space="0" w:color="auto"/>
                <w:left w:val="none" w:sz="0" w:space="0" w:color="auto"/>
                <w:bottom w:val="none" w:sz="0" w:space="0" w:color="auto"/>
                <w:right w:val="none" w:sz="0" w:space="0" w:color="auto"/>
              </w:divBdr>
            </w:div>
            <w:div w:id="18973481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lanfoleynibrt/SingleCellmtDN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anfoleynibrt/SingleCellmtDNA"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A070BFC-0610-4A47-BACD-5F62617A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13</TotalTime>
  <Pages>19</Pages>
  <Words>7035</Words>
  <Characters>40104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Alan</cp:lastModifiedBy>
  <cp:revision>7</cp:revision>
  <cp:lastPrinted>2023-09-30T11:10:00Z</cp:lastPrinted>
  <dcterms:created xsi:type="dcterms:W3CDTF">2023-09-30T10:58:00Z</dcterms:created>
  <dcterms:modified xsi:type="dcterms:W3CDTF">2023-09-30T11:11:00Z</dcterms:modified>
</cp:coreProperties>
</file>