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7.png" ContentType="image/png"/>
  <Override PartName="/word/media/rId20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№5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Сунь Маосин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Освоение создания таблиц в системе вёрстки</w:t>
      </w:r>
      <w:r>
        <w:t xml:space="preserve"> </w:t>
      </w:r>
      <w:r>
        <w:rPr>
          <w:b/>
          <w:bCs/>
        </w:rPr>
        <w:t xml:space="preserve">LaTeX</w:t>
      </w:r>
      <w:r>
        <w:t xml:space="preserve">, применение различных типов выравнивания столбцов, использование стилей колонок и продвинутого форматирования таблиц.</w:t>
      </w:r>
    </w:p>
    <w:bookmarkEnd w:id="9"/>
    <w:bookmarkStart w:id="45" w:name="ход-выполнения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Ход выполнения</w:t>
      </w:r>
    </w:p>
    <w:bookmarkStart w:id="16" w:name="создание-простых-таблиц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Создание простых таблиц</w:t>
      </w:r>
    </w:p>
    <w:p>
      <w:pPr>
        <w:pStyle w:val="FirstParagraph"/>
      </w:pPr>
      <w:r>
        <w:t xml:space="preserve">Эксперимент начался с создания простейшей таблицы через окружение</w:t>
      </w:r>
      <w:r>
        <w:t xml:space="preserve"> </w:t>
      </w:r>
      <w:r>
        <w:rPr>
          <w:rStyle w:val="VerbatimChar"/>
        </w:rPr>
        <w:t xml:space="preserve">tabular</w:t>
      </w:r>
      <w:r>
        <w:t xml:space="preserve">. Установлено, что структура таблицы жестко задается в преамбуле, где количество и тип столбцов определяют логику дальнейшего заполнения данными.</w:t>
      </w:r>
    </w:p>
    <w:p>
      <w:pPr>
        <w:pStyle w:val="CaptionedFigure"/>
      </w:pPr>
      <w:r>
        <w:drawing>
          <wp:inline>
            <wp:extent cx="5334000" cy="3316356"/>
            <wp:effectExtent b="0" l="0" r="0" t="0"/>
            <wp:docPr descr="Компиляция простых таблиц" title="" id="11" name="Picture"/>
            <a:graphic>
              <a:graphicData uri="http://schemas.openxmlformats.org/drawingml/2006/picture">
                <pic:pic>
                  <pic:nvPicPr>
                    <pic:cNvPr descr="image/0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6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простых таблиц</w:t>
      </w:r>
    </w:p>
    <w:p>
      <w:pPr>
        <w:pStyle w:val="CaptionedFigure"/>
      </w:pPr>
      <w:r>
        <w:drawing>
          <wp:inline>
            <wp:extent cx="4851132" cy="1491915"/>
            <wp:effectExtent b="0" l="0" r="0" t="0"/>
            <wp:docPr descr="Результат первой компиляции" title="" id="14" name="Picture"/>
            <a:graphic>
              <a:graphicData uri="http://schemas.openxmlformats.org/drawingml/2006/picture">
                <pic:pic>
                  <pic:nvPicPr>
                    <pic:cNvPr descr="image/0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132" cy="149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Результат первой компиляции</w:t>
      </w:r>
    </w:p>
    <w:bookmarkEnd w:id="16"/>
    <w:bookmarkStart w:id="23" w:name="сравнительный-анализ-выравнивания-l-c-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Сравнительный анализ выравнивания (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)</w:t>
      </w:r>
    </w:p>
    <w:p>
      <w:pPr>
        <w:numPr>
          <w:ilvl w:val="0"/>
          <w:numId w:val="1001"/>
        </w:numPr>
      </w:pPr>
      <w:r>
        <w:t xml:space="preserve">l (left): Текст прижимается к левой границе, оставляя свободное пространство справа. Это стандарт для текстовых данных.</w:t>
      </w:r>
    </w:p>
    <w:p>
      <w:pPr>
        <w:numPr>
          <w:ilvl w:val="0"/>
          <w:numId w:val="1001"/>
        </w:numPr>
      </w:pPr>
      <w:r>
        <w:t xml:space="preserve">c (center): Текст располагается ровно посередине ячейки. Подходит для заголовков или числовых данных.</w:t>
      </w:r>
    </w:p>
    <w:p>
      <w:pPr>
        <w:numPr>
          <w:ilvl w:val="0"/>
          <w:numId w:val="1001"/>
        </w:numPr>
      </w:pPr>
      <w:r>
        <w:t xml:space="preserve">r (right): Текст прижимается к правой границе. Часто используется для выравнивания разрядов в финансовых таблицах.</w:t>
      </w:r>
      <w:r>
        <w:t xml:space="preserve"> </w:t>
      </w:r>
      <w:r>
        <w:t xml:space="preserve">Использование</w:t>
      </w:r>
      <w:r>
        <w:t xml:space="preserve"> </w:t>
      </w:r>
      <w:r>
        <w:rPr>
          <w:rStyle w:val="VerbatimChar"/>
        </w:rPr>
        <w:t xml:space="preserve">\hspace</w:t>
      </w:r>
      <w:r>
        <w:t xml:space="preserve"> </w:t>
      </w:r>
      <w:r>
        <w:t xml:space="preserve">позволило наглядно увидеть, как LaTeX распределяет пустое пространство внутри ячейки в зависимости от выбранного флага.</w:t>
      </w:r>
    </w:p>
    <w:p>
      <w:pPr>
        <w:pStyle w:val="CaptionedFigure"/>
      </w:pPr>
      <w:r>
        <w:drawing>
          <wp:inline>
            <wp:extent cx="5334000" cy="6410700"/>
            <wp:effectExtent b="0" l="0" r="0" t="0"/>
            <wp:docPr descr="Сравнительный анализ выравнивания" title="" id="18" name="Picture"/>
            <a:graphic>
              <a:graphicData uri="http://schemas.openxmlformats.org/drawingml/2006/picture">
                <pic:pic>
                  <pic:nvPicPr>
                    <pic:cNvPr descr="image/0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Сравнительный анализ выравнивания</w:t>
      </w:r>
    </w:p>
    <w:p>
      <w:pPr>
        <w:pStyle w:val="CaptionedFigure"/>
      </w:pPr>
      <w:r>
        <w:drawing>
          <wp:inline>
            <wp:extent cx="5334000" cy="2430378"/>
            <wp:effectExtent b="0" l="0" r="0" t="0"/>
            <wp:docPr descr="Сравнительный анализ выравнивания" title="" id="21" name="Picture"/>
            <a:graphic>
              <a:graphicData uri="http://schemas.openxmlformats.org/drawingml/2006/picture">
                <pic:pic>
                  <pic:nvPicPr>
                    <pic:cNvPr descr="image/0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0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Сравнительный анализ выравнивания</w:t>
      </w:r>
    </w:p>
    <w:bookmarkEnd w:id="23"/>
    <w:bookmarkStart w:id="30" w:name="недостаток-элементов-в-строке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Недостаток элементов в строке:</w:t>
      </w:r>
    </w:p>
    <w:p>
      <w:pPr>
        <w:pStyle w:val="FirstParagraph"/>
      </w:pPr>
      <w:r>
        <w:t xml:space="preserve">При заполнении строки меньшим количеством данных (пропуск символа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), чем объявлено в преамбуле, система не выдает ошибку. Вместо этого в правой части таблицы формируются пустые ячейки, что позволяет создавать разреженные структуры данных.</w:t>
      </w:r>
    </w:p>
    <w:p>
      <w:pPr>
        <w:pStyle w:val="CaptionedFigure"/>
      </w:pPr>
      <w:r>
        <w:drawing>
          <wp:inline>
            <wp:extent cx="5334000" cy="1019885"/>
            <wp:effectExtent b="0" l="0" r="0" t="0"/>
            <wp:docPr descr="недостаток элементов в строке" title="" id="25" name="Picture"/>
            <a:graphic>
              <a:graphicData uri="http://schemas.openxmlformats.org/drawingml/2006/picture">
                <pic:pic>
                  <pic:nvPicPr>
                    <pic:cNvPr descr="image/0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9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недостаток элементов в строке</w:t>
      </w:r>
    </w:p>
    <w:p>
      <w:pPr>
        <w:pStyle w:val="CaptionedFigure"/>
      </w:pPr>
      <w:r>
        <w:drawing>
          <wp:inline>
            <wp:extent cx="5334000" cy="1164980"/>
            <wp:effectExtent b="0" l="0" r="0" t="0"/>
            <wp:docPr descr="недостаток элементов в строке:" title="" id="28" name="Picture"/>
            <a:graphic>
              <a:graphicData uri="http://schemas.openxmlformats.org/drawingml/2006/picture">
                <pic:pic>
                  <pic:nvPicPr>
                    <pic:cNvPr descr="image/06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недостаток элементов в строке:</w:t>
      </w:r>
    </w:p>
    <w:bookmarkEnd w:id="30"/>
    <w:bookmarkStart w:id="37" w:name="избыток-элементов-и-ошибки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Избыток элементов и ошибки:</w:t>
      </w:r>
    </w:p>
    <w:p>
      <w:pPr>
        <w:pStyle w:val="FirstParagraph"/>
      </w:pPr>
      <w:r>
        <w:t xml:space="preserve">На основе эксперимента Было выявлено, что добавление лишних разделителей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нарушает структуру окружения и приводит к критической ошибке компиляции. Это подтверждает необходимость строгого соответствия данных объявленной конфигурации столбцов.</w:t>
      </w:r>
    </w:p>
    <w:p>
      <w:pPr>
        <w:pStyle w:val="CaptionedFigure"/>
      </w:pPr>
      <w:r>
        <w:drawing>
          <wp:inline>
            <wp:extent cx="5334000" cy="300789"/>
            <wp:effectExtent b="0" l="0" r="0" t="0"/>
            <wp:docPr descr="Избыток элементов и ошибки" title="" id="32" name="Picture"/>
            <a:graphic>
              <a:graphicData uri="http://schemas.openxmlformats.org/drawingml/2006/picture">
                <pic:pic>
                  <pic:nvPicPr>
                    <pic:cNvPr descr="image/07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Избыток элементов и ошибки</w:t>
      </w:r>
    </w:p>
    <w:p>
      <w:pPr>
        <w:pStyle w:val="CaptionedFigure"/>
      </w:pPr>
      <w:r>
        <w:drawing>
          <wp:inline>
            <wp:extent cx="5334000" cy="1175092"/>
            <wp:effectExtent b="0" l="0" r="0" t="0"/>
            <wp:docPr descr="Избыток элементов и ошибки" title="" id="35" name="Picture"/>
            <a:graphic>
              <a:graphicData uri="http://schemas.openxmlformats.org/drawingml/2006/picture">
                <pic:pic>
                  <pic:nvPicPr>
                    <pic:cNvPr descr="image/0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Избыток элементов и ошибки</w:t>
      </w:r>
    </w:p>
    <w:bookmarkEnd w:id="37"/>
    <w:bookmarkStart w:id="44" w:name="горизонтальное-объединение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Горизонтальное объединение</w:t>
      </w:r>
    </w:p>
    <w:p>
      <w:pPr>
        <w:pStyle w:val="FirstParagraph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 </w:t>
      </w:r>
      <w:r>
        <w:t xml:space="preserve">успешно реализовано объединение нескольких столбцов. Анализ показал, что данная команда не только визуально объединяет ячейки, но и позволяет переопределить стиль выравнивания (например, сменить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c</w:t>
      </w:r>
      <w:r>
        <w:t xml:space="preserve">) для конкретной объединенной области.</w:t>
      </w:r>
    </w:p>
    <w:p>
      <w:pPr>
        <w:pStyle w:val="CaptionedFigure"/>
      </w:pPr>
      <w:r>
        <w:drawing>
          <wp:inline>
            <wp:extent cx="5334000" cy="2233494"/>
            <wp:effectExtent b="0" l="0" r="0" t="0"/>
            <wp:docPr descr="Горизонтальное объединение" title="" id="39" name="Picture"/>
            <a:graphic>
              <a:graphicData uri="http://schemas.openxmlformats.org/drawingml/2006/picture">
                <pic:pic>
                  <pic:nvPicPr>
                    <pic:cNvPr descr="image/0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3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Горизонтальное объединение</w:t>
      </w:r>
    </w:p>
    <w:p>
      <w:pPr>
        <w:pStyle w:val="CaptionedFigure"/>
      </w:pPr>
      <w:r>
        <w:drawing>
          <wp:inline>
            <wp:extent cx="5334000" cy="1554178"/>
            <wp:effectExtent b="0" l="0" r="0" t="0"/>
            <wp:docPr descr="Горизонтальное объединение" title="" id="42" name="Picture"/>
            <a:graphic>
              <a:graphicData uri="http://schemas.openxmlformats.org/drawingml/2006/picture">
                <pic:pic>
                  <pic:nvPicPr>
                    <pic:cNvPr descr="image/1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4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Горизонтальное объединение</w:t>
      </w:r>
    </w:p>
    <w:bookmarkEnd w:id="44"/>
    <w:bookmarkEnd w:id="45"/>
    <w:bookmarkStart w:id="46" w:name="вывод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</w:t>
      </w:r>
    </w:p>
    <w:p>
      <w:pPr>
        <w:pStyle w:val="FirstParagraph"/>
      </w:pPr>
      <w:r>
        <w:t xml:space="preserve">Работа с таблицами в LaTeX требует четкого предварительного планирования структуры. Использование профессиональных инструментов, таких как</w:t>
      </w:r>
      <w:r>
        <w:t xml:space="preserve"> </w:t>
      </w:r>
      <w:r>
        <w:rPr>
          <w:rStyle w:val="VerbatimChar"/>
        </w:rPr>
        <w:t xml:space="preserve">booktabs</w:t>
      </w:r>
      <w:r>
        <w:t xml:space="preserve">, значительно улучшает эстетический вид таблиц, делая их пригодными для научных публикаций.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Сунь Маосин</dc:creator>
  <dc:language>ru-RU</dc:language>
  <cp:keywords/>
  <dcterms:created xsi:type="dcterms:W3CDTF">2026-03-17T16:24:18Z</dcterms:created>
  <dcterms:modified xsi:type="dcterms:W3CDTF">2026-03-17T16:24:18Z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documentclass">
    <vt:lpwstr>scrreprt</vt:lpwstr>
  </property>
  <property fmtid="{D5CDD505-2E9C-101B-9397-08002B2CF9AE}" pid="8" name="figureTitle">
    <vt:lpwstr>Рис.</vt:lpwstr>
  </property>
  <property fmtid="{D5CDD505-2E9C-101B-9397-08002B2CF9AE}" pid="9" name="fontsize">
    <vt:lpwstr>12pt</vt:lpwstr>
  </property>
  <property fmtid="{D5CDD505-2E9C-101B-9397-08002B2CF9AE}" pid="10" name="header-includes">
    <vt:lpwstr/>
  </property>
  <property fmtid="{D5CDD505-2E9C-101B-9397-08002B2CF9AE}" pid="11" name="indent">
    <vt:lpwstr>True</vt:lpwstr>
  </property>
  <property fmtid="{D5CDD505-2E9C-101B-9397-08002B2CF9AE}" pid="12" name="linestretch">
    <vt:lpwstr>1.5</vt:lpwstr>
  </property>
  <property fmtid="{D5CDD505-2E9C-101B-9397-08002B2CF9AE}" pid="13" name="listingTitle">
    <vt:lpwstr>Листинг</vt:lpwstr>
  </property>
  <property fmtid="{D5CDD505-2E9C-101B-9397-08002B2CF9AE}" pid="14" name="lof">
    <vt:lpwstr>True</vt:lpwstr>
  </property>
  <property fmtid="{D5CDD505-2E9C-101B-9397-08002B2CF9AE}" pid="15" name="lofTitle">
    <vt:lpwstr>Список иллюстраций</vt:lpwstr>
  </property>
  <property fmtid="{D5CDD505-2E9C-101B-9397-08002B2CF9AE}" pid="16" name="lolTitle">
    <vt:lpwstr>Листинги</vt:lpwstr>
  </property>
  <property fmtid="{D5CDD505-2E9C-101B-9397-08002B2CF9AE}" pid="17" name="lot">
    <vt:lpwstr>True</vt:lpwstr>
  </property>
  <property fmtid="{D5CDD505-2E9C-101B-9397-08002B2CF9AE}" pid="18" name="lotTitle">
    <vt:lpwstr>Список таблиц</vt:lpwstr>
  </property>
  <property fmtid="{D5CDD505-2E9C-101B-9397-08002B2CF9AE}" pid="19" name="mainfont">
    <vt:lpwstr>Times New Roman</vt:lpwstr>
  </property>
  <property fmtid="{D5CDD505-2E9C-101B-9397-08002B2CF9AE}" pid="20" name="mainfontoptions">
    <vt:lpwstr>Ligatures=Common,Ligatures=TeX,Scale=0.94</vt:lpwstr>
  </property>
  <property fmtid="{D5CDD505-2E9C-101B-9397-08002B2CF9AE}" pid="21" name="mathfont">
    <vt:lpwstr>Times New Roman</vt:lpwstr>
  </property>
  <property fmtid="{D5CDD505-2E9C-101B-9397-08002B2CF9AE}" pid="22" name="mathfontoptions">
    <vt:lpwstr/>
  </property>
  <property fmtid="{D5CDD505-2E9C-101B-9397-08002B2CF9AE}" pid="23" name="monofont">
    <vt:lpwstr>Courier New</vt:lpwstr>
  </property>
  <property fmtid="{D5CDD505-2E9C-101B-9397-08002B2CF9AE}" pid="24" name="monofontoptions">
    <vt:lpwstr>Scale=MatchLowercase,Scale=0.94,FakeStretch=0.9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Times New Roman</vt:lpwstr>
  </property>
  <property fmtid="{D5CDD505-2E9C-101B-9397-08002B2CF9AE}" pid="29" name="romanfontoptions">
    <vt:lpwstr>Ligatures=Common,Ligatures=TeX,Scale=0.94</vt:lpwstr>
  </property>
  <property fmtid="{D5CDD505-2E9C-101B-9397-08002B2CF9AE}" pid="30" name="sansfont">
    <vt:lpwstr>Arial</vt:lpwstr>
  </property>
  <property fmtid="{D5CDD505-2E9C-101B-9397-08002B2CF9AE}" pid="31" name="sansfontoptions">
    <vt:lpwstr>Ligatures=Common,Ligatures=TeX,Scale=MatchLowercase,Scale=0.94</vt:lpwstr>
  </property>
  <property fmtid="{D5CDD505-2E9C-101B-9397-08002B2CF9AE}" pid="32" name="subtitle">
    <vt:lpwstr>Computer Skills for Scientific Writing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