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18.png" ContentType="image/png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Computer Skills for Scientific Writing</w:t>
      </w:r>
    </w:p>
    <w:p>
      <w:pPr>
        <w:pStyle w:val="Author"/>
      </w:pPr>
      <w:r>
        <w:t xml:space="preserve">Сунь Маосин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возможностей LaTeX по созданию и форматированию таблиц.</w:t>
      </w:r>
    </w:p>
    <w:bookmarkEnd w:id="9"/>
    <w:bookmarkStart w:id="51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13" w:name="компиляция-исходного-файл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Компиляция исходного файла</w:t>
      </w:r>
    </w:p>
    <w:p>
      <w:pPr>
        <w:pStyle w:val="FirstParagraph"/>
      </w:pPr>
      <w:r>
        <w:t xml:space="preserve">На первом этапе был открыт исходный файл</w:t>
      </w:r>
      <w:r>
        <w:t xml:space="preserve"> </w:t>
      </w:r>
      <w:r>
        <w:rPr>
          <w:rStyle w:val="VerbatimChar"/>
        </w:rPr>
        <w:t xml:space="preserve">tables.tex</w:t>
      </w:r>
      <w:r>
        <w:t xml:space="preserve"> </w:t>
      </w:r>
      <w:r>
        <w:t xml:space="preserve">и выполнена его компиляция командой</w:t>
      </w:r>
      <w:r>
        <w:t xml:space="preserve"> </w:t>
      </w:r>
      <w:r>
        <w:rPr>
          <w:rStyle w:val="VerbatimChar"/>
        </w:rPr>
        <w:t xml:space="preserve">pdflatex</w:t>
      </w:r>
      <w:r>
        <w:t xml:space="preserve">. В процессе компиляции использовался дистрибутив</w:t>
      </w:r>
      <w:r>
        <w:t xml:space="preserve"> </w:t>
      </w:r>
      <w:r>
        <w:rPr>
          <w:b/>
          <w:bCs/>
        </w:rPr>
        <w:t xml:space="preserve">TeX Live 2026</w:t>
      </w:r>
      <w:r>
        <w:t xml:space="preserve"> </w:t>
      </w:r>
      <w:r>
        <w:t xml:space="preserve">и пакеты для работы с таблицами.</w:t>
      </w:r>
    </w:p>
    <w:p>
      <w:pPr>
        <w:pStyle w:val="CaptionedFigure"/>
      </w:pPr>
      <w:r>
        <w:drawing>
          <wp:inline>
            <wp:extent cx="5334000" cy="1750476"/>
            <wp:effectExtent b="0" l="0" r="0" t="0"/>
            <wp:docPr descr="Компиляция tables.tex" title="" id="11" name="Picture"/>
            <a:graphic>
              <a:graphicData uri="http://schemas.openxmlformats.org/drawingml/2006/picture">
                <pic:pic>
                  <pic:nvPicPr>
                    <pic:cNvPr descr="image/0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04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Компиляция tables.tex</w:t>
      </w:r>
    </w:p>
    <w:bookmarkEnd w:id="13"/>
    <w:bookmarkStart w:id="50" w:name="анализ-сгенерированного-документа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Анализ сгенерированного документа</w:t>
      </w:r>
    </w:p>
    <w:p>
      <w:pPr>
        <w:pStyle w:val="FirstParagraph"/>
      </w:pPr>
      <w:r>
        <w:t xml:space="preserve">Сформированный PDF-файл содержит несколько страниц, демонстрирующих различные способы создания и форматирования таблиц в LaTeX.</w:t>
      </w:r>
    </w:p>
    <w:bookmarkStart w:id="17" w:name="титульный-лист-и-простые-таблицы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Титульный лист и простые таблицы</w:t>
      </w:r>
    </w:p>
    <w:p>
      <w:pPr>
        <w:pStyle w:val="CaptionedFigure"/>
      </w:pPr>
      <w:r>
        <w:drawing>
          <wp:inline>
            <wp:extent cx="5334000" cy="7735563"/>
            <wp:effectExtent b="0" l="0" r="0" t="0"/>
            <wp:docPr descr="Титульный лист и простые таблицы" title="" id="15" name="Picture"/>
            <a:graphic>
              <a:graphicData uri="http://schemas.openxmlformats.org/drawingml/2006/picture">
                <pic:pic>
                  <pic:nvPicPr>
                    <pic:cNvPr descr="image/0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35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Титульный лист и простые таблицы</w:t>
      </w:r>
    </w:p>
    <w:p>
      <w:pPr>
        <w:pStyle w:val="BodyText"/>
      </w:pPr>
      <w:r>
        <w:t xml:space="preserve">На первой странице представлены титульный лист и простые таблицы с использованием окружения</w:t>
      </w:r>
      <w:r>
        <w:t xml:space="preserve"> </w:t>
      </w:r>
      <w:r>
        <w:rPr>
          <w:rStyle w:val="VerbatimChar"/>
        </w:rPr>
        <w:t xml:space="preserve">tabular</w:t>
      </w:r>
      <w:r>
        <w:t xml:space="preserve">.</w:t>
      </w:r>
    </w:p>
    <w:bookmarkEnd w:id="17"/>
    <w:bookmarkStart w:id="21" w:name="таблицы-с-пакетом-booktabs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Таблицы с пакетом booktabs</w:t>
      </w:r>
    </w:p>
    <w:p>
      <w:pPr>
        <w:pStyle w:val="CaptionedFigure"/>
      </w:pPr>
      <w:r>
        <w:drawing>
          <wp:inline>
            <wp:extent cx="5334000" cy="6696700"/>
            <wp:effectExtent b="0" l="0" r="0" t="0"/>
            <wp:docPr descr="Таблицы с booktabs" title="" id="19" name="Picture"/>
            <a:graphic>
              <a:graphicData uri="http://schemas.openxmlformats.org/drawingml/2006/picture">
                <pic:pic>
                  <pic:nvPicPr>
                    <pic:cNvPr descr="image/0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9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Таблицы с booktabs</w:t>
      </w:r>
    </w:p>
    <w:p>
      <w:pPr>
        <w:pStyle w:val="BodyText"/>
      </w:pPr>
      <w:r>
        <w:t xml:space="preserve">Пакет</w:t>
      </w:r>
      <w:r>
        <w:t xml:space="preserve"> </w:t>
      </w:r>
      <w:r>
        <w:rPr>
          <w:rStyle w:val="VerbatimChar"/>
        </w:rPr>
        <w:t xml:space="preserve">booktabs</w:t>
      </w:r>
      <w:r>
        <w:t xml:space="preserve"> </w:t>
      </w:r>
      <w:r>
        <w:t xml:space="preserve">создаёт профессионально выглядящие таблицы с помощью команд</w:t>
      </w:r>
      <w:r>
        <w:t xml:space="preserve"> </w:t>
      </w:r>
      <w:r>
        <w:rPr>
          <w:rStyle w:val="VerbatimChar"/>
        </w:rPr>
        <w:t xml:space="preserve">toprule</w:t>
      </w:r>
      <w:r>
        <w:t xml:space="preserve">,</w:t>
      </w:r>
      <w:r>
        <w:t xml:space="preserve"> </w:t>
      </w:r>
      <w:r>
        <w:rPr>
          <w:rStyle w:val="VerbatimChar"/>
        </w:rPr>
        <w:t xml:space="preserve">midrule</w:t>
      </w:r>
      <w:r>
        <w:t xml:space="preserve">,</w:t>
      </w:r>
      <w:r>
        <w:t xml:space="preserve"> </w:t>
      </w:r>
      <w:r>
        <w:rPr>
          <w:rStyle w:val="VerbatimChar"/>
        </w:rPr>
        <w:t xml:space="preserve">bottomrule</w:t>
      </w:r>
      <w:r>
        <w:t xml:space="preserve"> </w:t>
      </w:r>
      <w:r>
        <w:t xml:space="preserve">и различных видов линий.</w:t>
      </w:r>
    </w:p>
    <w:bookmarkEnd w:id="21"/>
    <w:bookmarkStart w:id="25" w:name="объединение-ячеек"/>
    <w:p>
      <w:pPr>
        <w:pStyle w:val="Heading3"/>
      </w:pPr>
      <w:r>
        <w:rPr>
          <w:rStyle w:val="SectionNumber"/>
        </w:rPr>
        <w:t xml:space="preserve">2.2.3</w:t>
      </w:r>
      <w:r>
        <w:tab/>
      </w:r>
      <w:r>
        <w:t xml:space="preserve">Объединение ячеек</w:t>
      </w:r>
    </w:p>
    <w:p>
      <w:pPr>
        <w:pStyle w:val="CaptionedFigure"/>
      </w:pPr>
      <w:r>
        <w:drawing>
          <wp:inline>
            <wp:extent cx="5334000" cy="3059401"/>
            <wp:effectExtent b="0" l="0" r="0" t="0"/>
            <wp:docPr descr="Объединение ячеек" title="" id="23" name="Picture"/>
            <a:graphic>
              <a:graphicData uri="http://schemas.openxmlformats.org/drawingml/2006/picture">
                <pic:pic>
                  <pic:nvPicPr>
                    <pic:cNvPr descr="image/04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94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ячеек</w:t>
      </w:r>
    </w:p>
    <w:p>
      <w:pPr>
        <w:pStyle w:val="BodyText"/>
      </w:pPr>
      <w:r>
        <w:t xml:space="preserve">С помощью команд</w:t>
      </w:r>
      <w:r>
        <w:t xml:space="preserve"> </w:t>
      </w:r>
      <w:r>
        <w:rPr>
          <w:rStyle w:val="VerbatimChar"/>
        </w:rPr>
        <w:t xml:space="preserve">multicolumn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multirow</w:t>
      </w:r>
      <w:r>
        <w:t xml:space="preserve"> </w:t>
      </w:r>
      <w:r>
        <w:t xml:space="preserve">реализовано горизонтальное и вертикальное объединение ячеек.</w:t>
      </w:r>
    </w:p>
    <w:bookmarkEnd w:id="25"/>
    <w:bookmarkStart w:id="29" w:name="X0d94a51a456254119c6addc9500fbf4fc984357"/>
    <w:p>
      <w:pPr>
        <w:pStyle w:val="Heading3"/>
      </w:pPr>
      <w:r>
        <w:rPr>
          <w:rStyle w:val="SectionNumber"/>
        </w:rPr>
        <w:t xml:space="preserve">2.2.4</w:t>
      </w:r>
      <w:r>
        <w:tab/>
      </w:r>
      <w:r>
        <w:t xml:space="preserve">Комбинация объединений и фиксированная ширина</w:t>
      </w:r>
    </w:p>
    <w:p>
      <w:pPr>
        <w:pStyle w:val="CaptionedFigure"/>
      </w:pPr>
      <w:r>
        <w:drawing>
          <wp:inline>
            <wp:extent cx="5334000" cy="3777121"/>
            <wp:effectExtent b="0" l="0" r="0" t="0"/>
            <wp:docPr descr="Комбинация объединений и тип p" title="" id="27" name="Picture"/>
            <a:graphic>
              <a:graphicData uri="http://schemas.openxmlformats.org/drawingml/2006/picture">
                <pic:pic>
                  <pic:nvPicPr>
                    <pic:cNvPr descr="image/05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7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Комбинация объединений и тип p</w:t>
      </w:r>
    </w:p>
    <w:p>
      <w:pPr>
        <w:pStyle w:val="BodyText"/>
      </w:pPr>
      <w:r>
        <w:t xml:space="preserve">Комбинация горизонтального и вертикального объединения, а также столбцы с фиксированной шириной типа</w:t>
      </w:r>
      <w:r>
        <w:t xml:space="preserve"> </w:t>
      </w:r>
      <w:r>
        <w:rPr>
          <w:rStyle w:val="VerbatimChar"/>
        </w:rPr>
        <w:t xml:space="preserve">p</w:t>
      </w:r>
      <w:r>
        <w:t xml:space="preserve">.</w:t>
      </w:r>
    </w:p>
    <w:bookmarkEnd w:id="29"/>
    <w:bookmarkStart w:id="33" w:name="Xc18002d3978e9502ff6e300c67350e735c5aabc"/>
    <w:p>
      <w:pPr>
        <w:pStyle w:val="Heading3"/>
      </w:pPr>
      <w:r>
        <w:rPr>
          <w:rStyle w:val="SectionNumber"/>
        </w:rPr>
        <w:t xml:space="preserve">2.2.5</w:t>
      </w:r>
      <w:r>
        <w:tab/>
      </w:r>
      <w:r>
        <w:t xml:space="preserve">Вертикальное выравнивание и пользовательские типы</w:t>
      </w:r>
    </w:p>
    <w:p>
      <w:pPr>
        <w:pStyle w:val="CaptionedFigure"/>
      </w:pPr>
      <w:r>
        <w:drawing>
          <wp:inline>
            <wp:extent cx="5334000" cy="2481238"/>
            <wp:effectExtent b="0" l="0" r="0" t="0"/>
            <wp:docPr descr="Типы m, b и пользовательские типы" title="" id="31" name="Picture"/>
            <a:graphic>
              <a:graphicData uri="http://schemas.openxmlformats.org/drawingml/2006/picture">
                <pic:pic>
                  <pic:nvPicPr>
                    <pic:cNvPr descr="image/06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12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Типы m, b и пользовательские типы</w:t>
      </w:r>
    </w:p>
    <w:p>
      <w:pPr>
        <w:pStyle w:val="BodyText"/>
      </w:pPr>
      <w:r>
        <w:t xml:space="preserve">Столбцы с вертикальным выравниванием по центру (m) и по низу (b), а также пользовательские типы с изменением шрифта.</w:t>
      </w:r>
    </w:p>
    <w:bookmarkEnd w:id="33"/>
    <w:bookmarkStart w:id="37" w:name="числовое-выравнивание-с-siunitx"/>
    <w:p>
      <w:pPr>
        <w:pStyle w:val="Heading3"/>
      </w:pPr>
      <w:r>
        <w:rPr>
          <w:rStyle w:val="SectionNumber"/>
        </w:rPr>
        <w:t xml:space="preserve">2.2.6</w:t>
      </w:r>
      <w:r>
        <w:tab/>
      </w:r>
      <w:r>
        <w:t xml:space="preserve">Числовое выравнивание с siunitx</w:t>
      </w:r>
    </w:p>
    <w:p>
      <w:pPr>
        <w:pStyle w:val="CaptionedFigure"/>
      </w:pPr>
      <w:r>
        <w:drawing>
          <wp:inline>
            <wp:extent cx="5334000" cy="2760170"/>
            <wp:effectExtent b="0" l="0" r="0" t="0"/>
            <wp:docPr descr="Числовое выравнивание" title="" id="35" name="Picture"/>
            <a:graphic>
              <a:graphicData uri="http://schemas.openxmlformats.org/drawingml/2006/picture">
                <pic:pic>
                  <pic:nvPicPr>
                    <pic:cNvPr descr="image/07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Числовое выравнивание</w:t>
      </w:r>
    </w:p>
    <w:p>
      <w:pPr>
        <w:pStyle w:val="BodyText"/>
      </w:pPr>
      <w:r>
        <w:t xml:space="preserve">Пакет</w:t>
      </w:r>
      <w:r>
        <w:t xml:space="preserve"> </w:t>
      </w:r>
      <w:r>
        <w:rPr>
          <w:rStyle w:val="VerbatimChar"/>
        </w:rPr>
        <w:t xml:space="preserve">siunitx</w:t>
      </w:r>
      <w:r>
        <w:t xml:space="preserve"> </w:t>
      </w:r>
      <w:r>
        <w:t xml:space="preserve">выравнивает числа по десятичной точке с помощью типа столбца</w:t>
      </w:r>
      <w:r>
        <w:t xml:space="preserve"> </w:t>
      </w:r>
      <w:r>
        <w:rPr>
          <w:rStyle w:val="VerbatimChar"/>
        </w:rPr>
        <w:t xml:space="preserve">S</w:t>
      </w:r>
      <w:r>
        <w:t xml:space="preserve">.</w:t>
      </w:r>
    </w:p>
    <w:bookmarkEnd w:id="37"/>
    <w:bookmarkStart w:id="41" w:name="таблицы-с-фиксированной-шириной-tabularx"/>
    <w:p>
      <w:pPr>
        <w:pStyle w:val="Heading3"/>
      </w:pPr>
      <w:r>
        <w:rPr>
          <w:rStyle w:val="SectionNumber"/>
        </w:rPr>
        <w:t xml:space="preserve">2.2.7</w:t>
      </w:r>
      <w:r>
        <w:tab/>
      </w:r>
      <w:r>
        <w:t xml:space="preserve">Таблицы с фиксированной шириной (tabularx)</w:t>
      </w:r>
    </w:p>
    <w:p>
      <w:pPr>
        <w:pStyle w:val="CaptionedFigure"/>
      </w:pPr>
      <w:r>
        <w:drawing>
          <wp:inline>
            <wp:extent cx="5334000" cy="2537951"/>
            <wp:effectExtent b="0" l="0" r="0" t="0"/>
            <wp:docPr descr="Таблицы tabularx" title="" id="39" name="Picture"/>
            <a:graphic>
              <a:graphicData uri="http://schemas.openxmlformats.org/drawingml/2006/picture">
                <pic:pic>
                  <pic:nvPicPr>
                    <pic:cNvPr descr="image/08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7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Таблицы tabularx</w:t>
      </w:r>
    </w:p>
    <w:p>
      <w:pPr>
        <w:pStyle w:val="BodyText"/>
      </w:pPr>
      <w:r>
        <w:t xml:space="preserve">Пакет</w:t>
      </w:r>
      <w:r>
        <w:t xml:space="preserve"> </w:t>
      </w:r>
      <w:r>
        <w:rPr>
          <w:rStyle w:val="VerbatimChar"/>
        </w:rPr>
        <w:t xml:space="preserve">tabularx</w:t>
      </w:r>
      <w:r>
        <w:t xml:space="preserve"> </w:t>
      </w:r>
      <w:r>
        <w:t xml:space="preserve">позволяет задать общую ширину таблицы с гибкими столбцами типа</w:t>
      </w:r>
      <w:r>
        <w:t xml:space="preserve"> </w:t>
      </w:r>
      <w:r>
        <w:rPr>
          <w:rStyle w:val="VerbatimChar"/>
        </w:rPr>
        <w:t xml:space="preserve">X</w:t>
      </w:r>
      <w:r>
        <w:t xml:space="preserve">.</w:t>
      </w:r>
    </w:p>
    <w:bookmarkEnd w:id="41"/>
    <w:bookmarkStart w:id="45" w:name="многостраничные-таблицы-longtable"/>
    <w:p>
      <w:pPr>
        <w:pStyle w:val="Heading3"/>
      </w:pPr>
      <w:r>
        <w:rPr>
          <w:rStyle w:val="SectionNumber"/>
        </w:rPr>
        <w:t xml:space="preserve">2.2.8</w:t>
      </w:r>
      <w:r>
        <w:tab/>
      </w:r>
      <w:r>
        <w:t xml:space="preserve">Многостраничные таблицы (longtable)</w:t>
      </w:r>
    </w:p>
    <w:p>
      <w:pPr>
        <w:pStyle w:val="CaptionedFigure"/>
      </w:pPr>
      <w:r>
        <w:drawing>
          <wp:inline>
            <wp:extent cx="5334000" cy="5620774"/>
            <wp:effectExtent b="0" l="0" r="0" t="0"/>
            <wp:docPr descr="Многостраничные таблицы longtable" title="" id="43" name="Picture"/>
            <a:graphic>
              <a:graphicData uri="http://schemas.openxmlformats.org/drawingml/2006/picture">
                <pic:pic>
                  <pic:nvPicPr>
                    <pic:cNvPr descr="image/09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20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Многостраничные таблицы longtable</w:t>
      </w:r>
    </w:p>
    <w:p>
      <w:pPr>
        <w:pStyle w:val="BodyText"/>
      </w:pPr>
      <w:r>
        <w:t xml:space="preserve">Пакет</w:t>
      </w:r>
      <w:r>
        <w:t xml:space="preserve"> </w:t>
      </w:r>
      <w:r>
        <w:rPr>
          <w:rStyle w:val="VerbatimChar"/>
        </w:rPr>
        <w:t xml:space="preserve">longtable</w:t>
      </w:r>
      <w:r>
        <w:t xml:space="preserve"> </w:t>
      </w:r>
      <w:r>
        <w:t xml:space="preserve">используется для создания таблиц, занимающих несколько страниц.</w:t>
      </w:r>
    </w:p>
    <w:bookmarkEnd w:id="45"/>
    <w:bookmarkStart w:id="49" w:name="Xbbbfda638ee1483bd5835b09592633702d6962d"/>
    <w:p>
      <w:pPr>
        <w:pStyle w:val="Heading3"/>
      </w:pPr>
      <w:r>
        <w:rPr>
          <w:rStyle w:val="SectionNumber"/>
        </w:rPr>
        <w:t xml:space="preserve">2.2.9</w:t>
      </w:r>
      <w:r>
        <w:tab/>
      </w:r>
      <w:r>
        <w:t xml:space="preserve">Таблицы с примечаниями, цветные таблицы и вывод</w:t>
      </w:r>
    </w:p>
    <w:p>
      <w:pPr>
        <w:pStyle w:val="CaptionedFigure"/>
      </w:pPr>
      <w:r>
        <w:drawing>
          <wp:inline>
            <wp:extent cx="4248150" cy="9982200"/>
            <wp:effectExtent b="0" l="0" r="0" t="0"/>
            <wp:docPr descr="Таблицы с примечаниями, цветные таблицы и вывод" title="" id="47" name="Picture"/>
            <a:graphic>
              <a:graphicData uri="http://schemas.openxmlformats.org/drawingml/2006/picture">
                <pic:pic>
                  <pic:nvPicPr>
                    <pic:cNvPr descr="image/10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9982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Таблицы с примечаниями, цветные таблицы и вывод</w:t>
      </w:r>
    </w:p>
    <w:p>
      <w:pPr>
        <w:pStyle w:val="Compact"/>
        <w:numPr>
          <w:ilvl w:val="0"/>
          <w:numId w:val="1001"/>
        </w:numPr>
      </w:pPr>
      <w:r>
        <w:t xml:space="preserve">Пакет</w:t>
      </w:r>
      <w:r>
        <w:t xml:space="preserve"> </w:t>
      </w:r>
      <w:r>
        <w:rPr>
          <w:rStyle w:val="VerbatimChar"/>
        </w:rPr>
        <w:t xml:space="preserve">threeparttable</w:t>
      </w:r>
      <w:r>
        <w:t xml:space="preserve"> </w:t>
      </w:r>
      <w:r>
        <w:t xml:space="preserve">добавляет сноски к таблицам</w:t>
      </w:r>
    </w:p>
    <w:p>
      <w:pPr>
        <w:pStyle w:val="Compact"/>
        <w:numPr>
          <w:ilvl w:val="0"/>
          <w:numId w:val="1001"/>
        </w:numPr>
      </w:pPr>
      <w:r>
        <w:t xml:space="preserve">Пакет</w:t>
      </w:r>
      <w:r>
        <w:t xml:space="preserve"> </w:t>
      </w:r>
      <w:r>
        <w:rPr>
          <w:rStyle w:val="VerbatimChar"/>
        </w:rPr>
        <w:t xml:space="preserve">xcolor</w:t>
      </w:r>
      <w:r>
        <w:t xml:space="preserve"> </w:t>
      </w:r>
      <w:r>
        <w:t xml:space="preserve">создаёт чередование цветов строк</w:t>
      </w:r>
    </w:p>
    <w:p>
      <w:pPr>
        <w:pStyle w:val="Compact"/>
        <w:numPr>
          <w:ilvl w:val="0"/>
          <w:numId w:val="1001"/>
        </w:numPr>
      </w:pPr>
      <w:r>
        <w:t xml:space="preserve">Заключительный вывод со списком изученных возможностей</w:t>
      </w:r>
    </w:p>
    <w:bookmarkEnd w:id="49"/>
    <w:bookmarkEnd w:id="50"/>
    <w:bookmarkEnd w:id="51"/>
    <w:bookmarkStart w:id="52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были изучены:</w:t>
      </w:r>
    </w:p>
    <w:p>
      <w:pPr>
        <w:pStyle w:val="Compact"/>
        <w:numPr>
          <w:ilvl w:val="0"/>
          <w:numId w:val="1002"/>
        </w:numPr>
      </w:pPr>
      <w:r>
        <w:t xml:space="preserve">создание простых таблиц с помощью окружения</w:t>
      </w:r>
      <w:r>
        <w:t xml:space="preserve"> </w:t>
      </w:r>
      <w:r>
        <w:rPr>
          <w:rStyle w:val="VerbatimChar"/>
        </w:rPr>
        <w:t xml:space="preserve">tabular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использование пакетов</w:t>
      </w:r>
      <w:r>
        <w:t xml:space="preserve"> </w:t>
      </w:r>
      <w:r>
        <w:rPr>
          <w:rStyle w:val="VerbatimChar"/>
        </w:rPr>
        <w:t xml:space="preserve">array</w:t>
      </w:r>
      <w:r>
        <w:t xml:space="preserve">,</w:t>
      </w:r>
      <w:r>
        <w:t xml:space="preserve"> </w:t>
      </w:r>
      <w:r>
        <w:rPr>
          <w:rStyle w:val="VerbatimChar"/>
        </w:rPr>
        <w:t xml:space="preserve">booktabs</w:t>
      </w:r>
      <w:r>
        <w:t xml:space="preserve">,</w:t>
      </w:r>
      <w:r>
        <w:t xml:space="preserve"> </w:t>
      </w:r>
      <w:r>
        <w:rPr>
          <w:rStyle w:val="VerbatimChar"/>
        </w:rPr>
        <w:t xml:space="preserve">siunitx</w:t>
      </w:r>
      <w:r>
        <w:t xml:space="preserve">,</w:t>
      </w:r>
      <w:r>
        <w:t xml:space="preserve"> </w:t>
      </w:r>
      <w:r>
        <w:rPr>
          <w:rStyle w:val="VerbatimChar"/>
        </w:rPr>
        <w:t xml:space="preserve">tabularx</w:t>
      </w:r>
      <w:r>
        <w:t xml:space="preserve">,</w:t>
      </w:r>
      <w:r>
        <w:t xml:space="preserve"> </w:t>
      </w:r>
      <w:r>
        <w:rPr>
          <w:rStyle w:val="VerbatimChar"/>
        </w:rPr>
        <w:t xml:space="preserve">multirow</w:t>
      </w:r>
      <w:r>
        <w:t xml:space="preserve">,</w:t>
      </w:r>
      <w:r>
        <w:t xml:space="preserve"> </w:t>
      </w:r>
      <w:r>
        <w:rPr>
          <w:rStyle w:val="VerbatimChar"/>
        </w:rPr>
        <w:t xml:space="preserve">threeparttable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longtable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объединение ячеек по горизонтали и вертикали;</w:t>
      </w:r>
    </w:p>
    <w:p>
      <w:pPr>
        <w:pStyle w:val="Compact"/>
        <w:numPr>
          <w:ilvl w:val="0"/>
          <w:numId w:val="1002"/>
        </w:numPr>
      </w:pPr>
      <w:r>
        <w:t xml:space="preserve">столбцы с фиксированной шириной;</w:t>
      </w:r>
    </w:p>
    <w:p>
      <w:pPr>
        <w:pStyle w:val="Compact"/>
        <w:numPr>
          <w:ilvl w:val="0"/>
          <w:numId w:val="1002"/>
        </w:numPr>
      </w:pPr>
      <w:r>
        <w:t xml:space="preserve">числовое выравнивание по десятичной точке;</w:t>
      </w:r>
    </w:p>
    <w:p>
      <w:pPr>
        <w:pStyle w:val="Compact"/>
        <w:numPr>
          <w:ilvl w:val="0"/>
          <w:numId w:val="1002"/>
        </w:numPr>
      </w:pPr>
      <w:r>
        <w:t xml:space="preserve">таблицы с заданной общей шириной;</w:t>
      </w:r>
    </w:p>
    <w:p>
      <w:pPr>
        <w:pStyle w:val="Compact"/>
        <w:numPr>
          <w:ilvl w:val="0"/>
          <w:numId w:val="1002"/>
        </w:numPr>
      </w:pPr>
      <w:r>
        <w:t xml:space="preserve">многостраничные таблицы;</w:t>
      </w:r>
    </w:p>
    <w:p>
      <w:pPr>
        <w:pStyle w:val="Compact"/>
        <w:numPr>
          <w:ilvl w:val="0"/>
          <w:numId w:val="1002"/>
        </w:numPr>
      </w:pPr>
      <w:r>
        <w:t xml:space="preserve">таблицы с примечаниями;</w:t>
      </w:r>
    </w:p>
    <w:p>
      <w:pPr>
        <w:pStyle w:val="Compact"/>
        <w:numPr>
          <w:ilvl w:val="0"/>
          <w:numId w:val="1002"/>
        </w:numPr>
      </w:pPr>
      <w:r>
        <w:t xml:space="preserve">цветное оформление таблиц.</w:t>
      </w:r>
    </w:p>
    <w:p>
      <w:pPr>
        <w:pStyle w:val="FirstParagraph"/>
      </w:pPr>
      <w:r>
        <w:t xml:space="preserve">Все файлы были успешно скомпилированы, полученный PDF-документ полностью соответствует ожидаемым результатам.</w:t>
      </w:r>
    </w:p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Сунь Маосин</dc:creator>
  <dc:language>ru-RU</dc:language>
  <cp:keywords/>
  <dcterms:created xsi:type="dcterms:W3CDTF">2026-03-11T22:30:21Z</dcterms:created>
  <dcterms:modified xsi:type="dcterms:W3CDTF">2026-03-11T22:30:21Z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documentclass">
    <vt:lpwstr>scrreprt</vt:lpwstr>
  </property>
  <property fmtid="{D5CDD505-2E9C-101B-9397-08002B2CF9AE}" pid="8" name="figureTitle">
    <vt:lpwstr>Рис.</vt:lpwstr>
  </property>
  <property fmtid="{D5CDD505-2E9C-101B-9397-08002B2CF9AE}" pid="9" name="fontsize">
    <vt:lpwstr>12pt</vt:lpwstr>
  </property>
  <property fmtid="{D5CDD505-2E9C-101B-9397-08002B2CF9AE}" pid="10" name="header-includes">
    <vt:lpwstr/>
  </property>
  <property fmtid="{D5CDD505-2E9C-101B-9397-08002B2CF9AE}" pid="11" name="indent">
    <vt:lpwstr>True</vt:lpwstr>
  </property>
  <property fmtid="{D5CDD505-2E9C-101B-9397-08002B2CF9AE}" pid="12" name="linestretch">
    <vt:lpwstr>1.5</vt:lpwstr>
  </property>
  <property fmtid="{D5CDD505-2E9C-101B-9397-08002B2CF9AE}" pid="13" name="listingTitle">
    <vt:lpwstr>Листинг</vt:lpwstr>
  </property>
  <property fmtid="{D5CDD505-2E9C-101B-9397-08002B2CF9AE}" pid="14" name="lof">
    <vt:lpwstr>True</vt:lpwstr>
  </property>
  <property fmtid="{D5CDD505-2E9C-101B-9397-08002B2CF9AE}" pid="15" name="lofTitle">
    <vt:lpwstr>Список иллюстраций</vt:lpwstr>
  </property>
  <property fmtid="{D5CDD505-2E9C-101B-9397-08002B2CF9AE}" pid="16" name="lolTitle">
    <vt:lpwstr>Листинги</vt:lpwstr>
  </property>
  <property fmtid="{D5CDD505-2E9C-101B-9397-08002B2CF9AE}" pid="17" name="lot">
    <vt:lpwstr>True</vt:lpwstr>
  </property>
  <property fmtid="{D5CDD505-2E9C-101B-9397-08002B2CF9AE}" pid="18" name="lotTitle">
    <vt:lpwstr>Список таблиц</vt:lpwstr>
  </property>
  <property fmtid="{D5CDD505-2E9C-101B-9397-08002B2CF9AE}" pid="19" name="mainfont">
    <vt:lpwstr>Times New Roman</vt:lpwstr>
  </property>
  <property fmtid="{D5CDD505-2E9C-101B-9397-08002B2CF9AE}" pid="20" name="mainfontoptions">
    <vt:lpwstr>Ligatures=Common,Ligatures=TeX,Scale=0.94</vt:lpwstr>
  </property>
  <property fmtid="{D5CDD505-2E9C-101B-9397-08002B2CF9AE}" pid="21" name="mathfont">
    <vt:lpwstr>Times New Roman</vt:lpwstr>
  </property>
  <property fmtid="{D5CDD505-2E9C-101B-9397-08002B2CF9AE}" pid="22" name="mathfontoptions">
    <vt:lpwstr/>
  </property>
  <property fmtid="{D5CDD505-2E9C-101B-9397-08002B2CF9AE}" pid="23" name="monofont">
    <vt:lpwstr>Courier New</vt:lpwstr>
  </property>
  <property fmtid="{D5CDD505-2E9C-101B-9397-08002B2CF9AE}" pid="24" name="monofontoptions">
    <vt:lpwstr>Scale=MatchLowercase,Scale=0.94,FakeStretch=0.9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Times New Roman</vt:lpwstr>
  </property>
  <property fmtid="{D5CDD505-2E9C-101B-9397-08002B2CF9AE}" pid="29" name="romanfontoptions">
    <vt:lpwstr>Ligatures=Common,Ligatures=TeX,Scale=0.94</vt:lpwstr>
  </property>
  <property fmtid="{D5CDD505-2E9C-101B-9397-08002B2CF9AE}" pid="30" name="sansfont">
    <vt:lpwstr>Arial</vt:lpwstr>
  </property>
  <property fmtid="{D5CDD505-2E9C-101B-9397-08002B2CF9AE}" pid="31" name="sansfontoptions">
    <vt:lpwstr>Ligatures=Common,Ligatures=TeX,Scale=MatchLowercase,Scale=0.94</vt:lpwstr>
  </property>
  <property fmtid="{D5CDD505-2E9C-101B-9397-08002B2CF9AE}" pid="32" name="subtitle">
    <vt:lpwstr>Computer Skills for Scientific Writing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