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0A055"/>
          <w:sz w:val="28"/>
        </w:rPr>
        <w:t>COSUD — ACSI</w:t>
      </w:r>
    </w:p>
    <w:p>
      <w:pPr>
        <w:jc w:val="center"/>
      </w:pPr>
      <w:r>
        <w:rPr>
          <w:rFonts w:ascii="Calibri" w:hAnsi="Calibri" w:eastAsia="Calibri"/>
          <w:b/>
          <w:i w:val="0"/>
          <w:color w:val="0F172A"/>
          <w:sz w:val="32"/>
        </w:rPr>
        <w:t>Programme de reprise — Registre d’arrivée août</w:t>
        <w:br/>
        <w:t>209 courriers (tous types) — Commission DG</w:t>
      </w:r>
    </w:p>
    <w:p>
      <w:pPr>
        <w:jc w:val="center"/>
      </w:pPr>
      <w:r>
        <w:rPr>
          <w:rFonts w:ascii="Calibri" w:hAnsi="Calibri" w:eastAsia="Calibri"/>
          <w:b w:val="0"/>
          <w:i/>
          <w:color w:val="475569"/>
          <w:sz w:val="20"/>
        </w:rPr>
        <w:t>Période d’exécution : samedi, dimanche et lundi</w:t>
        <w:br/>
        <w:t>Périmètre : factures, MAD, autres courriers — puis dettes &amp; moratoires</w:t>
      </w:r>
    </w:p>
    <w:p>
      <w:pPr>
        <w:spacing w:before="280" w:after="120"/>
      </w:pPr>
      <w:r>
        <w:rPr>
          <w:rFonts w:ascii="Calibri" w:hAnsi="Calibri" w:eastAsia="Calibri"/>
          <w:b/>
          <w:i w:val="0"/>
          <w:color w:val="00A055"/>
          <w:sz w:val="32"/>
        </w:rPr>
        <w:t>1. Objectif</w:t>
      </w:r>
    </w:p>
    <w:p>
      <w:pPr>
        <w:spacing w:after="120"/>
      </w:pPr>
      <w:r>
        <w:rPr>
          <w:rFonts w:ascii="Calibri" w:hAnsi="Calibri" w:eastAsia="Calibri"/>
          <w:b w:val="0"/>
          <w:i w:val="0"/>
          <w:color w:val="0F172A"/>
          <w:sz w:val="22"/>
        </w:rPr>
        <w:t>Saisir dans COSUD l’ensemble des 209 courriers d’arrivée du registre d’août (factures, MAD, lettres, demandes et autres), sous forme de commission constituée par le Directeur Général, afin de démarrer l’exploitation courante avec une base à jour.</w:t>
      </w:r>
    </w:p>
    <w:p>
      <w:pPr>
        <w:pStyle w:val="ListBullet"/>
        <w:spacing w:after="60"/>
      </w:pPr>
      <w:r>
        <w:rPr>
          <w:rFonts w:ascii="Calibri" w:hAnsi="Calibri" w:eastAsia="Calibri"/>
          <w:b w:val="0"/>
          <w:i w:val="0"/>
          <w:color w:val="0F172A"/>
          <w:sz w:val="22"/>
        </w:rPr>
        <w:t>Priorité 1 : enregistrer les 209 courriers (registre complet).</w:t>
      </w:r>
    </w:p>
    <w:p>
      <w:pPr>
        <w:pStyle w:val="ListBullet"/>
        <w:spacing w:after="60"/>
      </w:pPr>
      <w:r>
        <w:rPr>
          <w:rFonts w:ascii="Calibri" w:hAnsi="Calibri" w:eastAsia="Calibri"/>
          <w:b w:val="0"/>
          <w:i w:val="0"/>
          <w:color w:val="0F172A"/>
          <w:sz w:val="22"/>
        </w:rPr>
        <w:t>Priorité 2 : consolider dettes fournisseurs / prestataires.</w:t>
      </w:r>
    </w:p>
    <w:p>
      <w:pPr>
        <w:pStyle w:val="ListBullet"/>
        <w:spacing w:after="60"/>
      </w:pPr>
      <w:r>
        <w:rPr>
          <w:rFonts w:ascii="Calibri" w:hAnsi="Calibri" w:eastAsia="Calibri"/>
          <w:b w:val="0"/>
          <w:i w:val="0"/>
          <w:color w:val="0F172A"/>
          <w:sz w:val="22"/>
        </w:rPr>
        <w:t>Priorité 3 : moratoires — uniquement après les factures saisies.</w:t>
      </w:r>
    </w:p>
    <w:p>
      <w:pPr>
        <w:spacing w:before="280" w:after="120"/>
      </w:pPr>
      <w:r>
        <w:rPr>
          <w:rFonts w:ascii="Calibri" w:hAnsi="Calibri" w:eastAsia="Calibri"/>
          <w:b/>
          <w:i w:val="0"/>
          <w:color w:val="00A055"/>
          <w:sz w:val="32"/>
        </w:rPr>
        <w:t>2. Cadence sur 3 jours</w:t>
      </w:r>
    </w:p>
    <w:p>
      <w:pPr>
        <w:spacing w:after="120"/>
      </w:pPr>
      <w:r>
        <w:rPr>
          <w:rFonts w:ascii="Calibri" w:hAnsi="Calibri" w:eastAsia="Calibri"/>
          <w:b w:val="0"/>
          <w:i w:val="0"/>
          <w:color w:val="0F172A"/>
          <w:sz w:val="22"/>
        </w:rPr>
        <w:t>Volume : 209 courriers ÷ 3 jours ≈ 70 courriers / jour pour la commission. Avec 5 personnes : ≈ 14 saisies / personne / jour.</w:t>
      </w:r>
    </w:p>
    <w:tbl>
      <w:tblPr>
        <w:tblStyle w:val="TableGrid"/>
        <w:tblW w:type="auto" w:w="0"/>
        <w:tblLook w:firstColumn="1" w:firstRow="1" w:lastColumn="0" w:lastRow="0" w:noHBand="0" w:noVBand="1" w:val="04A0"/>
      </w:tblPr>
      <w:tblGrid>
        <w:gridCol w:w="3227"/>
        <w:gridCol w:w="3227"/>
        <w:gridCol w:w="3227"/>
      </w:tblGrid>
      <w:tr>
        <w:tc>
          <w:tcPr>
            <w:tcW w:type="dxa" w:w="3227"/>
            <w:shd w:fill="06A269" w:val="clear"/>
          </w:tcPr>
          <w:p>
            <w:r/>
            <w:r>
              <w:rPr>
                <w:rFonts w:ascii="Calibri" w:hAnsi="Calibri" w:eastAsia="Calibri"/>
                <w:b/>
                <w:i w:val="0"/>
                <w:color w:val="FFFFFF"/>
                <w:sz w:val="20"/>
              </w:rPr>
              <w:t>Jour</w:t>
            </w:r>
          </w:p>
        </w:tc>
        <w:tc>
          <w:tcPr>
            <w:tcW w:type="dxa" w:w="3227"/>
            <w:shd w:fill="06A269" w:val="clear"/>
          </w:tcPr>
          <w:p>
            <w:r/>
            <w:r>
              <w:rPr>
                <w:rFonts w:ascii="Calibri" w:hAnsi="Calibri" w:eastAsia="Calibri"/>
                <w:b/>
                <w:i w:val="0"/>
                <w:color w:val="FFFFFF"/>
                <w:sz w:val="20"/>
              </w:rPr>
              <w:t>Objectif collectif</w:t>
            </w:r>
          </w:p>
        </w:tc>
        <w:tc>
          <w:tcPr>
            <w:tcW w:type="dxa" w:w="3227"/>
            <w:shd w:fill="06A269" w:val="clear"/>
          </w:tcPr>
          <w:p>
            <w:r/>
            <w:r>
              <w:rPr>
                <w:rFonts w:ascii="Calibri" w:hAnsi="Calibri" w:eastAsia="Calibri"/>
                <w:b/>
                <w:i w:val="0"/>
                <w:color w:val="FFFFFF"/>
                <w:sz w:val="20"/>
              </w:rPr>
              <w:t>Focus</w:t>
            </w:r>
          </w:p>
        </w:tc>
      </w:tr>
      <w:tr>
        <w:tc>
          <w:tcPr>
            <w:tcW w:type="dxa" w:w="3227"/>
          </w:tcPr>
          <w:p>
            <w:r/>
            <w:r>
              <w:rPr>
                <w:rFonts w:ascii="Calibri" w:hAnsi="Calibri" w:eastAsia="Calibri"/>
                <w:b w:val="0"/>
                <w:i w:val="0"/>
                <w:color w:val="0F172A"/>
                <w:sz w:val="20"/>
              </w:rPr>
              <w:t>Samedi</w:t>
            </w:r>
          </w:p>
        </w:tc>
        <w:tc>
          <w:tcPr>
            <w:tcW w:type="dxa" w:w="3227"/>
          </w:tcPr>
          <w:p>
            <w:r/>
            <w:r>
              <w:rPr>
                <w:rFonts w:ascii="Calibri" w:hAnsi="Calibri" w:eastAsia="Calibri"/>
                <w:b w:val="0"/>
                <w:i w:val="0"/>
                <w:color w:val="0F172A"/>
                <w:sz w:val="20"/>
              </w:rPr>
              <w:t>~70 courriers</w:t>
            </w:r>
          </w:p>
        </w:tc>
        <w:tc>
          <w:tcPr>
            <w:tcW w:type="dxa" w:w="3227"/>
          </w:tcPr>
          <w:p>
            <w:r/>
            <w:r>
              <w:rPr>
                <w:rFonts w:ascii="Calibri" w:hAnsi="Calibri" w:eastAsia="Calibri"/>
                <w:b w:val="0"/>
                <w:i w:val="0"/>
                <w:color w:val="0F172A"/>
                <w:sz w:val="20"/>
              </w:rPr>
              <w:t>Briefing, tri des piles, démarrage intensif, référentiel</w:t>
            </w:r>
          </w:p>
        </w:tc>
      </w:tr>
      <w:tr>
        <w:tc>
          <w:tcPr>
            <w:tcW w:type="dxa" w:w="3227"/>
            <w:shd w:fill="F1F5F9" w:val="clear"/>
          </w:tcPr>
          <w:p>
            <w:r/>
            <w:r>
              <w:rPr>
                <w:rFonts w:ascii="Calibri" w:hAnsi="Calibri" w:eastAsia="Calibri"/>
                <w:b w:val="0"/>
                <w:i w:val="0"/>
                <w:color w:val="0F172A"/>
                <w:sz w:val="20"/>
              </w:rPr>
              <w:t>Dimanche</w:t>
            </w:r>
          </w:p>
        </w:tc>
        <w:tc>
          <w:tcPr>
            <w:tcW w:type="dxa" w:w="3227"/>
            <w:shd w:fill="F1F5F9" w:val="clear"/>
          </w:tcPr>
          <w:p>
            <w:r/>
            <w:r>
              <w:rPr>
                <w:rFonts w:ascii="Calibri" w:hAnsi="Calibri" w:eastAsia="Calibri"/>
                <w:b w:val="0"/>
                <w:i w:val="0"/>
                <w:color w:val="0F172A"/>
                <w:sz w:val="20"/>
              </w:rPr>
              <w:t>~70 courriers</w:t>
            </w:r>
          </w:p>
        </w:tc>
        <w:tc>
          <w:tcPr>
            <w:tcW w:type="dxa" w:w="3227"/>
            <w:shd w:fill="F1F5F9" w:val="clear"/>
          </w:tcPr>
          <w:p>
            <w:r/>
            <w:r>
              <w:rPr>
                <w:rFonts w:ascii="Calibri" w:hAnsi="Calibri" w:eastAsia="Calibri"/>
                <w:b w:val="0"/>
                <w:i w:val="0"/>
                <w:color w:val="0F172A"/>
                <w:sz w:val="20"/>
              </w:rPr>
              <w:t>Volume — viser la fin des factures et MAD</w:t>
            </w:r>
          </w:p>
        </w:tc>
      </w:tr>
      <w:tr>
        <w:tc>
          <w:tcPr>
            <w:tcW w:type="dxa" w:w="3227"/>
          </w:tcPr>
          <w:p>
            <w:r/>
            <w:r>
              <w:rPr>
                <w:rFonts w:ascii="Calibri" w:hAnsi="Calibri" w:eastAsia="Calibri"/>
                <w:b w:val="0"/>
                <w:i w:val="0"/>
                <w:color w:val="0F172A"/>
                <w:sz w:val="20"/>
              </w:rPr>
              <w:t>Lundi</w:t>
            </w:r>
          </w:p>
        </w:tc>
        <w:tc>
          <w:tcPr>
            <w:tcW w:type="dxa" w:w="3227"/>
          </w:tcPr>
          <w:p>
            <w:r/>
            <w:r>
              <w:rPr>
                <w:rFonts w:ascii="Calibri" w:hAnsi="Calibri" w:eastAsia="Calibri"/>
                <w:b w:val="0"/>
                <w:i w:val="0"/>
                <w:color w:val="0F172A"/>
                <w:sz w:val="20"/>
              </w:rPr>
              <w:t>~69 + contrôle</w:t>
            </w:r>
          </w:p>
        </w:tc>
        <w:tc>
          <w:tcPr>
            <w:tcW w:type="dxa" w:w="3227"/>
          </w:tcPr>
          <w:p>
            <w:r/>
            <w:r>
              <w:rPr>
                <w:rFonts w:ascii="Calibri" w:hAnsi="Calibri" w:eastAsia="Calibri"/>
                <w:b w:val="0"/>
                <w:i w:val="0"/>
                <w:color w:val="0F172A"/>
                <w:sz w:val="20"/>
              </w:rPr>
              <w:t>Finir le reste, contrôle qualité, dettes si temps</w:t>
            </w:r>
          </w:p>
        </w:tc>
      </w:tr>
    </w:tbl>
    <w:p/>
    <w:p>
      <w:pPr>
        <w:spacing w:before="280" w:after="120"/>
      </w:pPr>
      <w:r>
        <w:rPr>
          <w:rFonts w:ascii="Calibri" w:hAnsi="Calibri" w:eastAsia="Calibri"/>
          <w:b/>
          <w:i w:val="0"/>
          <w:color w:val="00A055"/>
          <w:sz w:val="32"/>
        </w:rPr>
        <w:t>3. Composition de la commission</w:t>
      </w:r>
    </w:p>
    <w:tbl>
      <w:tblPr>
        <w:tblStyle w:val="TableGrid"/>
        <w:tblW w:type="auto" w:w="0"/>
        <w:tblLook w:firstColumn="1" w:firstRow="1" w:lastColumn="0" w:lastRow="0" w:noHBand="0" w:noVBand="1" w:val="04A0"/>
      </w:tblPr>
      <w:tblGrid>
        <w:gridCol w:w="3227"/>
        <w:gridCol w:w="3227"/>
        <w:gridCol w:w="3227"/>
      </w:tblGrid>
      <w:tr>
        <w:tc>
          <w:tcPr>
            <w:tcW w:type="dxa" w:w="3227"/>
            <w:shd w:fill="06A269" w:val="clear"/>
          </w:tcPr>
          <w:p>
            <w:r/>
            <w:r>
              <w:rPr>
                <w:rFonts w:ascii="Calibri" w:hAnsi="Calibri" w:eastAsia="Calibri"/>
                <w:b/>
                <w:i w:val="0"/>
                <w:color w:val="FFFFFF"/>
                <w:sz w:val="20"/>
              </w:rPr>
              <w:t>Personne</w:t>
            </w:r>
          </w:p>
        </w:tc>
        <w:tc>
          <w:tcPr>
            <w:tcW w:type="dxa" w:w="3227"/>
            <w:shd w:fill="06A269" w:val="clear"/>
          </w:tcPr>
          <w:p>
            <w:r/>
            <w:r>
              <w:rPr>
                <w:rFonts w:ascii="Calibri" w:hAnsi="Calibri" w:eastAsia="Calibri"/>
                <w:b/>
                <w:i w:val="0"/>
                <w:color w:val="FFFFFF"/>
                <w:sz w:val="20"/>
              </w:rPr>
              <w:t>Rôle métier</w:t>
            </w:r>
          </w:p>
        </w:tc>
        <w:tc>
          <w:tcPr>
            <w:tcW w:type="dxa" w:w="3227"/>
            <w:shd w:fill="06A269" w:val="clear"/>
          </w:tcPr>
          <w:p>
            <w:r/>
            <w:r>
              <w:rPr>
                <w:rFonts w:ascii="Calibri" w:hAnsi="Calibri" w:eastAsia="Calibri"/>
                <w:b/>
                <w:i w:val="0"/>
                <w:color w:val="FFFFFF"/>
                <w:sz w:val="20"/>
              </w:rPr>
              <w:t>Focus saisie reprise</w:t>
            </w:r>
          </w:p>
        </w:tc>
      </w:tr>
      <w:tr>
        <w:tc>
          <w:tcPr>
            <w:tcW w:type="dxa" w:w="3227"/>
          </w:tcPr>
          <w:p>
            <w:r/>
            <w:r>
              <w:rPr>
                <w:rFonts w:ascii="Calibri" w:hAnsi="Calibri" w:eastAsia="Calibri"/>
                <w:b w:val="0"/>
                <w:i w:val="0"/>
                <w:color w:val="0F172A"/>
                <w:sz w:val="20"/>
              </w:rPr>
              <w:t>Mme Taty</w:t>
            </w:r>
          </w:p>
        </w:tc>
        <w:tc>
          <w:tcPr>
            <w:tcW w:type="dxa" w:w="3227"/>
          </w:tcPr>
          <w:p>
            <w:r/>
            <w:r>
              <w:rPr>
                <w:rFonts w:ascii="Calibri" w:hAnsi="Calibri" w:eastAsia="Calibri"/>
                <w:b w:val="0"/>
                <w:i w:val="0"/>
                <w:color w:val="0F172A"/>
                <w:sz w:val="20"/>
              </w:rPr>
              <w:t>Secrétaire DG — responsable factures / prestataires</w:t>
            </w:r>
          </w:p>
        </w:tc>
        <w:tc>
          <w:tcPr>
            <w:tcW w:type="dxa" w:w="3227"/>
          </w:tcPr>
          <w:p>
            <w:r/>
            <w:r>
              <w:rPr>
                <w:rFonts w:ascii="Calibri" w:hAnsi="Calibri" w:eastAsia="Calibri"/>
                <w:b w:val="0"/>
                <w:i w:val="0"/>
                <w:color w:val="0F172A"/>
                <w:sz w:val="20"/>
              </w:rPr>
              <w:t>Pile FACTURES + référentiel fournisseurs / prestataires</w:t>
            </w:r>
          </w:p>
        </w:tc>
      </w:tr>
      <w:tr>
        <w:tc>
          <w:tcPr>
            <w:tcW w:type="dxa" w:w="3227"/>
            <w:shd w:fill="F1F5F9" w:val="clear"/>
          </w:tcPr>
          <w:p>
            <w:r/>
            <w:r>
              <w:rPr>
                <w:rFonts w:ascii="Calibri" w:hAnsi="Calibri" w:eastAsia="Calibri"/>
                <w:b w:val="0"/>
                <w:i w:val="0"/>
                <w:color w:val="0F172A"/>
                <w:sz w:val="20"/>
              </w:rPr>
              <w:t>Mme Eleni</w:t>
            </w:r>
          </w:p>
        </w:tc>
        <w:tc>
          <w:tcPr>
            <w:tcW w:type="dxa" w:w="3227"/>
            <w:shd w:fill="F1F5F9" w:val="clear"/>
          </w:tcPr>
          <w:p>
            <w:r/>
            <w:r>
              <w:rPr>
                <w:rFonts w:ascii="Calibri" w:hAnsi="Calibri" w:eastAsia="Calibri"/>
                <w:b w:val="0"/>
                <w:i w:val="0"/>
                <w:color w:val="0F172A"/>
                <w:sz w:val="20"/>
              </w:rPr>
              <w:t>Secrétaire DG — responsable suivi des dépenses</w:t>
            </w:r>
          </w:p>
        </w:tc>
        <w:tc>
          <w:tcPr>
            <w:tcW w:type="dxa" w:w="3227"/>
            <w:shd w:fill="F1F5F9" w:val="clear"/>
          </w:tcPr>
          <w:p>
            <w:r/>
            <w:r>
              <w:rPr>
                <w:rFonts w:ascii="Calibri" w:hAnsi="Calibri" w:eastAsia="Calibri"/>
                <w:b w:val="0"/>
                <w:i w:val="0"/>
                <w:color w:val="0F172A"/>
                <w:sz w:val="20"/>
              </w:rPr>
              <w:t>Pile MAD (+ appui factures si besoin)</w:t>
            </w:r>
          </w:p>
        </w:tc>
      </w:tr>
      <w:tr>
        <w:tc>
          <w:tcPr>
            <w:tcW w:type="dxa" w:w="3227"/>
          </w:tcPr>
          <w:p>
            <w:r/>
            <w:r>
              <w:rPr>
                <w:rFonts w:ascii="Calibri" w:hAnsi="Calibri" w:eastAsia="Calibri"/>
                <w:b w:val="0"/>
                <w:i w:val="0"/>
                <w:color w:val="0F172A"/>
                <w:sz w:val="20"/>
              </w:rPr>
              <w:t>Mme Mireille</w:t>
            </w:r>
          </w:p>
        </w:tc>
        <w:tc>
          <w:tcPr>
            <w:tcW w:type="dxa" w:w="3227"/>
          </w:tcPr>
          <w:p>
            <w:r/>
            <w:r>
              <w:rPr>
                <w:rFonts w:ascii="Calibri" w:hAnsi="Calibri" w:eastAsia="Calibri"/>
                <w:b w:val="0"/>
                <w:i w:val="0"/>
                <w:color w:val="0F172A"/>
                <w:sz w:val="20"/>
              </w:rPr>
              <w:t>Secrétaire DG — autres courriers</w:t>
            </w:r>
          </w:p>
        </w:tc>
        <w:tc>
          <w:tcPr>
            <w:tcW w:type="dxa" w:w="3227"/>
          </w:tcPr>
          <w:p>
            <w:r/>
            <w:r>
              <w:rPr>
                <w:rFonts w:ascii="Calibri" w:hAnsi="Calibri" w:eastAsia="Calibri"/>
                <w:b w:val="0"/>
                <w:i w:val="0"/>
                <w:color w:val="0F172A"/>
                <w:sz w:val="20"/>
              </w:rPr>
              <w:t>Pile AUTRES (hors MAD et facture prestataire)</w:t>
            </w:r>
          </w:p>
        </w:tc>
      </w:tr>
      <w:tr>
        <w:tc>
          <w:tcPr>
            <w:tcW w:type="dxa" w:w="3227"/>
            <w:shd w:fill="F1F5F9" w:val="clear"/>
          </w:tcPr>
          <w:p>
            <w:r/>
            <w:r>
              <w:rPr>
                <w:rFonts w:ascii="Calibri" w:hAnsi="Calibri" w:eastAsia="Calibri"/>
                <w:b w:val="0"/>
                <w:i w:val="0"/>
                <w:color w:val="0F172A"/>
                <w:sz w:val="20"/>
              </w:rPr>
              <w:t>Mme Lydia</w:t>
            </w:r>
          </w:p>
        </w:tc>
        <w:tc>
          <w:tcPr>
            <w:tcW w:type="dxa" w:w="3227"/>
            <w:shd w:fill="F1F5F9" w:val="clear"/>
          </w:tcPr>
          <w:p>
            <w:r/>
            <w:r>
              <w:rPr>
                <w:rFonts w:ascii="Calibri" w:hAnsi="Calibri" w:eastAsia="Calibri"/>
                <w:b w:val="0"/>
                <w:i w:val="0"/>
                <w:color w:val="0F172A"/>
                <w:sz w:val="20"/>
              </w:rPr>
              <w:t>Trésorière auprès de l’Agent comptable</w:t>
            </w:r>
          </w:p>
        </w:tc>
        <w:tc>
          <w:tcPr>
            <w:tcW w:type="dxa" w:w="3227"/>
            <w:shd w:fill="F1F5F9" w:val="clear"/>
          </w:tcPr>
          <w:p>
            <w:r/>
            <w:r>
              <w:rPr>
                <w:rFonts w:ascii="Calibri" w:hAnsi="Calibri" w:eastAsia="Calibri"/>
                <w:b w:val="0"/>
                <w:i w:val="0"/>
                <w:color w:val="0F172A"/>
                <w:sz w:val="20"/>
              </w:rPr>
              <w:t>Renfort FACTURES / MAD (volume)</w:t>
            </w:r>
          </w:p>
        </w:tc>
      </w:tr>
      <w:tr>
        <w:tc>
          <w:tcPr>
            <w:tcW w:type="dxa" w:w="3227"/>
          </w:tcPr>
          <w:p>
            <w:r/>
            <w:r>
              <w:rPr>
                <w:rFonts w:ascii="Calibri" w:hAnsi="Calibri" w:eastAsia="Calibri"/>
                <w:b w:val="0"/>
                <w:i w:val="0"/>
                <w:color w:val="0F172A"/>
                <w:sz w:val="20"/>
              </w:rPr>
              <w:t>Mme Lebanitou</w:t>
            </w:r>
          </w:p>
        </w:tc>
        <w:tc>
          <w:tcPr>
            <w:tcW w:type="dxa" w:w="3227"/>
          </w:tcPr>
          <w:p>
            <w:r/>
            <w:r>
              <w:rPr>
                <w:rFonts w:ascii="Calibri" w:hAnsi="Calibri" w:eastAsia="Calibri"/>
                <w:b w:val="0"/>
                <w:i w:val="0"/>
                <w:color w:val="0F172A"/>
                <w:sz w:val="20"/>
              </w:rPr>
              <w:t>Agent comptable</w:t>
            </w:r>
          </w:p>
        </w:tc>
        <w:tc>
          <w:tcPr>
            <w:tcW w:type="dxa" w:w="3227"/>
          </w:tcPr>
          <w:p>
            <w:r/>
            <w:r>
              <w:rPr>
                <w:rFonts w:ascii="Calibri" w:hAnsi="Calibri" w:eastAsia="Calibri"/>
                <w:b w:val="0"/>
                <w:i w:val="0"/>
                <w:color w:val="0F172A"/>
                <w:sz w:val="20"/>
              </w:rPr>
              <w:t>Renfort FACTURES / MAD (volume)</w:t>
            </w:r>
          </w:p>
        </w:tc>
      </w:tr>
    </w:tbl>
    <w:p/>
    <w:p>
      <w:pPr>
        <w:spacing w:after="120"/>
      </w:pPr>
      <w:r>
        <w:rPr>
          <w:rFonts w:ascii="Calibri" w:hAnsi="Calibri" w:eastAsia="Calibri"/>
          <w:b w:val="0"/>
          <w:i/>
          <w:color w:val="0F172A"/>
          <w:sz w:val="20"/>
        </w:rPr>
        <w:t>Accompagnement technique COSUD : coordination, pointage Excel, déblocage (doublons, scans, fiches manquantes) — pas une 6ᵉ file de saisie sauf besoin.</w:t>
      </w:r>
    </w:p>
    <w:p>
      <w:pPr>
        <w:spacing w:before="280" w:after="120"/>
      </w:pPr>
      <w:r>
        <w:rPr>
          <w:rFonts w:ascii="Calibri" w:hAnsi="Calibri" w:eastAsia="Calibri"/>
          <w:b/>
          <w:i w:val="0"/>
          <w:color w:val="00A055"/>
          <w:sz w:val="32"/>
        </w:rPr>
        <w:t>4. Tri du registre en 3 piles (samedi matin)</w:t>
      </w:r>
    </w:p>
    <w:p>
      <w:pPr>
        <w:spacing w:after="120"/>
      </w:pPr>
      <w:r>
        <w:rPr>
          <w:rFonts w:ascii="Calibri" w:hAnsi="Calibri" w:eastAsia="Calibri"/>
          <w:b w:val="0"/>
          <w:i w:val="0"/>
          <w:color w:val="0F172A"/>
          <w:sz w:val="22"/>
        </w:rPr>
        <w:t>Avant toute saisie, découper physiquement ou sur Excel les 209 courriers :</w:t>
      </w:r>
    </w:p>
    <w:tbl>
      <w:tblPr>
        <w:tblStyle w:val="TableGrid"/>
        <w:tblW w:type="auto" w:w="0"/>
        <w:tblLook w:firstColumn="1" w:firstRow="1" w:lastColumn="0" w:lastRow="0" w:noHBand="0" w:noVBand="1" w:val="04A0"/>
      </w:tblPr>
      <w:tblGrid>
        <w:gridCol w:w="2420"/>
        <w:gridCol w:w="2420"/>
        <w:gridCol w:w="2420"/>
        <w:gridCol w:w="2420"/>
      </w:tblGrid>
      <w:tr>
        <w:tc>
          <w:tcPr>
            <w:tcW w:type="dxa" w:w="2420"/>
            <w:shd w:fill="06A269" w:val="clear"/>
          </w:tcPr>
          <w:p>
            <w:r/>
            <w:r>
              <w:rPr>
                <w:rFonts w:ascii="Calibri" w:hAnsi="Calibri" w:eastAsia="Calibri"/>
                <w:b/>
                <w:i w:val="0"/>
                <w:color w:val="FFFFFF"/>
                <w:sz w:val="20"/>
              </w:rPr>
              <w:t>Pile</w:t>
            </w:r>
          </w:p>
        </w:tc>
        <w:tc>
          <w:tcPr>
            <w:tcW w:type="dxa" w:w="2420"/>
            <w:shd w:fill="06A269" w:val="clear"/>
          </w:tcPr>
          <w:p>
            <w:r/>
            <w:r>
              <w:rPr>
                <w:rFonts w:ascii="Calibri" w:hAnsi="Calibri" w:eastAsia="Calibri"/>
                <w:b/>
                <w:i w:val="0"/>
                <w:color w:val="FFFFFF"/>
                <w:sz w:val="20"/>
              </w:rPr>
              <w:t>Contenu</w:t>
            </w:r>
          </w:p>
        </w:tc>
        <w:tc>
          <w:tcPr>
            <w:tcW w:type="dxa" w:w="2420"/>
            <w:shd w:fill="06A269" w:val="clear"/>
          </w:tcPr>
          <w:p>
            <w:r/>
            <w:r>
              <w:rPr>
                <w:rFonts w:ascii="Calibri" w:hAnsi="Calibri" w:eastAsia="Calibri"/>
                <w:b/>
                <w:i w:val="0"/>
                <w:color w:val="FFFFFF"/>
                <w:sz w:val="20"/>
              </w:rPr>
              <w:t>Pilote</w:t>
            </w:r>
          </w:p>
        </w:tc>
        <w:tc>
          <w:tcPr>
            <w:tcW w:type="dxa" w:w="2420"/>
            <w:shd w:fill="06A269" w:val="clear"/>
          </w:tcPr>
          <w:p>
            <w:r/>
            <w:r>
              <w:rPr>
                <w:rFonts w:ascii="Calibri" w:hAnsi="Calibri" w:eastAsia="Calibri"/>
                <w:b/>
                <w:i w:val="0"/>
                <w:color w:val="FFFFFF"/>
                <w:sz w:val="20"/>
              </w:rPr>
              <w:t>Renfort</w:t>
            </w:r>
          </w:p>
        </w:tc>
      </w:tr>
      <w:tr>
        <w:tc>
          <w:tcPr>
            <w:tcW w:type="dxa" w:w="2420"/>
          </w:tcPr>
          <w:p>
            <w:r/>
            <w:r>
              <w:rPr>
                <w:rFonts w:ascii="Calibri" w:hAnsi="Calibri" w:eastAsia="Calibri"/>
                <w:b w:val="0"/>
                <w:i w:val="0"/>
                <w:color w:val="0F172A"/>
                <w:sz w:val="20"/>
              </w:rPr>
              <w:t>1 — Factures</w:t>
            </w:r>
          </w:p>
        </w:tc>
        <w:tc>
          <w:tcPr>
            <w:tcW w:type="dxa" w:w="2420"/>
          </w:tcPr>
          <w:p>
            <w:r/>
            <w:r>
              <w:rPr>
                <w:rFonts w:ascii="Calibri" w:hAnsi="Calibri" w:eastAsia="Calibri"/>
                <w:b w:val="0"/>
                <w:i w:val="0"/>
                <w:color w:val="0F172A"/>
                <w:sz w:val="20"/>
              </w:rPr>
              <w:t>Type facture / prestataire</w:t>
            </w:r>
          </w:p>
        </w:tc>
        <w:tc>
          <w:tcPr>
            <w:tcW w:type="dxa" w:w="2420"/>
          </w:tcPr>
          <w:p>
            <w:r/>
            <w:r>
              <w:rPr>
                <w:rFonts w:ascii="Calibri" w:hAnsi="Calibri" w:eastAsia="Calibri"/>
                <w:b w:val="0"/>
                <w:i w:val="0"/>
                <w:color w:val="0F172A"/>
                <w:sz w:val="20"/>
              </w:rPr>
              <w:t>Mme Taty</w:t>
            </w:r>
          </w:p>
        </w:tc>
        <w:tc>
          <w:tcPr>
            <w:tcW w:type="dxa" w:w="2420"/>
          </w:tcPr>
          <w:p>
            <w:r/>
            <w:r>
              <w:rPr>
                <w:rFonts w:ascii="Calibri" w:hAnsi="Calibri" w:eastAsia="Calibri"/>
                <w:b w:val="0"/>
                <w:i w:val="0"/>
                <w:color w:val="0F172A"/>
                <w:sz w:val="20"/>
              </w:rPr>
              <w:t>Mme Lydia, Mme Lebanitou</w:t>
            </w:r>
          </w:p>
        </w:tc>
      </w:tr>
      <w:tr>
        <w:tc>
          <w:tcPr>
            <w:tcW w:type="dxa" w:w="2420"/>
            <w:shd w:fill="F1F5F9" w:val="clear"/>
          </w:tcPr>
          <w:p>
            <w:r/>
            <w:r>
              <w:rPr>
                <w:rFonts w:ascii="Calibri" w:hAnsi="Calibri" w:eastAsia="Calibri"/>
                <w:b w:val="0"/>
                <w:i w:val="0"/>
                <w:color w:val="0F172A"/>
                <w:sz w:val="20"/>
              </w:rPr>
              <w:t>2 — MAD</w:t>
            </w:r>
          </w:p>
        </w:tc>
        <w:tc>
          <w:tcPr>
            <w:tcW w:type="dxa" w:w="2420"/>
            <w:shd w:fill="F1F5F9" w:val="clear"/>
          </w:tcPr>
          <w:p>
            <w:r/>
            <w:r>
              <w:rPr>
                <w:rFonts w:ascii="Calibri" w:hAnsi="Calibri" w:eastAsia="Calibri"/>
                <w:b w:val="0"/>
                <w:i w:val="0"/>
                <w:color w:val="0F172A"/>
                <w:sz w:val="20"/>
              </w:rPr>
              <w:t>MAD / états de besoins</w:t>
            </w:r>
          </w:p>
        </w:tc>
        <w:tc>
          <w:tcPr>
            <w:tcW w:type="dxa" w:w="2420"/>
            <w:shd w:fill="F1F5F9" w:val="clear"/>
          </w:tcPr>
          <w:p>
            <w:r/>
            <w:r>
              <w:rPr>
                <w:rFonts w:ascii="Calibri" w:hAnsi="Calibri" w:eastAsia="Calibri"/>
                <w:b w:val="0"/>
                <w:i w:val="0"/>
                <w:color w:val="0F172A"/>
                <w:sz w:val="20"/>
              </w:rPr>
              <w:t>Mme Eleni</w:t>
            </w:r>
          </w:p>
        </w:tc>
        <w:tc>
          <w:tcPr>
            <w:tcW w:type="dxa" w:w="2420"/>
            <w:shd w:fill="F1F5F9" w:val="clear"/>
          </w:tcPr>
          <w:p>
            <w:r/>
            <w:r>
              <w:rPr>
                <w:rFonts w:ascii="Calibri" w:hAnsi="Calibri" w:eastAsia="Calibri"/>
                <w:b w:val="0"/>
                <w:i w:val="0"/>
                <w:color w:val="0F172A"/>
                <w:sz w:val="20"/>
              </w:rPr>
              <w:t>Mme Lydia / Lebanitou si dispo</w:t>
            </w:r>
          </w:p>
        </w:tc>
      </w:tr>
      <w:tr>
        <w:tc>
          <w:tcPr>
            <w:tcW w:type="dxa" w:w="2420"/>
          </w:tcPr>
          <w:p>
            <w:r/>
            <w:r>
              <w:rPr>
                <w:rFonts w:ascii="Calibri" w:hAnsi="Calibri" w:eastAsia="Calibri"/>
                <w:b w:val="0"/>
                <w:i w:val="0"/>
                <w:color w:val="0F172A"/>
                <w:sz w:val="20"/>
              </w:rPr>
              <w:t>3 — Autres</w:t>
            </w:r>
          </w:p>
        </w:tc>
        <w:tc>
          <w:tcPr>
            <w:tcW w:type="dxa" w:w="2420"/>
          </w:tcPr>
          <w:p>
            <w:r/>
            <w:r>
              <w:rPr>
                <w:rFonts w:ascii="Calibri" w:hAnsi="Calibri" w:eastAsia="Calibri"/>
                <w:b w:val="0"/>
                <w:i w:val="0"/>
                <w:color w:val="0F172A"/>
                <w:sz w:val="20"/>
              </w:rPr>
              <w:t>Lettres, demandes, etc.</w:t>
            </w:r>
          </w:p>
        </w:tc>
        <w:tc>
          <w:tcPr>
            <w:tcW w:type="dxa" w:w="2420"/>
          </w:tcPr>
          <w:p>
            <w:r/>
            <w:r>
              <w:rPr>
                <w:rFonts w:ascii="Calibri" w:hAnsi="Calibri" w:eastAsia="Calibri"/>
                <w:b w:val="0"/>
                <w:i w:val="0"/>
                <w:color w:val="0F172A"/>
                <w:sz w:val="20"/>
              </w:rPr>
              <w:t>Mme Mireille</w:t>
            </w:r>
          </w:p>
        </w:tc>
        <w:tc>
          <w:tcPr>
            <w:tcW w:type="dxa" w:w="2420"/>
          </w:tcPr>
          <w:p>
            <w:r/>
            <w:r>
              <w:rPr>
                <w:rFonts w:ascii="Calibri" w:hAnsi="Calibri" w:eastAsia="Calibri"/>
                <w:b w:val="0"/>
                <w:i w:val="0"/>
                <w:color w:val="0F172A"/>
                <w:sz w:val="20"/>
              </w:rPr>
              <w:t>Appui ½ journée si pile très grosse</w:t>
            </w:r>
          </w:p>
        </w:tc>
      </w:tr>
    </w:tbl>
    <w:p/>
    <w:p>
      <w:pPr>
        <w:spacing w:after="120"/>
      </w:pPr>
      <w:r>
        <w:rPr>
          <w:rFonts w:ascii="Calibri" w:hAnsi="Calibri" w:eastAsia="Calibri"/>
          <w:b/>
          <w:i w:val="0"/>
          <w:color w:val="0F172A"/>
          <w:sz w:val="22"/>
        </w:rPr>
        <w:t>Règle anti-doublon : une plage de n° de registre (ou une pile) = une personne. Personne ne saisit la plage d’un autre.</w:t>
      </w:r>
    </w:p>
    <w:p>
      <w:pPr>
        <w:spacing w:before="280" w:after="120"/>
      </w:pPr>
      <w:r>
        <w:rPr>
          <w:rFonts w:ascii="Calibri" w:hAnsi="Calibri" w:eastAsia="Calibri"/>
          <w:b/>
          <w:i w:val="0"/>
          <w:color w:val="00A055"/>
          <w:sz w:val="32"/>
        </w:rPr>
        <w:t>5. Référentiel fournisseurs / prestataires (critique)</w:t>
      </w:r>
    </w:p>
    <w:p>
      <w:pPr>
        <w:spacing w:after="120"/>
      </w:pPr>
      <w:r>
        <w:rPr>
          <w:rFonts w:ascii="Calibri" w:hAnsi="Calibri" w:eastAsia="Calibri"/>
          <w:b w:val="0"/>
          <w:i w:val="0"/>
          <w:color w:val="0F172A"/>
          <w:sz w:val="22"/>
        </w:rPr>
        <w:t>Depuis la mise en place du référentiel COSUD, une facture ne peut être enregistrée sans choisir une fiche fournisseur / prestataire / partenaire active.</w:t>
      </w:r>
    </w:p>
    <w:p>
      <w:pPr>
        <w:pStyle w:val="ListNumber"/>
        <w:spacing w:after="60"/>
      </w:pPr>
      <w:r>
        <w:rPr>
          <w:rFonts w:ascii="Calibri" w:hAnsi="Calibri" w:eastAsia="Calibri"/>
          <w:b w:val="0"/>
          <w:i w:val="0"/>
          <w:color w:val="0F172A"/>
          <w:sz w:val="22"/>
        </w:rPr>
        <w:t>Dès qu’une facture concerne un fournisseur absent du référentiel : file d’attente chez Mme Taty (1–2 min).</w:t>
      </w:r>
    </w:p>
    <w:p>
      <w:pPr>
        <w:pStyle w:val="ListNumber"/>
        <w:spacing w:after="60"/>
      </w:pPr>
      <w:r>
        <w:rPr>
          <w:rFonts w:ascii="Calibri" w:hAnsi="Calibri" w:eastAsia="Calibri"/>
          <w:b w:val="0"/>
          <w:i w:val="0"/>
          <w:color w:val="0F172A"/>
          <w:sz w:val="22"/>
        </w:rPr>
        <w:t>Mme Taty crée la fiche (nom, type, téléphone, e-mail si connu).</w:t>
      </w:r>
    </w:p>
    <w:p>
      <w:pPr>
        <w:pStyle w:val="ListNumber"/>
        <w:spacing w:after="60"/>
      </w:pPr>
      <w:r>
        <w:rPr>
          <w:rFonts w:ascii="Calibri" w:hAnsi="Calibri" w:eastAsia="Calibri"/>
          <w:b w:val="0"/>
          <w:i w:val="0"/>
          <w:color w:val="0F172A"/>
          <w:sz w:val="22"/>
        </w:rPr>
        <w:t>La secrétaire reprend immédiatement la saisie du courrier.</w:t>
      </w:r>
    </w:p>
    <w:p>
      <w:pPr>
        <w:spacing w:after="120"/>
      </w:pPr>
      <w:r>
        <w:rPr>
          <w:rFonts w:ascii="Calibri" w:hAnsi="Calibri" w:eastAsia="Calibri"/>
          <w:b/>
          <w:i w:val="0"/>
          <w:color w:val="0F172A"/>
          <w:sz w:val="22"/>
        </w:rPr>
        <w:t>Sans ce poste « référentiel », toute la pile Factures s’arrête. C’est le principal goulot des 3 jours.</w:t>
      </w:r>
    </w:p>
    <w:p>
      <w:pPr>
        <w:spacing w:before="280" w:after="120"/>
      </w:pPr>
      <w:r>
        <w:rPr>
          <w:rFonts w:ascii="Calibri" w:hAnsi="Calibri" w:eastAsia="Calibri"/>
          <w:b/>
          <w:i w:val="0"/>
          <w:color w:val="00A055"/>
          <w:sz w:val="32"/>
        </w:rPr>
        <w:t>6. Mode opératoire par courrier</w:t>
      </w:r>
    </w:p>
    <w:p>
      <w:pPr>
        <w:pStyle w:val="ListNumber"/>
        <w:spacing w:after="60"/>
      </w:pPr>
      <w:r>
        <w:rPr>
          <w:rFonts w:ascii="Calibri" w:hAnsi="Calibri" w:eastAsia="Calibri"/>
          <w:b w:val="0"/>
          <w:i w:val="0"/>
          <w:color w:val="0F172A"/>
          <w:sz w:val="22"/>
        </w:rPr>
        <w:t>Identifier le type (facture / MAD / autre).</w:t>
      </w:r>
    </w:p>
    <w:p>
      <w:pPr>
        <w:pStyle w:val="ListNumber"/>
        <w:spacing w:after="60"/>
      </w:pPr>
      <w:r>
        <w:rPr>
          <w:rFonts w:ascii="Calibri" w:hAnsi="Calibri" w:eastAsia="Calibri"/>
          <w:b w:val="0"/>
          <w:i w:val="0"/>
          <w:color w:val="0F172A"/>
          <w:sz w:val="22"/>
        </w:rPr>
        <w:t>Saisir le courrier arrivée dans COSUD : n° registre, dates, objet, expéditeur, scan(s).</w:t>
      </w:r>
    </w:p>
    <w:p>
      <w:pPr>
        <w:pStyle w:val="ListNumber"/>
        <w:spacing w:after="60"/>
      </w:pPr>
      <w:r>
        <w:rPr>
          <w:rFonts w:ascii="Calibri" w:hAnsi="Calibri" w:eastAsia="Calibri"/>
          <w:b w:val="0"/>
          <w:i w:val="0"/>
          <w:color w:val="0F172A"/>
          <w:sz w:val="22"/>
        </w:rPr>
        <w:t>Si FACTURE : choisir le fournisseur dans le référentiel + montant + téléphone + service demandeur.</w:t>
      </w:r>
    </w:p>
    <w:p>
      <w:pPr>
        <w:pStyle w:val="ListNumber"/>
        <w:spacing w:after="60"/>
      </w:pPr>
      <w:r>
        <w:rPr>
          <w:rFonts w:ascii="Calibri" w:hAnsi="Calibri" w:eastAsia="Calibri"/>
          <w:b w:val="0"/>
          <w:i w:val="0"/>
          <w:color w:val="0F172A"/>
          <w:sz w:val="22"/>
        </w:rPr>
        <w:t>Si MAD : renseigner les champs demandés (émetteur, service, montant le cas échéant).</w:t>
      </w:r>
    </w:p>
    <w:p>
      <w:pPr>
        <w:pStyle w:val="ListNumber"/>
        <w:spacing w:after="60"/>
      </w:pPr>
      <w:r>
        <w:rPr>
          <w:rFonts w:ascii="Calibri" w:hAnsi="Calibri" w:eastAsia="Calibri"/>
          <w:b w:val="0"/>
          <w:i w:val="0"/>
          <w:color w:val="0F172A"/>
          <w:sz w:val="22"/>
        </w:rPr>
        <w:t>Cocher sur la checklist : « saisi ».</w:t>
      </w:r>
    </w:p>
    <w:p>
      <w:pPr>
        <w:spacing w:after="120"/>
      </w:pPr>
      <w:r>
        <w:rPr>
          <w:rFonts w:ascii="Calibri" w:hAnsi="Calibri" w:eastAsia="Calibri"/>
          <w:b w:val="0"/>
          <w:i/>
          <w:color w:val="0F172A"/>
          <w:sz w:val="22"/>
        </w:rPr>
        <w:t>Pendant la saisie de masse : ne pas lancer les moratoires ni forcer tout le circuit paiement (sauf consigne contraire du DG). Objectif = registre complet dans COSUD.</w:t>
      </w:r>
    </w:p>
    <w:p>
      <w:pPr>
        <w:spacing w:before="280" w:after="120"/>
      </w:pPr>
      <w:r>
        <w:rPr>
          <w:rFonts w:ascii="Calibri" w:hAnsi="Calibri" w:eastAsia="Calibri"/>
          <w:b/>
          <w:i w:val="0"/>
          <w:color w:val="00A055"/>
          <w:sz w:val="32"/>
        </w:rPr>
        <w:t>7. Planning détaillé</w:t>
      </w:r>
    </w:p>
    <w:p>
      <w:pPr>
        <w:spacing w:before="200" w:after="120"/>
      </w:pPr>
      <w:r>
        <w:rPr>
          <w:rFonts w:ascii="Calibri" w:hAnsi="Calibri" w:eastAsia="Calibri"/>
          <w:b/>
          <w:i w:val="0"/>
          <w:color w:val="0F172A"/>
          <w:sz w:val="26"/>
        </w:rPr>
        <w:t>7.1 Samedi — démarrage + volume</w:t>
      </w:r>
    </w:p>
    <w:p>
      <w:pPr>
        <w:pStyle w:val="ListBullet"/>
        <w:spacing w:after="60"/>
      </w:pPr>
      <w:r>
        <w:rPr>
          <w:rFonts w:ascii="Calibri" w:hAnsi="Calibri" w:eastAsia="Calibri"/>
          <w:b w:val="0"/>
          <w:i w:val="0"/>
          <w:color w:val="0F172A"/>
          <w:sz w:val="22"/>
        </w:rPr>
        <w:t>20–30 min : briefing commission + attribution des piles / plages de n°.</w:t>
      </w:r>
    </w:p>
    <w:p>
      <w:pPr>
        <w:pStyle w:val="ListBullet"/>
        <w:spacing w:after="60"/>
      </w:pPr>
      <w:r>
        <w:rPr>
          <w:rFonts w:ascii="Calibri" w:hAnsi="Calibri" w:eastAsia="Calibri"/>
          <w:b w:val="0"/>
          <w:i w:val="0"/>
          <w:color w:val="0F172A"/>
          <w:sz w:val="22"/>
        </w:rPr>
        <w:t>Tri registre août → 3 piles (Factures / MAD / Autres).</w:t>
      </w:r>
    </w:p>
    <w:p>
      <w:pPr>
        <w:pStyle w:val="ListBullet"/>
        <w:spacing w:after="60"/>
      </w:pPr>
      <w:r>
        <w:rPr>
          <w:rFonts w:ascii="Calibri" w:hAnsi="Calibri" w:eastAsia="Calibri"/>
          <w:b w:val="0"/>
          <w:i w:val="0"/>
          <w:color w:val="0F172A"/>
          <w:sz w:val="22"/>
        </w:rPr>
        <w:t>Ouverture checklist Excel partagée (voir § 8).</w:t>
      </w:r>
    </w:p>
    <w:p>
      <w:pPr>
        <w:pStyle w:val="ListBullet"/>
        <w:spacing w:after="60"/>
      </w:pPr>
      <w:r>
        <w:rPr>
          <w:rFonts w:ascii="Calibri" w:hAnsi="Calibri" w:eastAsia="Calibri"/>
          <w:b w:val="0"/>
          <w:i w:val="0"/>
          <w:color w:val="0F172A"/>
          <w:sz w:val="22"/>
        </w:rPr>
        <w:t>Saisie intensive (~70). Mme Taty gère le référentiel au fil de l’eau.</w:t>
      </w:r>
    </w:p>
    <w:p>
      <w:pPr>
        <w:pStyle w:val="ListBullet"/>
        <w:spacing w:after="60"/>
      </w:pPr>
      <w:r>
        <w:rPr>
          <w:rFonts w:ascii="Calibri" w:hAnsi="Calibri" w:eastAsia="Calibri"/>
          <w:b w:val="0"/>
          <w:i w:val="0"/>
          <w:color w:val="0F172A"/>
          <w:sz w:val="22"/>
        </w:rPr>
        <w:t>Fin de journée (15 min) : pointage — saisis / restants / bloqués.</w:t>
      </w:r>
    </w:p>
    <w:p>
      <w:pPr>
        <w:spacing w:before="200" w:after="120"/>
      </w:pPr>
      <w:r>
        <w:rPr>
          <w:rFonts w:ascii="Calibri" w:hAnsi="Calibri" w:eastAsia="Calibri"/>
          <w:b/>
          <w:i w:val="0"/>
          <w:color w:val="0F172A"/>
          <w:sz w:val="26"/>
        </w:rPr>
        <w:t>7.2 Dimanche — volume</w:t>
      </w:r>
    </w:p>
    <w:p>
      <w:pPr>
        <w:pStyle w:val="ListBullet"/>
        <w:spacing w:after="60"/>
      </w:pPr>
      <w:r>
        <w:rPr>
          <w:rFonts w:ascii="Calibri" w:hAnsi="Calibri" w:eastAsia="Calibri"/>
          <w:b w:val="0"/>
          <w:i w:val="0"/>
          <w:color w:val="0F172A"/>
          <w:sz w:val="22"/>
        </w:rPr>
        <w:t>Même organisation (~70).</w:t>
      </w:r>
    </w:p>
    <w:p>
      <w:pPr>
        <w:pStyle w:val="ListBullet"/>
        <w:spacing w:after="60"/>
      </w:pPr>
      <w:r>
        <w:rPr>
          <w:rFonts w:ascii="Calibri" w:hAnsi="Calibri" w:eastAsia="Calibri"/>
          <w:b w:val="0"/>
          <w:i w:val="0"/>
          <w:color w:val="0F172A"/>
          <w:sz w:val="22"/>
        </w:rPr>
        <w:t>Objectif : terminer si possible les piles Factures et MAD.</w:t>
      </w:r>
    </w:p>
    <w:p>
      <w:pPr>
        <w:pStyle w:val="ListBullet"/>
        <w:spacing w:after="60"/>
      </w:pPr>
      <w:r>
        <w:rPr>
          <w:rFonts w:ascii="Calibri" w:hAnsi="Calibri" w:eastAsia="Calibri"/>
          <w:b w:val="0"/>
          <w:i w:val="0"/>
          <w:color w:val="0F172A"/>
          <w:sz w:val="22"/>
        </w:rPr>
        <w:t>Mme Taty : rattrapage fiches + contrôle rapide des factures déjà saisies.</w:t>
      </w:r>
    </w:p>
    <w:p>
      <w:pPr>
        <w:spacing w:before="200" w:after="120"/>
      </w:pPr>
      <w:r>
        <w:rPr>
          <w:rFonts w:ascii="Calibri" w:hAnsi="Calibri" w:eastAsia="Calibri"/>
          <w:b/>
          <w:i w:val="0"/>
          <w:color w:val="0F172A"/>
          <w:sz w:val="26"/>
        </w:rPr>
        <w:t>7.3 Lundi — finition + qualité</w:t>
      </w:r>
    </w:p>
    <w:p>
      <w:pPr>
        <w:pStyle w:val="ListBullet"/>
        <w:spacing w:after="60"/>
      </w:pPr>
      <w:r>
        <w:rPr>
          <w:rFonts w:ascii="Calibri" w:hAnsi="Calibri" w:eastAsia="Calibri"/>
          <w:b w:val="0"/>
          <w:i w:val="0"/>
          <w:color w:val="0F172A"/>
          <w:sz w:val="22"/>
        </w:rPr>
        <w:t>Finir le reste (~69), surtout pile Autres.</w:t>
      </w:r>
    </w:p>
    <w:p>
      <w:pPr>
        <w:pStyle w:val="ListBullet"/>
        <w:spacing w:after="60"/>
      </w:pPr>
      <w:r>
        <w:rPr>
          <w:rFonts w:ascii="Calibri" w:hAnsi="Calibri" w:eastAsia="Calibri"/>
          <w:b w:val="0"/>
          <w:i w:val="0"/>
          <w:color w:val="0F172A"/>
          <w:sz w:val="22"/>
        </w:rPr>
        <w:t>1–2 h de contrôle croisé : n° = papier, scan présent, montant facture, fournisseur.</w:t>
      </w:r>
    </w:p>
    <w:p>
      <w:pPr>
        <w:pStyle w:val="ListBullet"/>
        <w:spacing w:after="60"/>
      </w:pPr>
      <w:r>
        <w:rPr>
          <w:rFonts w:ascii="Calibri" w:hAnsi="Calibri" w:eastAsia="Calibri"/>
          <w:b w:val="0"/>
          <w:i w:val="0"/>
          <w:color w:val="0F172A"/>
          <w:sz w:val="22"/>
        </w:rPr>
        <w:t>Si le DG exige dettes / moratoires le lundi : Mme Taty + Mme Eleni après registre factures OK ; Mme Lydia / Mme Lebanitou en appui lecture montants. Pas de moratoire avant dettes cohérentes.</w:t>
      </w:r>
    </w:p>
    <w:p>
      <w:pPr>
        <w:spacing w:before="280" w:after="120"/>
      </w:pPr>
      <w:r>
        <w:rPr>
          <w:rFonts w:ascii="Calibri" w:hAnsi="Calibri" w:eastAsia="Calibri"/>
          <w:b/>
          <w:i w:val="0"/>
          <w:color w:val="00A055"/>
          <w:sz w:val="32"/>
        </w:rPr>
        <w:t>8. Checklist Excel (colonnes recommandées)</w:t>
      </w:r>
    </w:p>
    <w:p>
      <w:pPr>
        <w:spacing w:after="120"/>
      </w:pPr>
      <w:r>
        <w:rPr>
          <w:rFonts w:ascii="Calibri" w:hAnsi="Calibri" w:eastAsia="Calibri"/>
          <w:b w:val="0"/>
          <w:i w:val="0"/>
          <w:color w:val="0F172A"/>
          <w:sz w:val="22"/>
        </w:rPr>
        <w:t>Une ligne = un courrier du registre papier d’août.</w:t>
      </w:r>
    </w:p>
    <w:tbl>
      <w:tblPr>
        <w:tblStyle w:val="TableGrid"/>
        <w:tblW w:type="auto" w:w="0"/>
        <w:tblLook w:firstColumn="1" w:firstRow="1" w:lastColumn="0" w:lastRow="0" w:noHBand="0" w:noVBand="1" w:val="04A0"/>
      </w:tblPr>
      <w:tblGrid>
        <w:gridCol w:w="4840"/>
        <w:gridCol w:w="4840"/>
      </w:tblGrid>
      <w:tr>
        <w:tc>
          <w:tcPr>
            <w:tcW w:type="dxa" w:w="4840"/>
            <w:shd w:fill="06A269" w:val="clear"/>
          </w:tcPr>
          <w:p>
            <w:r/>
            <w:r>
              <w:rPr>
                <w:rFonts w:ascii="Calibri" w:hAnsi="Calibri" w:eastAsia="Calibri"/>
                <w:b/>
                <w:i w:val="0"/>
                <w:color w:val="FFFFFF"/>
                <w:sz w:val="20"/>
              </w:rPr>
              <w:t>Colonne</w:t>
            </w:r>
          </w:p>
        </w:tc>
        <w:tc>
          <w:tcPr>
            <w:tcW w:type="dxa" w:w="4840"/>
            <w:shd w:fill="06A269" w:val="clear"/>
          </w:tcPr>
          <w:p>
            <w:r/>
            <w:r>
              <w:rPr>
                <w:rFonts w:ascii="Calibri" w:hAnsi="Calibri" w:eastAsia="Calibri"/>
                <w:b/>
                <w:i w:val="0"/>
                <w:color w:val="FFFFFF"/>
                <w:sz w:val="20"/>
              </w:rPr>
              <w:t>Utilité</w:t>
            </w:r>
          </w:p>
        </w:tc>
      </w:tr>
      <w:tr>
        <w:tc>
          <w:tcPr>
            <w:tcW w:type="dxa" w:w="4840"/>
          </w:tcPr>
          <w:p>
            <w:r/>
            <w:r>
              <w:rPr>
                <w:rFonts w:ascii="Calibri" w:hAnsi="Calibri" w:eastAsia="Calibri"/>
                <w:b w:val="0"/>
                <w:i w:val="0"/>
                <w:color w:val="0F172A"/>
                <w:sz w:val="20"/>
              </w:rPr>
              <w:t>N° registre</w:t>
            </w:r>
          </w:p>
        </w:tc>
        <w:tc>
          <w:tcPr>
            <w:tcW w:type="dxa" w:w="4840"/>
          </w:tcPr>
          <w:p>
            <w:r/>
            <w:r>
              <w:rPr>
                <w:rFonts w:ascii="Calibri" w:hAnsi="Calibri" w:eastAsia="Calibri"/>
                <w:b w:val="0"/>
                <w:i w:val="0"/>
                <w:color w:val="0F172A"/>
                <w:sz w:val="20"/>
              </w:rPr>
              <w:t>Identifiant papier / COSUD</w:t>
            </w:r>
          </w:p>
        </w:tc>
      </w:tr>
      <w:tr>
        <w:tc>
          <w:tcPr>
            <w:tcW w:type="dxa" w:w="4840"/>
            <w:shd w:fill="F1F5F9" w:val="clear"/>
          </w:tcPr>
          <w:p>
            <w:r/>
            <w:r>
              <w:rPr>
                <w:rFonts w:ascii="Calibri" w:hAnsi="Calibri" w:eastAsia="Calibri"/>
                <w:b w:val="0"/>
                <w:i w:val="0"/>
                <w:color w:val="0F172A"/>
                <w:sz w:val="20"/>
              </w:rPr>
              <w:t>Date réception</w:t>
            </w:r>
          </w:p>
        </w:tc>
        <w:tc>
          <w:tcPr>
            <w:tcW w:type="dxa" w:w="4840"/>
            <w:shd w:fill="F1F5F9" w:val="clear"/>
          </w:tcPr>
          <w:p>
            <w:r/>
            <w:r>
              <w:rPr>
                <w:rFonts w:ascii="Calibri" w:hAnsi="Calibri" w:eastAsia="Calibri"/>
                <w:b w:val="0"/>
                <w:i w:val="0"/>
                <w:color w:val="0F172A"/>
                <w:sz w:val="20"/>
              </w:rPr>
              <w:t>Contrôle</w:t>
            </w:r>
          </w:p>
        </w:tc>
      </w:tr>
      <w:tr>
        <w:tc>
          <w:tcPr>
            <w:tcW w:type="dxa" w:w="4840"/>
          </w:tcPr>
          <w:p>
            <w:r/>
            <w:r>
              <w:rPr>
                <w:rFonts w:ascii="Calibri" w:hAnsi="Calibri" w:eastAsia="Calibri"/>
                <w:b w:val="0"/>
                <w:i w:val="0"/>
                <w:color w:val="0F172A"/>
                <w:sz w:val="20"/>
              </w:rPr>
              <w:t>Type</w:t>
            </w:r>
          </w:p>
        </w:tc>
        <w:tc>
          <w:tcPr>
            <w:tcW w:type="dxa" w:w="4840"/>
          </w:tcPr>
          <w:p>
            <w:r/>
            <w:r>
              <w:rPr>
                <w:rFonts w:ascii="Calibri" w:hAnsi="Calibri" w:eastAsia="Calibri"/>
                <w:b w:val="0"/>
                <w:i w:val="0"/>
                <w:color w:val="0F172A"/>
                <w:sz w:val="20"/>
              </w:rPr>
              <w:t>facture / MAD / autre</w:t>
            </w:r>
          </w:p>
        </w:tc>
      </w:tr>
      <w:tr>
        <w:tc>
          <w:tcPr>
            <w:tcW w:type="dxa" w:w="4840"/>
            <w:shd w:fill="F1F5F9" w:val="clear"/>
          </w:tcPr>
          <w:p>
            <w:r/>
            <w:r>
              <w:rPr>
                <w:rFonts w:ascii="Calibri" w:hAnsi="Calibri" w:eastAsia="Calibri"/>
                <w:b w:val="0"/>
                <w:i w:val="0"/>
                <w:color w:val="0F172A"/>
                <w:sz w:val="20"/>
              </w:rPr>
              <w:t>Expéditeur / fournisseur</w:t>
            </w:r>
          </w:p>
        </w:tc>
        <w:tc>
          <w:tcPr>
            <w:tcW w:type="dxa" w:w="4840"/>
            <w:shd w:fill="F1F5F9" w:val="clear"/>
          </w:tcPr>
          <w:p>
            <w:r/>
            <w:r>
              <w:rPr>
                <w:rFonts w:ascii="Calibri" w:hAnsi="Calibri" w:eastAsia="Calibri"/>
                <w:b w:val="0"/>
                <w:i w:val="0"/>
                <w:color w:val="0F172A"/>
                <w:sz w:val="20"/>
              </w:rPr>
              <w:t>Libellé</w:t>
            </w:r>
          </w:p>
        </w:tc>
      </w:tr>
      <w:tr>
        <w:tc>
          <w:tcPr>
            <w:tcW w:type="dxa" w:w="4840"/>
          </w:tcPr>
          <w:p>
            <w:r/>
            <w:r>
              <w:rPr>
                <w:rFonts w:ascii="Calibri" w:hAnsi="Calibri" w:eastAsia="Calibri"/>
                <w:b w:val="0"/>
                <w:i w:val="0"/>
                <w:color w:val="0F172A"/>
                <w:sz w:val="20"/>
              </w:rPr>
              <w:t>Objet</w:t>
            </w:r>
          </w:p>
        </w:tc>
        <w:tc>
          <w:tcPr>
            <w:tcW w:type="dxa" w:w="4840"/>
          </w:tcPr>
          <w:p>
            <w:r/>
            <w:r>
              <w:rPr>
                <w:rFonts w:ascii="Calibri" w:hAnsi="Calibri" w:eastAsia="Calibri"/>
                <w:b w:val="0"/>
                <w:i w:val="0"/>
                <w:color w:val="0F172A"/>
                <w:sz w:val="20"/>
              </w:rPr>
              <w:t>Résumé</w:t>
            </w:r>
          </w:p>
        </w:tc>
      </w:tr>
      <w:tr>
        <w:tc>
          <w:tcPr>
            <w:tcW w:type="dxa" w:w="4840"/>
            <w:shd w:fill="F1F5F9" w:val="clear"/>
          </w:tcPr>
          <w:p>
            <w:r/>
            <w:r>
              <w:rPr>
                <w:rFonts w:ascii="Calibri" w:hAnsi="Calibri" w:eastAsia="Calibri"/>
                <w:b w:val="0"/>
                <w:i w:val="0"/>
                <w:color w:val="0F172A"/>
                <w:sz w:val="20"/>
              </w:rPr>
              <w:t>Montant</w:t>
            </w:r>
          </w:p>
        </w:tc>
        <w:tc>
          <w:tcPr>
            <w:tcW w:type="dxa" w:w="4840"/>
            <w:shd w:fill="F1F5F9" w:val="clear"/>
          </w:tcPr>
          <w:p>
            <w:r/>
            <w:r>
              <w:rPr>
                <w:rFonts w:ascii="Calibri" w:hAnsi="Calibri" w:eastAsia="Calibri"/>
                <w:b w:val="0"/>
                <w:i w:val="0"/>
                <w:color w:val="0F172A"/>
                <w:sz w:val="20"/>
              </w:rPr>
              <w:t>Obligatoire si facture</w:t>
            </w:r>
          </w:p>
        </w:tc>
      </w:tr>
      <w:tr>
        <w:tc>
          <w:tcPr>
            <w:tcW w:type="dxa" w:w="4840"/>
          </w:tcPr>
          <w:p>
            <w:r/>
            <w:r>
              <w:rPr>
                <w:rFonts w:ascii="Calibri" w:hAnsi="Calibri" w:eastAsia="Calibri"/>
                <w:b w:val="0"/>
                <w:i w:val="0"/>
                <w:color w:val="0F172A"/>
                <w:sz w:val="20"/>
              </w:rPr>
              <w:t>Téléphone</w:t>
            </w:r>
          </w:p>
        </w:tc>
        <w:tc>
          <w:tcPr>
            <w:tcW w:type="dxa" w:w="4840"/>
          </w:tcPr>
          <w:p>
            <w:r/>
            <w:r>
              <w:rPr>
                <w:rFonts w:ascii="Calibri" w:hAnsi="Calibri" w:eastAsia="Calibri"/>
                <w:b w:val="0"/>
                <w:i w:val="0"/>
                <w:color w:val="0F172A"/>
                <w:sz w:val="20"/>
              </w:rPr>
              <w:t>Obligatoire facture / demande (SMS)</w:t>
            </w:r>
          </w:p>
        </w:tc>
      </w:tr>
      <w:tr>
        <w:tc>
          <w:tcPr>
            <w:tcW w:type="dxa" w:w="4840"/>
            <w:shd w:fill="F1F5F9" w:val="clear"/>
          </w:tcPr>
          <w:p>
            <w:r/>
            <w:r>
              <w:rPr>
                <w:rFonts w:ascii="Calibri" w:hAnsi="Calibri" w:eastAsia="Calibri"/>
                <w:b w:val="0"/>
                <w:i w:val="0"/>
                <w:color w:val="0F172A"/>
                <w:sz w:val="20"/>
              </w:rPr>
              <w:t>Payé ? / Reliquat ?</w:t>
            </w:r>
          </w:p>
        </w:tc>
        <w:tc>
          <w:tcPr>
            <w:tcW w:type="dxa" w:w="4840"/>
            <w:shd w:fill="F1F5F9" w:val="clear"/>
          </w:tcPr>
          <w:p>
            <w:r/>
            <w:r>
              <w:rPr>
                <w:rFonts w:ascii="Calibri" w:hAnsi="Calibri" w:eastAsia="Calibri"/>
                <w:b w:val="0"/>
                <w:i w:val="0"/>
                <w:color w:val="0F172A"/>
                <w:sz w:val="20"/>
              </w:rPr>
              <w:t>Aide dettes après saisie</w:t>
            </w:r>
          </w:p>
        </w:tc>
      </w:tr>
      <w:tr>
        <w:tc>
          <w:tcPr>
            <w:tcW w:type="dxa" w:w="4840"/>
          </w:tcPr>
          <w:p>
            <w:r/>
            <w:r>
              <w:rPr>
                <w:rFonts w:ascii="Calibri" w:hAnsi="Calibri" w:eastAsia="Calibri"/>
                <w:b w:val="0"/>
                <w:i w:val="0"/>
                <w:color w:val="0F172A"/>
                <w:sz w:val="20"/>
              </w:rPr>
              <w:t>Scan OK</w:t>
            </w:r>
          </w:p>
        </w:tc>
        <w:tc>
          <w:tcPr>
            <w:tcW w:type="dxa" w:w="4840"/>
          </w:tcPr>
          <w:p>
            <w:r/>
            <w:r>
              <w:rPr>
                <w:rFonts w:ascii="Calibri" w:hAnsi="Calibri" w:eastAsia="Calibri"/>
                <w:b w:val="0"/>
                <w:i w:val="0"/>
                <w:color w:val="0F172A"/>
                <w:sz w:val="20"/>
              </w:rPr>
              <w:t>Oui / Non</w:t>
            </w:r>
          </w:p>
        </w:tc>
      </w:tr>
      <w:tr>
        <w:tc>
          <w:tcPr>
            <w:tcW w:type="dxa" w:w="4840"/>
            <w:shd w:fill="F1F5F9" w:val="clear"/>
          </w:tcPr>
          <w:p>
            <w:r/>
            <w:r>
              <w:rPr>
                <w:rFonts w:ascii="Calibri" w:hAnsi="Calibri" w:eastAsia="Calibri"/>
                <w:b w:val="0"/>
                <w:i w:val="0"/>
                <w:color w:val="0F172A"/>
                <w:sz w:val="20"/>
              </w:rPr>
              <w:t>Secrétaire</w:t>
            </w:r>
          </w:p>
        </w:tc>
        <w:tc>
          <w:tcPr>
            <w:tcW w:type="dxa" w:w="4840"/>
            <w:shd w:fill="F1F5F9" w:val="clear"/>
          </w:tcPr>
          <w:p>
            <w:r/>
            <w:r>
              <w:rPr>
                <w:rFonts w:ascii="Calibri" w:hAnsi="Calibri" w:eastAsia="Calibri"/>
                <w:b w:val="0"/>
                <w:i w:val="0"/>
                <w:color w:val="0F172A"/>
                <w:sz w:val="20"/>
              </w:rPr>
              <w:t>Qui saisit</w:t>
            </w:r>
          </w:p>
        </w:tc>
      </w:tr>
      <w:tr>
        <w:tc>
          <w:tcPr>
            <w:tcW w:type="dxa" w:w="4840"/>
          </w:tcPr>
          <w:p>
            <w:r/>
            <w:r>
              <w:rPr>
                <w:rFonts w:ascii="Calibri" w:hAnsi="Calibri" w:eastAsia="Calibri"/>
                <w:b w:val="0"/>
                <w:i w:val="0"/>
                <w:color w:val="0F172A"/>
                <w:sz w:val="20"/>
              </w:rPr>
              <w:t>Statut COSUD</w:t>
            </w:r>
          </w:p>
        </w:tc>
        <w:tc>
          <w:tcPr>
            <w:tcW w:type="dxa" w:w="4840"/>
          </w:tcPr>
          <w:p>
            <w:r/>
            <w:r>
              <w:rPr>
                <w:rFonts w:ascii="Calibri" w:hAnsi="Calibri" w:eastAsia="Calibri"/>
                <w:b w:val="0"/>
                <w:i w:val="0"/>
                <w:color w:val="0F172A"/>
                <w:sz w:val="20"/>
              </w:rPr>
              <w:t>à saisir → saisi → contrôlé</w:t>
            </w:r>
          </w:p>
        </w:tc>
      </w:tr>
      <w:tr>
        <w:tc>
          <w:tcPr>
            <w:tcW w:type="dxa" w:w="4840"/>
            <w:shd w:fill="F1F5F9" w:val="clear"/>
          </w:tcPr>
          <w:p>
            <w:r/>
            <w:r>
              <w:rPr>
                <w:rFonts w:ascii="Calibri" w:hAnsi="Calibri" w:eastAsia="Calibri"/>
                <w:b w:val="0"/>
                <w:i w:val="0"/>
                <w:color w:val="0F172A"/>
                <w:sz w:val="20"/>
              </w:rPr>
              <w:t>Bloquant</w:t>
            </w:r>
          </w:p>
        </w:tc>
        <w:tc>
          <w:tcPr>
            <w:tcW w:type="dxa" w:w="4840"/>
            <w:shd w:fill="F1F5F9" w:val="clear"/>
          </w:tcPr>
          <w:p>
            <w:r/>
            <w:r>
              <w:rPr>
                <w:rFonts w:ascii="Calibri" w:hAnsi="Calibri" w:eastAsia="Calibri"/>
                <w:b w:val="0"/>
                <w:i w:val="0"/>
                <w:color w:val="0F172A"/>
                <w:sz w:val="20"/>
              </w:rPr>
              <w:t>ex. fournisseur absent, scan manquant</w:t>
            </w:r>
          </w:p>
        </w:tc>
      </w:tr>
    </w:tbl>
    <w:p/>
    <w:p>
      <w:pPr>
        <w:spacing w:before="280" w:after="120"/>
      </w:pPr>
      <w:r>
        <w:rPr>
          <w:rFonts w:ascii="Calibri" w:hAnsi="Calibri" w:eastAsia="Calibri"/>
          <w:b/>
          <w:i w:val="0"/>
          <w:color w:val="00A055"/>
          <w:sz w:val="32"/>
        </w:rPr>
        <w:t>9. Dettes et moratoires (après le registre)</w:t>
      </w:r>
    </w:p>
    <w:p>
      <w:pPr>
        <w:spacing w:after="120"/>
      </w:pPr>
      <w:r>
        <w:rPr>
          <w:rFonts w:ascii="Calibri" w:hAnsi="Calibri" w:eastAsia="Calibri"/>
          <w:b w:val="0"/>
          <w:i w:val="0"/>
          <w:color w:val="0F172A"/>
          <w:sz w:val="22"/>
        </w:rPr>
        <w:t>Les modules dettes et moratoires s’appuient sur les factures saisies. Ordre obligatoire :</w:t>
      </w:r>
    </w:p>
    <w:p>
      <w:pPr>
        <w:pStyle w:val="ListNumber"/>
        <w:spacing w:after="60"/>
      </w:pPr>
      <w:r>
        <w:rPr>
          <w:rFonts w:ascii="Calibri" w:hAnsi="Calibri" w:eastAsia="Calibri"/>
          <w:b w:val="0"/>
          <w:i w:val="0"/>
          <w:color w:val="0F172A"/>
          <w:sz w:val="22"/>
        </w:rPr>
        <w:t>Terminer la saisie des factures d’août.</w:t>
      </w:r>
    </w:p>
    <w:p>
      <w:pPr>
        <w:pStyle w:val="ListNumber"/>
        <w:spacing w:after="60"/>
      </w:pPr>
      <w:r>
        <w:rPr>
          <w:rFonts w:ascii="Calibri" w:hAnsi="Calibri" w:eastAsia="Calibri"/>
          <w:b w:val="0"/>
          <w:i w:val="0"/>
          <w:color w:val="0F172A"/>
          <w:sz w:val="22"/>
        </w:rPr>
        <w:t>Vérifier le cumul des dettes (Mme Taty — suivi factures / dettes).</w:t>
      </w:r>
    </w:p>
    <w:p>
      <w:pPr>
        <w:pStyle w:val="ListNumber"/>
        <w:spacing w:after="60"/>
      </w:pPr>
      <w:r>
        <w:rPr>
          <w:rFonts w:ascii="Calibri" w:hAnsi="Calibri" w:eastAsia="Calibri"/>
          <w:b w:val="0"/>
          <w:i w:val="0"/>
          <w:color w:val="0F172A"/>
          <w:sz w:val="22"/>
        </w:rPr>
        <w:t>Créer les plans de moratoire uniquement pour les fournisseurs avec dette &gt; 0 (instruction DG, échéances) — Mme Taty / circuit DG selon procédures COSUD.</w:t>
      </w:r>
    </w:p>
    <w:p>
      <w:pPr>
        <w:spacing w:after="120"/>
      </w:pPr>
      <w:r>
        <w:rPr>
          <w:rFonts w:ascii="Calibri" w:hAnsi="Calibri" w:eastAsia="Calibri"/>
          <w:b/>
          <w:i w:val="0"/>
          <w:color w:val="0F172A"/>
          <w:sz w:val="22"/>
        </w:rPr>
        <w:t>Ne pas créer de moratoire pendant que les 209 ne sont pas encore dans COSUD : risque de dette fausse.</w:t>
      </w:r>
    </w:p>
    <w:p>
      <w:pPr>
        <w:spacing w:before="280" w:after="120"/>
      </w:pPr>
      <w:r>
        <w:rPr>
          <w:rFonts w:ascii="Calibri" w:hAnsi="Calibri" w:eastAsia="Calibri"/>
          <w:b/>
          <w:i w:val="0"/>
          <w:color w:val="00A055"/>
          <w:sz w:val="32"/>
        </w:rPr>
        <w:t>10. Message à lire à la commission (samedi)</w:t>
      </w:r>
    </w:p>
    <w:p>
      <w:pPr>
        <w:spacing w:after="120"/>
      </w:pPr>
      <w:r>
        <w:rPr>
          <w:rFonts w:ascii="Calibri" w:hAnsi="Calibri" w:eastAsia="Calibri"/>
          <w:b w:val="0"/>
          <w:i/>
          <w:color w:val="0F172A"/>
          <w:sz w:val="22"/>
        </w:rPr>
        <w:t>« Nous avons 3 jours pour saisir les 209 arrivées d’août, tous types. Chacun a sa pile : Taty = factures + référentiel ; Eleni = MAD ; Mireille = les autres courriers ; Lydia et Lebanitou = renfort factures/MAD. Scan obligatoire. Pour une facture, le fournisseur se choisit dans le référentiel, pas en saisie libre. On ne crée pas les moratoires pendant la saisie : d’abord le registre complet dans COSUD. »</w:t>
      </w:r>
    </w:p>
    <w:p>
      <w:pPr>
        <w:spacing w:before="280" w:after="120"/>
      </w:pPr>
      <w:r>
        <w:rPr>
          <w:rFonts w:ascii="Calibri" w:hAnsi="Calibri" w:eastAsia="Calibri"/>
          <w:b/>
          <w:i w:val="0"/>
          <w:color w:val="00A055"/>
          <w:sz w:val="32"/>
        </w:rPr>
        <w:t>11. Points d’attention</w:t>
      </w:r>
    </w:p>
    <w:p>
      <w:pPr>
        <w:pStyle w:val="ListBullet"/>
        <w:spacing w:after="60"/>
      </w:pPr>
      <w:r>
        <w:rPr>
          <w:rFonts w:ascii="Calibri" w:hAnsi="Calibri" w:eastAsia="Calibri"/>
          <w:b w:val="0"/>
          <w:i w:val="0"/>
          <w:color w:val="0F172A"/>
          <w:sz w:val="22"/>
        </w:rPr>
        <w:t>Doublons de n° registre : COSUD refuse — respecter les plages.</w:t>
      </w:r>
    </w:p>
    <w:p>
      <w:pPr>
        <w:pStyle w:val="ListBullet"/>
        <w:spacing w:after="60"/>
      </w:pPr>
      <w:r>
        <w:rPr>
          <w:rFonts w:ascii="Calibri" w:hAnsi="Calibri" w:eastAsia="Calibri"/>
          <w:b w:val="0"/>
          <w:i w:val="0"/>
          <w:color w:val="0F172A"/>
          <w:sz w:val="22"/>
        </w:rPr>
        <w:t>Facture sans fiche référentiel : bloqué jusqu’à création par Mme Taty.</w:t>
      </w:r>
    </w:p>
    <w:p>
      <w:pPr>
        <w:pStyle w:val="ListBullet"/>
        <w:spacing w:after="60"/>
      </w:pPr>
      <w:r>
        <w:rPr>
          <w:rFonts w:ascii="Calibri" w:hAnsi="Calibri" w:eastAsia="Calibri"/>
          <w:b w:val="0"/>
          <w:i w:val="0"/>
          <w:color w:val="0F172A"/>
          <w:sz w:val="22"/>
        </w:rPr>
        <w:t>Téléphone obligatoire sur facture / demande (notifications SMS possibles).</w:t>
      </w:r>
    </w:p>
    <w:p>
      <w:pPr>
        <w:pStyle w:val="ListBullet"/>
        <w:spacing w:after="60"/>
      </w:pPr>
      <w:r>
        <w:rPr>
          <w:rFonts w:ascii="Calibri" w:hAnsi="Calibri" w:eastAsia="Calibri"/>
          <w:b w:val="0"/>
          <w:i w:val="0"/>
          <w:color w:val="0F172A"/>
          <w:sz w:val="22"/>
        </w:rPr>
        <w:t>Factures déjà soldées : saisir pour le registre ; ne pas les compter en dette ouverte sans consigne métier claire.</w:t>
      </w:r>
    </w:p>
    <w:p>
      <w:pPr>
        <w:pStyle w:val="ListBullet"/>
        <w:spacing w:after="60"/>
      </w:pPr>
      <w:r>
        <w:rPr>
          <w:rFonts w:ascii="Calibri" w:hAnsi="Calibri" w:eastAsia="Calibri"/>
          <w:b w:val="0"/>
          <w:i w:val="0"/>
          <w:color w:val="0F172A"/>
          <w:sz w:val="22"/>
        </w:rPr>
        <w:t>Contrôle qualité lundi : échantillon minimum 1 courrier sur 10.</w:t>
      </w:r>
    </w:p>
    <w:p>
      <w:pPr>
        <w:spacing w:before="280" w:after="120"/>
      </w:pPr>
      <w:r>
        <w:rPr>
          <w:rFonts w:ascii="Calibri" w:hAnsi="Calibri" w:eastAsia="Calibri"/>
          <w:b/>
          <w:i w:val="0"/>
          <w:color w:val="00A055"/>
          <w:sz w:val="32"/>
        </w:rPr>
        <w:t>12. Résultat attendu en fin de lundi</w:t>
      </w:r>
    </w:p>
    <w:p>
      <w:pPr>
        <w:pStyle w:val="ListBullet"/>
        <w:spacing w:after="60"/>
      </w:pPr>
      <w:r>
        <w:rPr>
          <w:rFonts w:ascii="Calibri" w:hAnsi="Calibri" w:eastAsia="Calibri"/>
          <w:b w:val="0"/>
          <w:i w:val="0"/>
          <w:color w:val="0F172A"/>
          <w:sz w:val="22"/>
        </w:rPr>
        <w:t>209 courriers d’août présents dans le registre d’arrivée COSUD.</w:t>
      </w:r>
    </w:p>
    <w:p>
      <w:pPr>
        <w:pStyle w:val="ListBullet"/>
        <w:spacing w:after="60"/>
      </w:pPr>
      <w:r>
        <w:rPr>
          <w:rFonts w:ascii="Calibri" w:hAnsi="Calibri" w:eastAsia="Calibri"/>
          <w:b w:val="0"/>
          <w:i w:val="0"/>
          <w:color w:val="0F172A"/>
          <w:sz w:val="22"/>
        </w:rPr>
        <w:t>Factures liées au référentiel fournisseurs / prestataires.</w:t>
      </w:r>
    </w:p>
    <w:p>
      <w:pPr>
        <w:pStyle w:val="ListBullet"/>
        <w:spacing w:after="60"/>
      </w:pPr>
      <w:r>
        <w:rPr>
          <w:rFonts w:ascii="Calibri" w:hAnsi="Calibri" w:eastAsia="Calibri"/>
          <w:b w:val="0"/>
          <w:i w:val="0"/>
          <w:color w:val="0F172A"/>
          <w:sz w:val="22"/>
        </w:rPr>
        <w:t>Checklist Excel à jour (statut « saisi » / « contrôlé »).</w:t>
      </w:r>
    </w:p>
    <w:p>
      <w:pPr>
        <w:pStyle w:val="ListBullet"/>
        <w:spacing w:after="60"/>
      </w:pPr>
      <w:r>
        <w:rPr>
          <w:rFonts w:ascii="Calibri" w:hAnsi="Calibri" w:eastAsia="Calibri"/>
          <w:b w:val="0"/>
          <w:i w:val="0"/>
          <w:color w:val="0F172A"/>
          <w:sz w:val="22"/>
        </w:rPr>
        <w:t>Liste des éventuels restes / bloquants pour J+1 (scans manquants, etc.).</w:t>
      </w:r>
    </w:p>
    <w:p>
      <w:pPr>
        <w:pStyle w:val="ListBullet"/>
        <w:spacing w:after="60"/>
      </w:pPr>
      <w:r>
        <w:rPr>
          <w:rFonts w:ascii="Calibri" w:hAnsi="Calibri" w:eastAsia="Calibri"/>
          <w:b w:val="0"/>
          <w:i w:val="0"/>
          <w:color w:val="0F172A"/>
          <w:sz w:val="22"/>
        </w:rPr>
        <w:t>Base prête pour analyse dettes puis moratoires.</w:t>
      </w:r>
    </w:p>
    <w:p>
      <w:pPr>
        <w:spacing w:before="360"/>
      </w:pPr>
      <w:r>
        <w:rPr>
          <w:rFonts w:ascii="Calibri" w:hAnsi="Calibri" w:eastAsia="Calibri"/>
          <w:b w:val="0"/>
          <w:i/>
          <w:color w:val="475569"/>
          <w:sz w:val="18"/>
        </w:rPr>
        <w:t>Document COSUD / ACSI — Programme opérationnel de reprise registre août — Commission DG.</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