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1F4E79"/>
          <w:sz w:val="36"/>
          <w:szCs w:val="36"/>
        </w:rPr>
        <w:t xml:space="preserve">Visitor Registration System</w:t>
      </w:r>
    </w:p>
    <w:p>
      <w:pPr>
        <w:pBdr>
          <w:bottom w:val="single" w:color="1F4E79" w:sz="16" w:space="6"/>
        </w:pBdr>
        <w:spacing w:after="200" w:before="0"/>
      </w:pPr>
      <w:r>
        <w:rPr>
          <w:rFonts w:ascii="Calibri" w:cs="Calibri" w:eastAsia="Calibri" w:hAnsi="Calibri"/>
          <w:b/>
          <w:bCs/>
          <w:i w:val="false"/>
          <w:iCs w:val="false"/>
          <w:color w:val="1F4E79"/>
          <w:sz w:val="36"/>
          <w:szCs w:val="36"/>
        </w:rPr>
        <w:t xml:space="preserve">Infrastructure</w:t>
      </w:r>
    </w:p>
    <w:p>
      <w:pPr>
        <w:spacing w:after="200" w:before="0" w:line="276"/>
      </w:pPr>
      <w:r>
        <w:rPr>
          <w:rFonts w:ascii="Calibri" w:cs="Calibri" w:eastAsia="Calibri" w:hAnsi="Calibri"/>
          <w:b w:val="false"/>
          <w:bCs w:val="false"/>
          <w:i/>
          <w:iCs/>
          <w:color w:val="444444"/>
          <w:sz w:val="22"/>
          <w:szCs w:val="22"/>
        </w:rPr>
        <w:t xml:space="preserve">Status: Draft for confirmation. One VM. UAT is promoted to production on that VM.</w:t>
      </w:r>
    </w:p>
    <w:p>
      <w:pPr>
        <w:spacing w:after="160" w:before="0" w:line="276"/>
      </w:pPr>
      <w:r>
        <w:rPr>
          <w:rFonts w:ascii="Calibri" w:cs="Calibri" w:eastAsia="Calibri" w:hAnsi="Calibri"/>
          <w:b w:val="false"/>
          <w:bCs w:val="false"/>
          <w:i w:val="false"/>
          <w:iCs w:val="false"/>
          <w:color w:val="222222"/>
          <w:sz w:val="22"/>
          <w:szCs w:val="22"/>
        </w:rPr>
        <w:t xml:space="preserve">This document is the hosting request for the Visitor Registration System (VRS). It replaces the earlier confirmation that asked for one UAT VM and one production VM. The application behaviour is in the VRS project planning document. This document covers the machine, the network, mail, and the promotion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Item</w:t>
            </w:r>
          </w:p>
        </w:tc>
        <w:tc>
          <w:tcPr>
            <w:tcW w:type="dxa" w:w="6838"/>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Content</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System</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Visitor Registration System (VRS)</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Machines</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1 Windows Server VM</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Lifecycle</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Commissioned as UAT, then promoted to production on the same VM</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Public page</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Guest pre-registration page</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Web proxy</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Nginx on the VM</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Database</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On this VM, files on D:</w:t>
            </w:r>
          </w:p>
        </w:tc>
      </w:tr>
    </w:tbl>
    <w:p>
      <w:pPr>
        <w:pStyle w:val="Heading1"/>
        <w:pBdr>
          <w:bottom w:val="single" w:color="1F4E79" w:sz="8" w:space="1"/>
        </w:pBdr>
        <w:spacing w:after="160" w:before="360"/>
      </w:pPr>
      <w:r>
        <w:rPr>
          <w:rFonts w:ascii="Calibri" w:cs="Calibri" w:eastAsia="Calibri" w:hAnsi="Calibri"/>
          <w:b/>
          <w:bCs/>
          <w:i w:val="false"/>
          <w:iCs w:val="false"/>
          <w:color w:val="1F4E79"/>
          <w:sz w:val="28"/>
          <w:szCs w:val="28"/>
        </w:rPr>
        <w:t xml:space="preserve">1. Decision</w:t>
      </w:r>
    </w:p>
    <w:p>
      <w:pPr>
        <w:spacing w:after="160" w:before="0" w:line="276"/>
      </w:pPr>
      <w:r>
        <w:rPr>
          <w:rFonts w:ascii="Calibri" w:cs="Calibri" w:eastAsia="Calibri" w:hAnsi="Calibri"/>
          <w:b w:val="false"/>
          <w:bCs w:val="false"/>
          <w:i w:val="false"/>
          <w:iCs w:val="false"/>
          <w:color w:val="222222"/>
          <w:sz w:val="22"/>
          <w:szCs w:val="22"/>
        </w:rPr>
        <w:t xml:space="preserve">One VM is available. It is built and accepted as UAT. When UAT is accepted, that same VM is promoted to production.</w:t>
      </w:r>
    </w:p>
    <w:p>
      <w:pPr>
        <w:spacing w:after="160" w:before="0" w:line="276"/>
      </w:pPr>
      <w:r>
        <w:rPr>
          <w:rFonts w:ascii="Calibri" w:cs="Calibri" w:eastAsia="Calibri" w:hAnsi="Calibri"/>
          <w:b w:val="false"/>
          <w:bCs w:val="false"/>
          <w:i w:val="false"/>
          <w:iCs w:val="false"/>
          <w:color w:val="222222"/>
          <w:sz w:val="22"/>
          <w:szCs w:val="22"/>
        </w:rPr>
        <w:t xml:space="preserve">The specification in section 2 does not change at promotion. What changes is exposure, the mailbox, the rate limit, and the certificate, as listed in section 4. UAT data is removed before the VM is treated as production.</w:t>
      </w:r>
    </w:p>
    <w:p>
      <w:pPr>
        <w:spacing w:after="160" w:before="0" w:line="276"/>
      </w:pPr>
      <w:r>
        <w:rPr>
          <w:rFonts w:ascii="Calibri" w:cs="Calibri" w:eastAsia="Calibri" w:hAnsi="Calibri"/>
          <w:b w:val="false"/>
          <w:bCs w:val="false"/>
          <w:i w:val="false"/>
          <w:iCs w:val="false"/>
          <w:color w:val="222222"/>
          <w:sz w:val="22"/>
          <w:szCs w:val="22"/>
        </w:rPr>
        <w:t xml:space="preserve">After promotion there is no separate UAT machine. Later fixes are applied to this VM.</w:t>
      </w:r>
    </w:p>
    <w:p>
      <w:pPr>
        <w:pStyle w:val="Heading1"/>
        <w:pBdr>
          <w:bottom w:val="single" w:color="1F4E79" w:sz="8" w:space="1"/>
        </w:pBdr>
        <w:spacing w:after="160" w:before="360"/>
      </w:pPr>
      <w:r>
        <w:rPr>
          <w:rFonts w:ascii="Calibri" w:cs="Calibri" w:eastAsia="Calibri" w:hAnsi="Calibri"/>
          <w:b/>
          <w:bCs/>
          <w:i w:val="false"/>
          <w:iCs w:val="false"/>
          <w:color w:val="1F4E79"/>
          <w:sz w:val="28"/>
          <w:szCs w:val="28"/>
        </w:rPr>
        <w:t xml:space="preserve">2. VM specification</w:t>
      </w:r>
    </w:p>
    <w:p>
      <w:pPr>
        <w:spacing w:after="160" w:before="0" w:line="276"/>
      </w:pPr>
      <w:r>
        <w:rPr>
          <w:rFonts w:ascii="Calibri" w:cs="Calibri" w:eastAsia="Calibri" w:hAnsi="Calibri"/>
          <w:b w:val="false"/>
          <w:bCs w:val="false"/>
          <w:i w:val="false"/>
          <w:iCs w:val="false"/>
          <w:color w:val="222222"/>
          <w:sz w:val="22"/>
          <w:szCs w:val="22"/>
        </w:rPr>
        <w:t xml:space="preserve">These values apply in UAT and remain after promotion.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Item</w:t>
            </w:r>
          </w:p>
        </w:tc>
        <w:tc>
          <w:tcPr>
            <w:tcW w:type="dxa" w:w="6838"/>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Value</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VM count</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1</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OS</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Windows Server</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vCPU</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4</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RAM</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8 GB</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C: system</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100 GB</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D: database and logs</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50 GB</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Web proxy</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Nginx on the VM</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Database</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On this VM, files on D:</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Outbound mail</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TCP 587 to the company SMTP relay</w:t>
            </w:r>
          </w:p>
        </w:tc>
      </w:tr>
    </w:tbl>
    <w:p>
      <w:pPr>
        <w:spacing w:after="80" w:before="0"/>
      </w:pPr>
    </w:p>
    <w:p>
      <w:pPr>
        <w:spacing w:after="160" w:before="0" w:line="276"/>
      </w:pPr>
      <w:r>
        <w:rPr>
          <w:rFonts w:ascii="Calibri" w:cs="Calibri" w:eastAsia="Calibri" w:hAnsi="Calibri"/>
          <w:b w:val="false"/>
          <w:bCs w:val="false"/>
          <w:i w:val="false"/>
          <w:iCs w:val="false"/>
          <w:color w:val="222222"/>
          <w:sz w:val="22"/>
          <w:szCs w:val="22"/>
        </w:rPr>
        <w:t xml:space="preserve">Nginx is the only web proxy. It runs on this VM in both phases. Database files and logs stay on D:. The system volume is C:.</w:t>
      </w:r>
    </w:p>
    <w:p>
      <w:pPr>
        <w:pStyle w:val="Heading1"/>
        <w:pBdr>
          <w:bottom w:val="single" w:color="1F4E79" w:sz="8" w:space="1"/>
        </w:pBdr>
        <w:spacing w:after="160" w:before="360"/>
      </w:pPr>
      <w:r>
        <w:rPr>
          <w:rFonts w:ascii="Calibri" w:cs="Calibri" w:eastAsia="Calibri" w:hAnsi="Calibri"/>
          <w:b/>
          <w:bCs/>
          <w:i w:val="false"/>
          <w:iCs w:val="false"/>
          <w:color w:val="1F4E79"/>
          <w:sz w:val="28"/>
          <w:szCs w:val="28"/>
        </w:rPr>
        <w:t xml:space="preserve">3. UAT phase</w:t>
      </w:r>
    </w:p>
    <w:p>
      <w:pPr>
        <w:spacing w:after="160" w:before="0" w:line="276"/>
      </w:pPr>
      <w:r>
        <w:rPr>
          <w:rFonts w:ascii="Calibri" w:cs="Calibri" w:eastAsia="Calibri" w:hAnsi="Calibri"/>
          <w:b w:val="false"/>
          <w:bCs w:val="false"/>
          <w:i w:val="false"/>
          <w:iCs w:val="false"/>
          <w:color w:val="222222"/>
          <w:sz w:val="22"/>
          <w:szCs w:val="22"/>
        </w:rPr>
        <w:t xml:space="preserve">While the VM is UAT it is reachable from the office network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Item</w:t>
            </w:r>
          </w:p>
        </w:tc>
        <w:tc>
          <w:tcPr>
            <w:tcW w:type="dxa" w:w="6838"/>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UAT</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Public access</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No</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Rate limit</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No</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Inbound</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TCP 443 from the office network</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Email account</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1, for UAT mail only</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Subdomain and SSL</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Not required</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Database</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On this VM, files on D:</w:t>
            </w:r>
          </w:p>
        </w:tc>
      </w:tr>
    </w:tbl>
    <w:p>
      <w:pPr>
        <w:spacing w:after="80" w:before="0"/>
      </w:pPr>
    </w:p>
    <w:p>
      <w:pPr>
        <w:spacing w:after="160" w:before="0" w:line="276"/>
      </w:pPr>
      <w:r>
        <w:rPr>
          <w:rFonts w:ascii="Calibri" w:cs="Calibri" w:eastAsia="Calibri" w:hAnsi="Calibri"/>
          <w:b w:val="false"/>
          <w:bCs w:val="false"/>
          <w:i w:val="false"/>
          <w:iCs w:val="false"/>
          <w:color w:val="222222"/>
          <w:sz w:val="22"/>
          <w:szCs w:val="22"/>
        </w:rPr>
        <w:t xml:space="preserve">Staff test the guest pre-registration page and the office-facing functions over the office network. The page is not published to the internet. Mail from tests goes to the UAT mailbox, through the company SMTP relay on port 587.</w:t>
      </w:r>
    </w:p>
    <w:p>
      <w:pPr>
        <w:pStyle w:val="Heading1"/>
        <w:pBdr>
          <w:bottom w:val="single" w:color="1F4E79" w:sz="8" w:space="1"/>
        </w:pBdr>
        <w:spacing w:after="160" w:before="360"/>
      </w:pPr>
      <w:r>
        <w:rPr>
          <w:rFonts w:ascii="Calibri" w:cs="Calibri" w:eastAsia="Calibri" w:hAnsi="Calibri"/>
          <w:b/>
          <w:bCs/>
          <w:i w:val="false"/>
          <w:iCs w:val="false"/>
          <w:color w:val="1F4E79"/>
          <w:sz w:val="28"/>
          <w:szCs w:val="28"/>
        </w:rPr>
        <w:t xml:space="preserve">4. Promotion</w:t>
      </w:r>
    </w:p>
    <w:p>
      <w:pPr>
        <w:spacing w:after="160" w:before="0" w:line="276"/>
      </w:pPr>
      <w:r>
        <w:rPr>
          <w:rFonts w:ascii="Calibri" w:cs="Calibri" w:eastAsia="Calibri" w:hAnsi="Calibri"/>
          <w:b w:val="false"/>
          <w:bCs w:val="false"/>
          <w:i w:val="false"/>
          <w:iCs w:val="false"/>
          <w:color w:val="222222"/>
          <w:sz w:val="22"/>
          <w:szCs w:val="22"/>
        </w:rPr>
        <w:t xml:space="preserve">Promotion is a change of role on the existing VM. It is a reconfiguration of this machine, completed in the order below.</w:t>
      </w:r>
    </w:p>
    <w:p>
      <w:pPr>
        <w:spacing w:after="80" w:before="0" w:line="276"/>
      </w:pPr>
      <w:r>
        <w:rPr>
          <w:rFonts w:ascii="Calibri" w:cs="Calibri" w:eastAsia="Calibri" w:hAnsi="Calibri"/>
          <w:b w:val="false"/>
          <w:bCs w:val="false"/>
          <w:i w:val="false"/>
          <w:iCs w:val="false"/>
          <w:color w:val="222222"/>
          <w:sz w:val="22"/>
          <w:szCs w:val="22"/>
        </w:rPr>
        <w:t xml:space="preserve">Do these steps in order: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Stop UAT testing. Freeze submissions.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Copy D: (database and logs) off the VM and keep that copy until production has been accepted.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Remove UAT data from the database on D:. Remove test submissions, test visits, and test log content that contains visitor data.</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Point outbound mail at the live mailbox. Leave the UAT mailbox unused. Sending stays on TCP 587 to the company SMTP relay.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Attach the public subdomain and install the SSL certificate for the guest pre-registration page.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Open inbound TCP 443 for the guest pre-registration page only.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Move office access to inbound TCP 8443 from the office network.</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Turn on the rate limit for the guest pre-registration page only.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Confirm Nginx still serves that page on 443, and office traffic on 8443, and that no other route is reachable from the internet.</w:t>
      </w:r>
    </w:p>
    <w:p>
      <w:pPr>
        <w:spacing w:after="160" w:before="160" w:line="276"/>
      </w:pPr>
      <w:r>
        <w:rPr>
          <w:rFonts w:ascii="Calibri" w:cs="Calibri" w:eastAsia="Calibri" w:hAnsi="Calibri"/>
          <w:b w:val="false"/>
          <w:bCs w:val="false"/>
          <w:i w:val="false"/>
          <w:iCs w:val="false"/>
          <w:color w:val="222222"/>
          <w:sz w:val="22"/>
          <w:szCs w:val="22"/>
        </w:rPr>
        <w:t xml:space="preserve">If promotion is rolled back, restore the D: copy from step 2, point mail back at the UAT mailbox, remove the public listener and the certificate binding, and return office access to TCP 443 from the office network. The VM is then UAT again.</w:t>
      </w:r>
    </w:p>
    <w:p>
      <w:pPr>
        <w:pStyle w:val="Heading1"/>
        <w:pBdr>
          <w:bottom w:val="single" w:color="1F4E79" w:sz="8" w:space="1"/>
        </w:pBdr>
        <w:spacing w:after="160" w:before="360"/>
      </w:pPr>
      <w:r>
        <w:rPr>
          <w:rFonts w:ascii="Calibri" w:cs="Calibri" w:eastAsia="Calibri" w:hAnsi="Calibri"/>
          <w:b/>
          <w:bCs/>
          <w:i w:val="false"/>
          <w:iCs w:val="false"/>
          <w:color w:val="1F4E79"/>
          <w:sz w:val="28"/>
          <w:szCs w:val="28"/>
        </w:rPr>
        <w:t xml:space="preserve">5. Production phase</w:t>
      </w:r>
    </w:p>
    <w:p>
      <w:pPr>
        <w:spacing w:after="160" w:before="0" w:line="276"/>
      </w:pPr>
      <w:r>
        <w:rPr>
          <w:rFonts w:ascii="Calibri" w:cs="Calibri" w:eastAsia="Calibri" w:hAnsi="Calibri"/>
          <w:b w:val="false"/>
          <w:bCs w:val="false"/>
          <w:i w:val="false"/>
          <w:iCs w:val="false"/>
          <w:color w:val="222222"/>
          <w:sz w:val="22"/>
          <w:szCs w:val="22"/>
        </w:rPr>
        <w:t xml:space="preserve">After section 4, the same VM is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Item</w:t>
            </w:r>
          </w:p>
        </w:tc>
        <w:tc>
          <w:tcPr>
            <w:tcW w:type="dxa" w:w="6838"/>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Production</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Public access</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Yes, guest pre-registration page only</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Rate limit</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Yes, guest pre-registration page only</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Inbound</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TCP 443 for the guest pre-registration page, and TCP 8443 from the office network</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Email account</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1, for live mail only</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Subdomain and SSL</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Public subdomain and SSL certificate required</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Database</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On this VM, files on D:</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Outbound mail</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TCP 587 to the company SMTP relay</w:t>
            </w:r>
          </w:p>
        </w:tc>
      </w:tr>
    </w:tbl>
    <w:p>
      <w:pPr>
        <w:spacing w:after="80" w:before="0"/>
      </w:pPr>
    </w:p>
    <w:p>
      <w:pPr>
        <w:spacing w:after="160" w:before="0" w:line="276"/>
      </w:pPr>
      <w:r>
        <w:rPr>
          <w:rFonts w:ascii="Calibri" w:cs="Calibri" w:eastAsia="Calibri" w:hAnsi="Calibri"/>
          <w:b w:val="false"/>
          <w:bCs w:val="false"/>
          <w:i w:val="false"/>
          <w:iCs w:val="false"/>
          <w:color w:val="222222"/>
          <w:sz w:val="22"/>
          <w:szCs w:val="22"/>
        </w:rPr>
        <w:t xml:space="preserve">The internet can open the guest pre-registration page on 443. Office staff use 8443. The rate limit applies to the guest pre-registration page. Other routes stay off the public listener.</w:t>
      </w:r>
    </w:p>
    <w:p>
      <w:pPr>
        <w:pStyle w:val="Heading1"/>
        <w:pBdr>
          <w:bottom w:val="single" w:color="1F4E79" w:sz="8" w:space="1"/>
        </w:pBdr>
        <w:spacing w:after="160" w:before="360"/>
      </w:pPr>
      <w:r>
        <w:rPr>
          <w:rFonts w:ascii="Calibri" w:cs="Calibri" w:eastAsia="Calibri" w:hAnsi="Calibri"/>
          <w:b/>
          <w:bCs/>
          <w:i w:val="false"/>
          <w:iCs w:val="false"/>
          <w:color w:val="1F4E79"/>
          <w:sz w:val="28"/>
          <w:szCs w:val="28"/>
        </w:rPr>
        <w:t xml:space="preserve">6. Network by phase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619"/>
        <w:gridCol w:w="3619"/>
      </w:tblGrid>
      <w:tr>
        <w:trPr>
          <w:cantSplit/>
          <w:tblHeader/>
        </w:trPr>
        <w:tc>
          <w:tcPr>
            <w:tcW w:type="dxa" w:w="2400"/>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Item</w:t>
            </w:r>
          </w:p>
        </w:tc>
        <w:tc>
          <w:tcPr>
            <w:tcW w:type="dxa" w:w="3619"/>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UAT</w:t>
            </w:r>
          </w:p>
        </w:tc>
        <w:tc>
          <w:tcPr>
            <w:tcW w:type="dxa" w:w="3619"/>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Production</w:t>
            </w:r>
          </w:p>
        </w:tc>
      </w:tr>
      <w:tr>
        <w:trPr>
          <w:cantSplit/>
        </w:trPr>
        <w:tc>
          <w:tcPr>
            <w:tcW w:type="dxa" w:w="24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Inbound TCP 443</w:t>
            </w:r>
          </w:p>
        </w:tc>
        <w:tc>
          <w:tcPr>
            <w:tcW w:type="dxa" w:w="3619"/>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Office network</w:t>
            </w:r>
          </w:p>
        </w:tc>
        <w:tc>
          <w:tcPr>
            <w:tcW w:type="dxa" w:w="3619"/>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Guest pre-registration page</w:t>
            </w:r>
          </w:p>
        </w:tc>
      </w:tr>
      <w:tr>
        <w:trPr>
          <w:cantSplit/>
        </w:trPr>
        <w:tc>
          <w:tcPr>
            <w:tcW w:type="dxa" w:w="24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Inbound TCP 8443</w:t>
            </w:r>
          </w:p>
        </w:tc>
        <w:tc>
          <w:tcPr>
            <w:tcW w:type="dxa" w:w="3619"/>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Closed</w:t>
            </w:r>
          </w:p>
        </w:tc>
        <w:tc>
          <w:tcPr>
            <w:tcW w:type="dxa" w:w="3619"/>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Office network</w:t>
            </w:r>
          </w:p>
        </w:tc>
      </w:tr>
      <w:tr>
        <w:trPr>
          <w:cantSplit/>
        </w:trPr>
        <w:tc>
          <w:tcPr>
            <w:tcW w:type="dxa" w:w="24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Public internet</w:t>
            </w:r>
          </w:p>
        </w:tc>
        <w:tc>
          <w:tcPr>
            <w:tcW w:type="dxa" w:w="3619"/>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No</w:t>
            </w:r>
          </w:p>
        </w:tc>
        <w:tc>
          <w:tcPr>
            <w:tcW w:type="dxa" w:w="3619"/>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Guest pre-registration page on 443 only</w:t>
            </w:r>
          </w:p>
        </w:tc>
      </w:tr>
      <w:tr>
        <w:trPr>
          <w:cantSplit/>
        </w:trPr>
        <w:tc>
          <w:tcPr>
            <w:tcW w:type="dxa" w:w="24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Outbound TCP 587</w:t>
            </w:r>
          </w:p>
        </w:tc>
        <w:tc>
          <w:tcPr>
            <w:tcW w:type="dxa" w:w="3619"/>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Company SMTP relay</w:t>
            </w:r>
          </w:p>
        </w:tc>
        <w:tc>
          <w:tcPr>
            <w:tcW w:type="dxa" w:w="3619"/>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Company SMTP relay</w:t>
            </w:r>
          </w:p>
        </w:tc>
      </w:tr>
    </w:tbl>
    <w:p>
      <w:pPr>
        <w:pStyle w:val="Heading1"/>
        <w:pBdr>
          <w:bottom w:val="single" w:color="1F4E79" w:sz="8" w:space="1"/>
        </w:pBdr>
        <w:spacing w:after="160" w:before="360"/>
      </w:pPr>
      <w:r>
        <w:rPr>
          <w:rFonts w:ascii="Calibri" w:cs="Calibri" w:eastAsia="Calibri" w:hAnsi="Calibri"/>
          <w:b/>
          <w:bCs/>
          <w:i w:val="false"/>
          <w:iCs w:val="false"/>
          <w:color w:val="1F4E79"/>
          <w:sz w:val="28"/>
          <w:szCs w:val="28"/>
        </w:rPr>
        <w:t xml:space="preserve">7. Mail</w:t>
      </w:r>
    </w:p>
    <w:p>
      <w:pPr>
        <w:spacing w:after="160" w:before="0" w:line="276"/>
      </w:pPr>
      <w:r>
        <w:rPr>
          <w:rFonts w:ascii="Calibri" w:cs="Calibri" w:eastAsia="Calibri" w:hAnsi="Calibri"/>
          <w:b w:val="false"/>
          <w:bCs w:val="false"/>
          <w:i w:val="false"/>
          <w:iCs w:val="false"/>
          <w:color w:val="222222"/>
          <w:sz w:val="22"/>
          <w:szCs w:val="22"/>
        </w:rPr>
        <w:t xml:space="preserve">Two email accounts are requested. One is active on the VM at a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Account</w:t>
            </w:r>
          </w:p>
        </w:tc>
        <w:tc>
          <w:tcPr>
            <w:tcW w:type="dxa" w:w="6838"/>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When it is used</w:t>
            </w:r>
          </w:p>
        </w:tc>
      </w:tr>
      <w:tr>
        <w:trPr>
          <w:cantSplit/>
        </w:trPr>
        <w:tc>
          <w:tcPr>
            <w:tcW w:type="dxa" w:w="2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UAT mailbox</w:t>
            </w:r>
          </w:p>
        </w:tc>
        <w:tc>
          <w:tcPr>
            <w:tcW w:type="dxa" w:w="68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From commissioning until promotion. UAT mail only.</w:t>
            </w:r>
          </w:p>
        </w:tc>
      </w:tr>
      <w:tr>
        <w:trPr>
          <w:cantSplit/>
        </w:trPr>
        <w:tc>
          <w:tcPr>
            <w:tcW w:type="dxa" w:w="2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Live mailbox</w:t>
            </w:r>
          </w:p>
        </w:tc>
        <w:tc>
          <w:tcPr>
            <w:tcW w:type="dxa" w:w="68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After promotion. Live mail only.</w:t>
            </w:r>
          </w:p>
        </w:tc>
      </w:tr>
    </w:tbl>
    <w:p>
      <w:pPr>
        <w:spacing w:after="80" w:before="0"/>
      </w:pPr>
    </w:p>
    <w:p>
      <w:pPr>
        <w:spacing w:after="160" w:before="0" w:line="276"/>
      </w:pPr>
      <w:r>
        <w:rPr>
          <w:rFonts w:ascii="Calibri" w:cs="Calibri" w:eastAsia="Calibri" w:hAnsi="Calibri"/>
          <w:b w:val="false"/>
          <w:bCs w:val="false"/>
          <w:i w:val="false"/>
          <w:iCs w:val="false"/>
          <w:color w:val="222222"/>
          <w:sz w:val="22"/>
          <w:szCs w:val="22"/>
        </w:rPr>
        <w:t xml:space="preserve">Both accounts send through the company SMTP relay on TCP 587. At promotion the VM is switched from the UAT mailbox to the live mailbox. Test messages stay out of the live mailbox.</w:t>
      </w:r>
    </w:p>
    <w:p>
      <w:pPr>
        <w:pStyle w:val="Heading1"/>
        <w:pBdr>
          <w:bottom w:val="single" w:color="1F4E79" w:sz="8" w:space="1"/>
        </w:pBdr>
        <w:spacing w:after="160" w:before="360"/>
      </w:pPr>
      <w:r>
        <w:rPr>
          <w:rFonts w:ascii="Calibri" w:cs="Calibri" w:eastAsia="Calibri" w:hAnsi="Calibri"/>
          <w:b/>
          <w:bCs/>
          <w:i w:val="false"/>
          <w:iCs w:val="false"/>
          <w:color w:val="1F4E79"/>
          <w:sz w:val="28"/>
          <w:szCs w:val="28"/>
        </w:rPr>
        <w:t xml:space="preserve">8. Disks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6038"/>
      </w:tblGrid>
      <w:tr>
        <w:trPr>
          <w:cantSplit/>
          <w:tblHeader/>
        </w:trPr>
        <w:tc>
          <w:tcPr>
            <w:tcW w:type="dxa" w:w="1800"/>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Volume</w:t>
            </w:r>
          </w:p>
        </w:tc>
        <w:tc>
          <w:tcPr>
            <w:tcW w:type="dxa" w:w="1800"/>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Size</w:t>
            </w:r>
          </w:p>
        </w:tc>
        <w:tc>
          <w:tcPr>
            <w:tcW w:type="dxa" w:w="6038"/>
            <w:tcBorders>
              <w:top w:val="single" w:color="BFCBD9" w:sz="4"/>
              <w:left w:val="single" w:color="BFCBD9" w:sz="4"/>
              <w:bottom w:val="single" w:color="BFCBD9" w:sz="4"/>
              <w:right w:val="single" w:color="BFCBD9" w:sz="4"/>
            </w:tcBorders>
            <w:shd w:fill="1F4E7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FFFFFF"/>
                <w:sz w:val="20"/>
                <w:szCs w:val="20"/>
              </w:rPr>
              <w:t xml:space="preserve">Contents</w:t>
            </w:r>
          </w:p>
        </w:tc>
      </w:tr>
      <w:tr>
        <w:trPr>
          <w:cantSplit/>
        </w:trPr>
        <w:tc>
          <w:tcPr>
            <w:tcW w:type="dxa" w:w="1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C:</w:t>
            </w:r>
          </w:p>
        </w:tc>
        <w:tc>
          <w:tcPr>
            <w:tcW w:type="dxa" w:w="1800"/>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100 GB</w:t>
            </w:r>
          </w:p>
        </w:tc>
        <w:tc>
          <w:tcPr>
            <w:tcW w:type="dxa" w:w="6038"/>
            <w:tcBorders>
              <w:top w:val="single" w:color="BFCBD9" w:sz="4"/>
              <w:left w:val="single" w:color="BFCBD9" w:sz="4"/>
              <w:bottom w:val="single" w:color="BFCBD9" w:sz="4"/>
              <w:right w:val="single" w:color="BFCBD9" w:sz="4"/>
            </w:tcBorders>
            <w:shd w:fill="FFFFFF"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Windows Server and Nginx</w:t>
            </w:r>
          </w:p>
        </w:tc>
      </w:tr>
      <w:tr>
        <w:trPr>
          <w:cantSplit/>
        </w:trPr>
        <w:tc>
          <w:tcPr>
            <w:tcW w:type="dxa" w:w="1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bCs/>
                <w:i w:val="false"/>
                <w:iCs w:val="false"/>
                <w:color w:val="222222"/>
                <w:sz w:val="20"/>
                <w:szCs w:val="20"/>
              </w:rPr>
              <w:t xml:space="preserve">D:</w:t>
            </w:r>
          </w:p>
        </w:tc>
        <w:tc>
          <w:tcPr>
            <w:tcW w:type="dxa" w:w="1800"/>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50 GB</w:t>
            </w:r>
          </w:p>
        </w:tc>
        <w:tc>
          <w:tcPr>
            <w:tcW w:type="dxa" w:w="6038"/>
            <w:tcBorders>
              <w:top w:val="single" w:color="BFCBD9" w:sz="4"/>
              <w:left w:val="single" w:color="BFCBD9" w:sz="4"/>
              <w:bottom w:val="single" w:color="BFCBD9" w:sz="4"/>
              <w:right w:val="single" w:color="BFCBD9" w:sz="4"/>
            </w:tcBorders>
            <w:shd w:fill="F3F6F9" w:val="clear"/>
            <w:tcMar>
              <w:top w:type="dxa" w:w="60"/>
              <w:left w:type="dxa" w:w="100"/>
              <w:bottom w:type="dxa" w:w="60"/>
              <w:right w:type="dxa" w:w="100"/>
            </w:tcMar>
            <w:vAlign w:val="center"/>
          </w:tcPr>
          <w:p>
            <w:pPr>
              <w:spacing w:after="20" w:before="20"/>
            </w:pPr>
            <w:r>
              <w:rPr>
                <w:rFonts w:ascii="Calibri" w:cs="Calibri" w:eastAsia="Calibri" w:hAnsi="Calibri"/>
                <w:b w:val="false"/>
                <w:bCs w:val="false"/>
                <w:i w:val="false"/>
                <w:iCs w:val="false"/>
                <w:color w:val="222222"/>
                <w:sz w:val="20"/>
                <w:szCs w:val="20"/>
              </w:rPr>
              <w:t xml:space="preserve">Database files and logs</w:t>
            </w:r>
          </w:p>
        </w:tc>
      </w:tr>
    </w:tbl>
    <w:p>
      <w:pPr>
        <w:spacing w:after="80" w:before="0"/>
      </w:pPr>
    </w:p>
    <w:p>
      <w:pPr>
        <w:spacing w:after="160" w:before="0" w:line="276"/>
      </w:pPr>
      <w:r>
        <w:rPr>
          <w:rFonts w:ascii="Calibri" w:cs="Calibri" w:eastAsia="Calibri" w:hAnsi="Calibri"/>
          <w:b w:val="false"/>
          <w:bCs w:val="false"/>
          <w:i w:val="false"/>
          <w:iCs w:val="false"/>
          <w:color w:val="222222"/>
          <w:sz w:val="22"/>
          <w:szCs w:val="22"/>
        </w:rPr>
        <w:t xml:space="preserve">D: is the same volume before and after promotion. The promotion backup in section 4 is a copy of D: taken off the VM. UAT rows are deleted on D: before go-live so test visitors are not left in the production database.</w:t>
      </w:r>
    </w:p>
    <w:p>
      <w:pPr>
        <w:pStyle w:val="Heading1"/>
        <w:pBdr>
          <w:bottom w:val="single" w:color="1F4E79" w:sz="8" w:space="1"/>
        </w:pBdr>
        <w:spacing w:after="160" w:before="360"/>
      </w:pPr>
      <w:r>
        <w:rPr>
          <w:rFonts w:ascii="Calibri" w:cs="Calibri" w:eastAsia="Calibri" w:hAnsi="Calibri"/>
          <w:b/>
          <w:bCs/>
          <w:i w:val="false"/>
          <w:iCs w:val="false"/>
          <w:color w:val="1F4E79"/>
          <w:sz w:val="28"/>
          <w:szCs w:val="28"/>
        </w:rPr>
        <w:t xml:space="preserve">9. Please confirm</w:t>
      </w:r>
    </w:p>
    <w:p>
      <w:pPr>
        <w:pStyle w:val="ListParagraph"/>
        <w:numPr>
          <w:ilvl w:val="0"/>
          <w:numId w:val="3"/>
        </w:numPr>
        <w:spacing w:after="40" w:before="40" w:line="276"/>
      </w:pPr>
      <w:r>
        <w:rPr>
          <w:rFonts w:ascii="Calibri" w:cs="Calibri" w:eastAsia="Calibri" w:hAnsi="Calibri"/>
          <w:b w:val="false"/>
          <w:bCs w:val="false"/>
          <w:i w:val="false"/>
          <w:iCs w:val="false"/>
          <w:color w:val="222222"/>
          <w:sz w:val="22"/>
          <w:szCs w:val="22"/>
        </w:rPr>
        <w:t xml:space="preserve">1 Windows Server VM in total. It is used as UAT and then promoted to production.</w:t>
      </w:r>
    </w:p>
    <w:p>
      <w:pPr>
        <w:pStyle w:val="ListParagraph"/>
        <w:numPr>
          <w:ilvl w:val="0"/>
          <w:numId w:val="3"/>
        </w:numPr>
        <w:spacing w:after="40" w:before="40" w:line="276"/>
      </w:pPr>
      <w:r>
        <w:rPr>
          <w:rFonts w:ascii="Calibri" w:cs="Calibri" w:eastAsia="Calibri" w:hAnsi="Calibri"/>
          <w:b w:val="false"/>
          <w:bCs w:val="false"/>
          <w:i w:val="false"/>
          <w:iCs w:val="false"/>
          <w:color w:val="222222"/>
          <w:sz w:val="22"/>
          <w:szCs w:val="22"/>
        </w:rPr>
        <w:t xml:space="preserve">4 vCPU, 8 GB RAM, C: 100 GB, D: 50 GB on that VM.</w:t>
      </w:r>
    </w:p>
    <w:p>
      <w:pPr>
        <w:pStyle w:val="ListParagraph"/>
        <w:numPr>
          <w:ilvl w:val="0"/>
          <w:numId w:val="3"/>
        </w:numPr>
        <w:spacing w:after="40" w:before="40" w:line="276"/>
      </w:pPr>
      <w:r>
        <w:rPr>
          <w:rFonts w:ascii="Calibri" w:cs="Calibri" w:eastAsia="Calibri" w:hAnsi="Calibri"/>
          <w:b w:val="false"/>
          <w:bCs w:val="false"/>
          <w:i w:val="false"/>
          <w:iCs w:val="false"/>
          <w:color w:val="222222"/>
          <w:sz w:val="22"/>
          <w:szCs w:val="22"/>
        </w:rPr>
        <w:t xml:space="preserve">Nginx on that VM.</w:t>
      </w:r>
    </w:p>
    <w:p>
      <w:pPr>
        <w:pStyle w:val="ListParagraph"/>
        <w:numPr>
          <w:ilvl w:val="0"/>
          <w:numId w:val="3"/>
        </w:numPr>
        <w:spacing w:after="40" w:before="40" w:line="276"/>
      </w:pPr>
      <w:r>
        <w:rPr>
          <w:rFonts w:ascii="Calibri" w:cs="Calibri" w:eastAsia="Calibri" w:hAnsi="Calibri"/>
          <w:b w:val="false"/>
          <w:bCs w:val="false"/>
          <w:i w:val="false"/>
          <w:iCs w:val="false"/>
          <w:color w:val="222222"/>
          <w:sz w:val="22"/>
          <w:szCs w:val="22"/>
        </w:rPr>
        <w:t xml:space="preserve">The database on that VM, with files on D:, in both phases.</w:t>
      </w:r>
    </w:p>
    <w:p>
      <w:pPr>
        <w:pStyle w:val="ListParagraph"/>
        <w:numPr>
          <w:ilvl w:val="0"/>
          <w:numId w:val="3"/>
        </w:numPr>
        <w:spacing w:after="40" w:before="40" w:line="276"/>
      </w:pPr>
      <w:r>
        <w:rPr>
          <w:rFonts w:ascii="Calibri" w:cs="Calibri" w:eastAsia="Calibri" w:hAnsi="Calibri"/>
          <w:b w:val="false"/>
          <w:bCs w:val="false"/>
          <w:i w:val="false"/>
          <w:iCs w:val="false"/>
          <w:color w:val="222222"/>
          <w:sz w:val="22"/>
          <w:szCs w:val="22"/>
        </w:rPr>
        <w:t xml:space="preserve">2 email accounts in total. The UAT account is used until promotion. The live account is used after promotion. Both send on TCP 587 to the company SMTP relay.</w:t>
      </w:r>
    </w:p>
    <w:p>
      <w:pPr>
        <w:pStyle w:val="ListParagraph"/>
        <w:numPr>
          <w:ilvl w:val="0"/>
          <w:numId w:val="3"/>
        </w:numPr>
        <w:spacing w:after="40" w:before="40" w:line="276"/>
      </w:pPr>
      <w:r>
        <w:rPr>
          <w:rFonts w:ascii="Calibri" w:cs="Calibri" w:eastAsia="Calibri" w:hAnsi="Calibri"/>
          <w:b w:val="false"/>
          <w:bCs w:val="false"/>
          <w:i w:val="false"/>
          <w:iCs w:val="false"/>
          <w:color w:val="222222"/>
          <w:sz w:val="22"/>
          <w:szCs w:val="22"/>
        </w:rPr>
        <w:t xml:space="preserve">During UAT: no public access, no rate limit, inbound TCP 443 from the office network only, and no public subdomain or SSL certificate.</w:t>
      </w:r>
    </w:p>
    <w:p>
      <w:pPr>
        <w:pStyle w:val="ListParagraph"/>
        <w:numPr>
          <w:ilvl w:val="0"/>
          <w:numId w:val="3"/>
        </w:numPr>
        <w:spacing w:after="40" w:before="40" w:line="276"/>
      </w:pPr>
      <w:r>
        <w:rPr>
          <w:rFonts w:ascii="Calibri" w:cs="Calibri" w:eastAsia="Calibri" w:hAnsi="Calibri"/>
          <w:b w:val="false"/>
          <w:bCs w:val="false"/>
          <w:i w:val="false"/>
          <w:iCs w:val="false"/>
          <w:color w:val="222222"/>
          <w:sz w:val="22"/>
          <w:szCs w:val="22"/>
        </w:rPr>
        <w:t xml:space="preserve">After promotion: public access and a rate limit for the guest pre-registration page only; inbound TCP 443 for that page and TCP 8443 from the office network; a public subdomain and an SSL certificate for that page.</w:t>
      </w:r>
    </w:p>
    <w:p>
      <w:pPr>
        <w:pStyle w:val="ListParagraph"/>
        <w:numPr>
          <w:ilvl w:val="0"/>
          <w:numId w:val="3"/>
        </w:numPr>
        <w:spacing w:after="40" w:before="40" w:line="276"/>
      </w:pPr>
      <w:r>
        <w:rPr>
          <w:rFonts w:ascii="Calibri" w:cs="Calibri" w:eastAsia="Calibri" w:hAnsi="Calibri"/>
          <w:b w:val="false"/>
          <w:bCs w:val="false"/>
          <w:i w:val="false"/>
          <w:iCs w:val="false"/>
          <w:color w:val="222222"/>
          <w:sz w:val="22"/>
          <w:szCs w:val="22"/>
        </w:rPr>
        <w:t xml:space="preserve">UAT data is removed from D: before the VM is treated as production. A copy of D: is kept off the VM first.</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2026-10-02T08:34:30.446Z</dcterms:created>
  <dcterms:modified xsi:type="dcterms:W3CDTF">2026-10-02T08:34:30.447Z</dcterms:modified>
</cp:coreProperties>
</file>

<file path=docProps/custom.xml><?xml version="1.0" encoding="utf-8"?>
<Properties xmlns="http://schemas.openxmlformats.org/officeDocument/2006/custom-properties" xmlns:vt="http://schemas.openxmlformats.org/officeDocument/2006/docPropsVTypes"/>
</file>