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 xml:space="preserve">BREATHE: </w:t>
      </w:r>
      <w:r>
        <w:rPr>
          <w:rFonts w:ascii="Times New Roman" w:hAnsi="Times New Roman"/>
          <w:b/>
          <w:sz w:val="24"/>
          <w:u w:val="single"/>
        </w:rPr>
        <w:t>BR</w:t>
      </w:r>
      <w:r>
        <w:rPr>
          <w:rFonts w:ascii="Times New Roman" w:hAnsi="Times New Roman"/>
          <w:b/>
          <w:sz w:val="24"/>
        </w:rPr>
        <w:t xml:space="preserve">idging </w:t>
      </w:r>
      <w:r>
        <w:rPr>
          <w:rFonts w:ascii="Times New Roman" w:hAnsi="Times New Roman"/>
          <w:b/>
          <w:sz w:val="24"/>
          <w:u w:val="single"/>
        </w:rPr>
        <w:t>E</w:t>
      </w:r>
      <w:r>
        <w:rPr>
          <w:rFonts w:ascii="Times New Roman" w:hAnsi="Times New Roman"/>
          <w:b/>
          <w:sz w:val="24"/>
        </w:rPr>
        <w:t xml:space="preserve">ducation on </w:t>
      </w:r>
      <w:r>
        <w:rPr>
          <w:rFonts w:ascii="Times New Roman" w:hAnsi="Times New Roman"/>
          <w:b/>
          <w:sz w:val="24"/>
          <w:u w:val="single"/>
        </w:rPr>
        <w:t>A</w:t>
      </w:r>
      <w:r>
        <w:rPr>
          <w:rFonts w:ascii="Times New Roman" w:hAnsi="Times New Roman"/>
          <w:b/>
          <w:sz w:val="24"/>
        </w:rPr>
        <w:t xml:space="preserve">tmosphere, </w:t>
      </w:r>
      <w:r>
        <w:rPr>
          <w:rFonts w:ascii="Times New Roman" w:hAnsi="Times New Roman"/>
          <w:b/>
          <w:sz w:val="24"/>
          <w:u w:val="single"/>
        </w:rPr>
        <w:t>T</w:t>
      </w:r>
      <w:r>
        <w:rPr>
          <w:rFonts w:ascii="Times New Roman" w:hAnsi="Times New Roman"/>
          <w:b/>
          <w:sz w:val="24"/>
        </w:rPr>
        <w:t xml:space="preserve">echnology, and </w:t>
      </w:r>
      <w:r>
        <w:rPr>
          <w:rFonts w:ascii="Times New Roman" w:hAnsi="Times New Roman"/>
          <w:b/>
          <w:sz w:val="24"/>
          <w:u w:val="single"/>
        </w:rPr>
        <w:t>HE</w:t>
      </w:r>
      <w:r>
        <w:rPr>
          <w:rFonts w:ascii="Times New Roman" w:hAnsi="Times New Roman"/>
          <w:b/>
          <w:sz w:val="24"/>
        </w:rPr>
        <w:t>alth</w:t>
      </w:r>
    </w:p>
    <w:p>
      <w:pPr>
        <w:spacing w:after="120"/>
        <w:pBdr>
          <w:bottom w:val="single" w:sz="12" w:space="1" w:color="000000"/>
        </w:pBdr>
      </w:pPr>
    </w:p>
    <w:p>
      <w:pPr>
        <w:spacing w:before="240" w:after="120"/>
      </w:pPr>
      <w:r>
        <w:rPr>
          <w:rFonts w:ascii="Times New Roman" w:hAnsi="Times New Roman"/>
          <w:b/>
          <w:sz w:val="24"/>
        </w:rPr>
        <w:t>7.2 Data Exploration Platform</w:t>
      </w:r>
    </w:p>
    <w:p>
      <w:pPr>
        <w:spacing w:after="120" w:line="300" w:lineRule="auto"/>
      </w:pPr>
      <w:r>
        <w:rPr>
          <w:rFonts w:ascii="Times New Roman" w:hAnsi="Times New Roman"/>
          <w:sz w:val="24"/>
        </w:rPr>
        <w:t>Several NASA-supported platforms already provide valuable access to atmospheric data for educational use. The GLOBE Program offers structured citizen science protocols and the GLOBE Observer app for collecting ground-based aerosol, cloud, and weather observations that validate satellite measurements. My NASA Data, a NASA Langley Research Center project, curates satellite-derived datasets into mini-lessons, interactives, and lesson plans organized by Earth system phenomena, including a dedicated air quality topic with resources spanning PM2.5 pattern analysis, dust transport, and wildfire smoke modeling. The NASA Earth Science Education Collaborative (NESEC) aggregates these resources into a searchable portfolio that connects educators to materials by topic, grade level, and mission. These platforms offer broad geographic and topical coverage and serve as foundational infrastructure for NASA Earth science education. However, they are not designed to let participants explore how satellite observations relate to the specific atmospheric conditions and health outcomes in their own communities, nor do they integrate the newest generation of air quality missions—TEMPO, PACE, and MAIA—into a single, locally contextualized, health-connected learning environment.</w:t>
      </w:r>
    </w:p>
    <w:p>
      <w:pPr>
        <w:spacing w:after="120" w:line="300" w:lineRule="auto"/>
      </w:pPr>
      <w:r>
        <w:rPr>
          <w:rFonts w:ascii="Times New Roman" w:hAnsi="Times New Roman"/>
          <w:sz w:val="24"/>
        </w:rPr>
        <w:t xml:space="preserve">BREATHE addresses this gap through a purpose-built </w:t>
      </w:r>
      <w:r>
        <w:rPr>
          <w:rFonts w:ascii="Times New Roman" w:hAnsi="Times New Roman"/>
          <w:b/>
          <w:sz w:val="24"/>
        </w:rPr>
        <w:t>Data Exploration Platform</w:t>
      </w:r>
      <w:r>
        <w:rPr>
          <w:rFonts w:ascii="Times New Roman" w:hAnsi="Times New Roman"/>
          <w:sz w:val="24"/>
        </w:rPr>
        <w:t xml:space="preserve"> that provides an online interface for curated NASA datasets, interactive visualization tools, and guided investigations anchored in participants’ own communities. Unlike existing tools that present data at continental or global scales, the BREATHE platform is organized around </w:t>
      </w:r>
      <w:r>
        <w:rPr>
          <w:rFonts w:ascii="Times New Roman" w:hAnsi="Times New Roman"/>
          <w:b/>
          <w:sz w:val="24"/>
        </w:rPr>
        <w:t>place-based entry points</w:t>
      </w:r>
      <w:r>
        <w:rPr>
          <w:rFonts w:ascii="Times New Roman" w:hAnsi="Times New Roman"/>
          <w:sz w:val="24"/>
        </w:rPr>
        <w:t>: users begin by selecting or searching for their community (e.g., Houston Ship Channel, Rio Grande Valley, El Paso border corridor) and immediately see satellite observations, environmental context, and health indicators relevant to that location. This design reflects the project’s core premise that meaningful engagement with NASA data requires connecting satellite observations to conditions participants experience in daily life.</w:t>
      </w:r>
    </w:p>
    <w:p>
      <w:pPr>
        <w:spacing w:after="120" w:line="300" w:lineRule="auto"/>
      </w:pPr>
      <w:r>
        <w:rPr>
          <w:rFonts w:ascii="Times New Roman" w:hAnsi="Times New Roman"/>
          <w:sz w:val="24"/>
        </w:rPr>
        <w:t xml:space="preserve">The platform integrates multiple NASA data layers into a unified, map-based explorer. Users can toggle and overlay </w:t>
      </w:r>
      <w:r>
        <w:rPr>
          <w:rFonts w:ascii="Times New Roman" w:hAnsi="Times New Roman"/>
          <w:b/>
          <w:sz w:val="24"/>
        </w:rPr>
        <w:t>TEMPO hourly NO₂, ozone, and formaldehyde</w:t>
      </w:r>
      <w:r>
        <w:rPr>
          <w:rFonts w:ascii="Times New Roman" w:hAnsi="Times New Roman"/>
          <w:sz w:val="24"/>
        </w:rPr>
        <w:t xml:space="preserve"> data to examine diurnal air pollution variability; </w:t>
      </w:r>
      <w:r>
        <w:rPr>
          <w:rFonts w:ascii="Times New Roman" w:hAnsi="Times New Roman"/>
          <w:b/>
          <w:sz w:val="24"/>
        </w:rPr>
        <w:t>MAIA PM2.5 concentration estimates</w:t>
      </w:r>
      <w:r>
        <w:rPr>
          <w:rFonts w:ascii="Times New Roman" w:hAnsi="Times New Roman"/>
          <w:sz w:val="24"/>
        </w:rPr>
        <w:t xml:space="preserve"> to visualize particulate matter exposure at community scales; </w:t>
      </w:r>
      <w:r>
        <w:rPr>
          <w:rFonts w:ascii="Times New Roman" w:hAnsi="Times New Roman"/>
          <w:b/>
          <w:sz w:val="24"/>
        </w:rPr>
        <w:t>MODIS/VIIRS aerosol optical depth, active fire detections, and land surface temperature</w:t>
      </w:r>
      <w:r>
        <w:rPr>
          <w:rFonts w:ascii="Times New Roman" w:hAnsi="Times New Roman"/>
          <w:sz w:val="24"/>
        </w:rPr>
        <w:t xml:space="preserve"> for long-term context and extreme event tracking; and </w:t>
      </w:r>
      <w:r>
        <w:rPr>
          <w:rFonts w:ascii="Times New Roman" w:hAnsi="Times New Roman"/>
          <w:b/>
          <w:sz w:val="24"/>
        </w:rPr>
        <w:t>HAQAST satellite-driven PM2.5, organic carbon, and elemental carbon surface concentration estimates</w:t>
      </w:r>
      <w:r>
        <w:rPr>
          <w:rFonts w:ascii="Times New Roman" w:hAnsi="Times New Roman"/>
          <w:sz w:val="24"/>
        </w:rPr>
        <w:t xml:space="preserve"> at census-tract resolution. A compare mode allows side-by-side examination of two locations or time periods, and a temporal slider enables users to animate changes across hours (TEMPO), days (PACE and MAIA), or seasons (MODIS/VIIRS), reinforcing how atmospheric conditions vary across time and space. Each data layer includes embedded explanatory context—“What Am I Seeing?” panels that describe the measurement technique, units, and health significance in accessible language—so that the visualization serves as both a data tool and a learning scaffold.</w:t>
      </w:r>
    </w:p>
    <w:p>
      <w:pPr>
        <w:spacing w:after="120" w:line="300" w:lineRule="auto"/>
      </w:pPr>
      <w:r>
        <w:rPr>
          <w:rFonts w:ascii="Times New Roman" w:hAnsi="Times New Roman"/>
          <w:sz w:val="24"/>
        </w:rPr>
        <w:t xml:space="preserve">A distinguishing feature of the BREATHE platform is its integration of </w:t>
      </w:r>
      <w:r>
        <w:rPr>
          <w:rFonts w:ascii="Times New Roman" w:hAnsi="Times New Roman"/>
          <w:b/>
          <w:sz w:val="24"/>
        </w:rPr>
        <w:t>community-level health indicators</w:t>
      </w:r>
      <w:r>
        <w:rPr>
          <w:rFonts w:ascii="Times New Roman" w:hAnsi="Times New Roman"/>
          <w:sz w:val="24"/>
        </w:rPr>
        <w:t xml:space="preserve"> alongside atmospheric data. During Stage 1, the platform connects NASA science assets to de-identified, ZIP-code-aggregated health records from regional healthcare information exchanges (the Paso del Norte HIE for El Paso and the Rio Grande Valley HIE for Brownsville) and Texas Inpatient, Outpatient, and Emergency Department Data for Harris County (Houston), with visualizations focused on cardiopulmonary outcomes such as asthma, acute bronchitis, upper respiratory infection emergency department visits, and COPD and cardiovascular disease incidence. For Stages 2 and 3, the platform scales this capability nationally by incorporating census-tract-level health outcome and social vulnerability indicators from the </w:t>
      </w:r>
      <w:r>
        <w:rPr>
          <w:rFonts w:ascii="Times New Roman" w:hAnsi="Times New Roman"/>
          <w:b/>
          <w:sz w:val="24"/>
        </w:rPr>
        <w:t>CDC PLACES</w:t>
      </w:r>
      <w:r>
        <w:rPr>
          <w:rFonts w:ascii="Times New Roman" w:hAnsi="Times New Roman"/>
          <w:sz w:val="24"/>
        </w:rPr>
        <w:t xml:space="preserve"> dataset and the </w:t>
      </w:r>
      <w:r>
        <w:rPr>
          <w:rFonts w:ascii="Times New Roman" w:hAnsi="Times New Roman"/>
          <w:b/>
          <w:sz w:val="24"/>
        </w:rPr>
        <w:t>CDC/ATSDR Social Vulnerability Index (SVI)</w:t>
      </w:r>
      <w:r>
        <w:rPr>
          <w:rFonts w:ascii="Times New Roman" w:hAnsi="Times New Roman"/>
          <w:sz w:val="24"/>
        </w:rPr>
        <w:t>. This layered design enables participants to examine, for example, how a neighborhood with elevated TEMPO NO₂ concentrations also shows higher asthma-related emergency department visits and greater social vulnerability—making the connection between atmospheric science and public health tangible and data-driven. No existing NASA education platform provides this satellite-to-health integration.</w:t>
      </w:r>
    </w:p>
    <w:p>
      <w:pPr>
        <w:spacing w:after="120" w:line="300" w:lineRule="auto"/>
      </w:pPr>
      <w:r>
        <w:rPr>
          <w:rFonts w:ascii="Times New Roman" w:hAnsi="Times New Roman"/>
          <w:sz w:val="24"/>
        </w:rPr>
        <w:t xml:space="preserve">The platform organizes learning experiences along a four-level </w:t>
      </w:r>
      <w:r>
        <w:rPr>
          <w:rFonts w:ascii="Times New Roman" w:hAnsi="Times New Roman"/>
          <w:b/>
          <w:sz w:val="24"/>
        </w:rPr>
        <w:t>engagement progression</w:t>
      </w:r>
      <w:r>
        <w:rPr>
          <w:rFonts w:ascii="Times New Roman" w:hAnsi="Times New Roman"/>
          <w:sz w:val="24"/>
        </w:rPr>
        <w:t xml:space="preserve"> aligned with the NASA Public-Science Engagement Spectrum: (1) </w:t>
      </w:r>
      <w:r>
        <w:rPr>
          <w:rFonts w:ascii="Times New Roman" w:hAnsi="Times New Roman"/>
          <w:b/>
          <w:sz w:val="24"/>
        </w:rPr>
        <w:t>Awareness</w:t>
      </w:r>
      <w:r>
        <w:rPr>
          <w:rFonts w:ascii="Times New Roman" w:hAnsi="Times New Roman"/>
          <w:sz w:val="24"/>
        </w:rPr>
        <w:t xml:space="preserve"> modules (e.g., “What’s in the Air?”) introduce satellite-based air quality concepts through guided exploration of NASA Worldview and TEMPO imagery; (2) </w:t>
      </w:r>
      <w:r>
        <w:rPr>
          <w:rFonts w:ascii="Times New Roman" w:hAnsi="Times New Roman"/>
          <w:b/>
          <w:sz w:val="24"/>
        </w:rPr>
        <w:t>Learning</w:t>
      </w:r>
      <w:r>
        <w:rPr>
          <w:rFonts w:ascii="Times New Roman" w:hAnsi="Times New Roman"/>
          <w:sz w:val="24"/>
        </w:rPr>
        <w:t xml:space="preserve"> modules (e.g., “Pollution Around the Clock,” “Smoke Signals from Space”) build data interpretation skills through structured investigations of hourly TEMPO patterns and wildfire smoke transport; (3) </w:t>
      </w:r>
      <w:r>
        <w:rPr>
          <w:rFonts w:ascii="Times New Roman" w:hAnsi="Times New Roman"/>
          <w:b/>
          <w:sz w:val="24"/>
        </w:rPr>
        <w:t>Experience</w:t>
      </w:r>
      <w:r>
        <w:rPr>
          <w:rFonts w:ascii="Times New Roman" w:hAnsi="Times New Roman"/>
          <w:sz w:val="24"/>
        </w:rPr>
        <w:t xml:space="preserve"> modules (e.g., “Particles That Matter,” “Urban Heat and Health”) engage participants in hands-on analysis of MAIA PM2.5 data and environmental justice dimensions; and (4) </w:t>
      </w:r>
      <w:r>
        <w:rPr>
          <w:rFonts w:ascii="Times New Roman" w:hAnsi="Times New Roman"/>
          <w:b/>
          <w:sz w:val="24"/>
        </w:rPr>
        <w:t>Contribution</w:t>
      </w:r>
      <w:r>
        <w:rPr>
          <w:rFonts w:ascii="Times New Roman" w:hAnsi="Times New Roman"/>
          <w:sz w:val="24"/>
        </w:rPr>
        <w:t xml:space="preserve"> modules (e.g., “Be a Community Air Monitor”) guide participants through building low-cost PM2.5 sensors, collecting ground measurements, and comparing them with satellite observations to validate NASA data. Each module specifies grade level (7–12), duration, NGSS alignment, learning objectives, and the NASA data assets used, and all materials are available in English and Spanish.</w:t>
      </w:r>
    </w:p>
    <w:p>
      <w:pPr>
        <w:spacing w:after="120" w:line="300" w:lineRule="auto"/>
      </w:pPr>
      <w:r>
        <w:rPr>
          <w:rFonts w:ascii="Times New Roman" w:hAnsi="Times New Roman"/>
          <w:sz w:val="24"/>
        </w:rPr>
        <w:t xml:space="preserve">The platform also features </w:t>
      </w:r>
      <w:r>
        <w:rPr>
          <w:rFonts w:ascii="Times New Roman" w:hAnsi="Times New Roman"/>
          <w:b/>
          <w:sz w:val="24"/>
        </w:rPr>
        <w:t>regional data stories</w:t>
      </w:r>
      <w:r>
        <w:rPr>
          <w:rFonts w:ascii="Times New Roman" w:hAnsi="Times New Roman"/>
          <w:sz w:val="24"/>
        </w:rPr>
        <w:t xml:space="preserve"> that narrate environmental challenges specific to each pilot community—petrochemical emissions and hurricane-related chemical releases in Houston, transboundary pollution and agricultural dust along the U.S.–Mexico border, cross-border emissions and desert dust in El Paso—using curated NASA data visualizations and locally relevant health context. An integrated </w:t>
      </w:r>
      <w:r>
        <w:rPr>
          <w:rFonts w:ascii="Times New Roman" w:hAnsi="Times New Roman"/>
          <w:b/>
          <w:sz w:val="24"/>
        </w:rPr>
        <w:t>Educator Hub</w:t>
      </w:r>
      <w:r>
        <w:rPr>
          <w:rFonts w:ascii="Times New Roman" w:hAnsi="Times New Roman"/>
          <w:sz w:val="24"/>
        </w:rPr>
        <w:t xml:space="preserve"> provides classroom-ready lesson plans, data activities aligned with the Texas Essential Knowledge and Skills (TEKS) and NGSS standards, and direct links to professional development resources (Section 7.3). Educators can filter modules by grade level, topic, engagement level, and NASA mission, and access downloadable investigation worksheets and discussion guides. By building on the strengths of GLOBE, My NASA Data, and NESEC—and linking directly to their resources where appropriate—while adding place-based health integration, scaffolded engagement, and next-generation mission data that these platforms do not yet offer, the BREATHE Data Exploration Platform fills a critical gap in NASA’s Science Activation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