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u w:val="none"/>
        </w:rPr>
        <w:t xml:space="preserve">BREATHE: </w:t>
      </w:r>
      <w:r>
        <w:rPr>
          <w:rFonts w:ascii="Times New Roman" w:hAnsi="Times New Roman"/>
          <w:b/>
          <w:sz w:val="24"/>
          <w:u w:val="single"/>
        </w:rPr>
        <w:t>BR</w:t>
      </w:r>
      <w:r>
        <w:rPr>
          <w:rFonts w:ascii="Times New Roman" w:hAnsi="Times New Roman"/>
          <w:b/>
          <w:sz w:val="24"/>
          <w:u w:val="none"/>
        </w:rPr>
        <w:t xml:space="preserve">idging </w:t>
      </w:r>
      <w:r>
        <w:rPr>
          <w:rFonts w:ascii="Times New Roman" w:hAnsi="Times New Roman"/>
          <w:b/>
          <w:sz w:val="24"/>
          <w:u w:val="single"/>
        </w:rPr>
        <w:t>E</w:t>
      </w:r>
      <w:r>
        <w:rPr>
          <w:rFonts w:ascii="Times New Roman" w:hAnsi="Times New Roman"/>
          <w:b/>
          <w:sz w:val="24"/>
          <w:u w:val="none"/>
        </w:rPr>
        <w:t xml:space="preserve">ducation on </w:t>
      </w:r>
      <w:r>
        <w:rPr>
          <w:rFonts w:ascii="Times New Roman" w:hAnsi="Times New Roman"/>
          <w:b/>
          <w:sz w:val="24"/>
          <w:u w:val="single"/>
        </w:rPr>
        <w:t>A</w:t>
      </w:r>
      <w:r>
        <w:rPr>
          <w:rFonts w:ascii="Times New Roman" w:hAnsi="Times New Roman"/>
          <w:b/>
          <w:sz w:val="24"/>
          <w:u w:val="none"/>
        </w:rPr>
        <w:t xml:space="preserve">tmosphere, </w:t>
      </w:r>
      <w:r>
        <w:rPr>
          <w:rFonts w:ascii="Times New Roman" w:hAnsi="Times New Roman"/>
          <w:b/>
          <w:sz w:val="24"/>
          <w:u w:val="single"/>
        </w:rPr>
        <w:t>T</w:t>
      </w:r>
      <w:r>
        <w:rPr>
          <w:rFonts w:ascii="Times New Roman" w:hAnsi="Times New Roman"/>
          <w:b/>
          <w:sz w:val="24"/>
          <w:u w:val="none"/>
        </w:rPr>
        <w:t xml:space="preserve">echnology, and </w:t>
      </w:r>
      <w:r>
        <w:rPr>
          <w:rFonts w:ascii="Times New Roman" w:hAnsi="Times New Roman"/>
          <w:b/>
          <w:sz w:val="24"/>
          <w:u w:val="single"/>
        </w:rPr>
        <w:t>HE</w:t>
      </w:r>
      <w:r>
        <w:rPr>
          <w:rFonts w:ascii="Times New Roman" w:hAnsi="Times New Roman"/>
          <w:b/>
          <w:sz w:val="24"/>
          <w:u w:val="none"/>
        </w:rPr>
        <w:t>alth</w:t>
      </w:r>
    </w:p>
    <w:p>
      <w:pPr>
        <w:spacing w:after="120"/>
        <w:pBdr>
          <w:bottom w:val="single" w:sz="12" w:space="1" w:color="000000"/>
        </w:pBdr>
      </w:pPr>
    </w:p>
    <w:p>
      <w:pPr>
        <w:spacing w:before="240" w:after="120"/>
      </w:pPr>
      <w:r>
        <w:rPr>
          <w:rFonts w:ascii="Times New Roman" w:hAnsi="Times New Roman"/>
          <w:b/>
          <w:sz w:val="24"/>
        </w:rPr>
        <w:t>7.4 Citizen Science and Community Monitoring</w:t>
      </w:r>
    </w:p>
    <w:p>
      <w:pPr>
        <w:spacing w:after="120" w:line="300" w:lineRule="auto"/>
      </w:pPr>
      <w:r>
        <w:rPr>
          <w:rFonts w:ascii="Times New Roman" w:hAnsi="Times New Roman"/>
          <w:sz w:val="24"/>
        </w:rPr>
        <w:t xml:space="preserve">BREATHE engages participants in collecting environmental measurements and comparing them with NASA satellite observations, following a tiered implementation strategy that matches the depth of citizen science activity to available resources at each project stage. This approach is grounded in the framework of </w:t>
      </w:r>
      <w:r>
        <w:rPr>
          <w:rFonts w:ascii="Times New Roman" w:hAnsi="Times New Roman"/>
          <w:b/>
          <w:sz w:val="24"/>
        </w:rPr>
        <w:t>legitimate peripheral participation</w:t>
      </w:r>
      <w:r>
        <w:rPr>
          <w:rFonts w:ascii="Times New Roman" w:hAnsi="Times New Roman"/>
          <w:sz w:val="24"/>
        </w:rPr>
        <w:t xml:space="preserve"> [Lave and Wenger, 1991], which holds that learners develop scientific competence by engaging in authentic practices within a community of practice—beginning with structured, guided tasks and progressively taking on more independent roles as their expertise grows. In BREATHE, participants move from guided observation and data interpretation to independent sensor deployment and ground-truth validation, building scientific identity through increasingly consequential contributions to NASA Earth science.</w:t>
      </w:r>
    </w:p>
    <w:p>
      <w:pPr>
        <w:spacing w:after="120" w:line="300" w:lineRule="auto"/>
      </w:pPr>
      <w:r>
        <w:rPr>
          <w:rFonts w:ascii="Times New Roman" w:hAnsi="Times New Roman"/>
          <w:sz w:val="24"/>
        </w:rPr>
      </w:r>
      <w:r>
        <w:rPr>
          <w:rFonts w:ascii="Times New Roman" w:hAnsi="Times New Roman"/>
          <w:b/>
          <w:sz w:val="24"/>
        </w:rPr>
        <w:t>Stage 1: Sensor-Based Monitoring in Pilot Communities.</w:t>
      </w:r>
      <w:r>
        <w:rPr>
          <w:rFonts w:ascii="Times New Roman" w:hAnsi="Times New Roman"/>
          <w:sz w:val="24"/>
        </w:rPr>
        <w:t xml:space="preserve"> During the first two years, BREATHE deploys networks of </w:t>
      </w:r>
      <w:r>
        <w:rPr>
          <w:rFonts w:ascii="Times New Roman" w:hAnsi="Times New Roman"/>
          <w:b/>
          <w:sz w:val="24"/>
        </w:rPr>
        <w:t>low-cost air quality sensors</w:t>
      </w:r>
      <w:r>
        <w:rPr>
          <w:rFonts w:ascii="Times New Roman" w:hAnsi="Times New Roman"/>
          <w:sz w:val="24"/>
        </w:rPr>
        <w:t xml:space="preserve"> (PM2.5 monitors) at partner schools and community sites in Houston, Galveston, El Paso, and Brownsville. Working through the learning module “Be a Community Air Monitor” (Section 7.1), student and community participants assemble, calibrate, and deploy sensors; design sampling strategies appropriate to their local environment (e.g., proximity to the Houston Ship Channel, agricultural burning cycles in the Rio Grande Valley, transboundary dust events in El Paso); and collect continuous PM2.5 time-series data. Participants follow standardized data collection and quality-control protocols developed in consultation with HAQAST scientists, ensuring that measurements meet minimum quality thresholds for meaningful comparison with satellite products. Sensor data are uploaded to the BREATHE Data Exploration Platform (Section 7.2), where they appear alongside TEMPO, MAIA, and MODIS/VIIRS satellite layers, enabling participants to visually compare their ground-level readings with satellite-derived estimates for the same location and time period. This co-visualization makes the concept of satellite validation concrete: participants can see where satellite and ground measurements agree, where they diverge, and discuss what factors—cloud cover, sensor placement, spatial resolution—might explain differences. We target deployment of sensors at approximately 10–15 sites across the four pilot communities during Stage 1, with each site maintained by a trained educator or community partner.</w:t>
      </w:r>
    </w:p>
    <w:p>
      <w:pPr>
        <w:spacing w:after="120" w:line="300" w:lineRule="auto"/>
      </w:pPr>
      <w:r>
        <w:rPr>
          <w:rFonts w:ascii="Times New Roman" w:hAnsi="Times New Roman"/>
          <w:sz w:val="24"/>
        </w:rPr>
      </w:r>
      <w:r>
        <w:rPr>
          <w:rFonts w:ascii="Times New Roman" w:hAnsi="Times New Roman"/>
          <w:b/>
          <w:sz w:val="24"/>
        </w:rPr>
        <w:t>Stage 2: Observation-Based Citizen Science Across Texas.</w:t>
      </w:r>
      <w:r>
        <w:rPr>
          <w:rFonts w:ascii="Times New Roman" w:hAnsi="Times New Roman"/>
          <w:sz w:val="24"/>
        </w:rPr>
        <w:t xml:space="preserve"> As BREATHE expands across Texas (years 2–4), deploying dedicated sensor networks at every new site is not feasible. Instead, the project shifts to a </w:t>
      </w:r>
      <w:r>
        <w:rPr>
          <w:rFonts w:ascii="Times New Roman" w:hAnsi="Times New Roman"/>
          <w:b/>
          <w:sz w:val="24"/>
        </w:rPr>
        <w:t>virtual and observation-based citizen science model</w:t>
      </w:r>
      <w:r>
        <w:rPr>
          <w:rFonts w:ascii="Times New Roman" w:hAnsi="Times New Roman"/>
          <w:sz w:val="24"/>
        </w:rPr>
        <w:t xml:space="preserve"> that enables broad participation without hardware costs. Participants at expansion sites engage through three complementary pathways. First, they use the Data Exploration Platform to conduct </w:t>
      </w:r>
      <w:r>
        <w:rPr>
          <w:rFonts w:ascii="Times New Roman" w:hAnsi="Times New Roman"/>
          <w:b/>
          <w:sz w:val="24"/>
        </w:rPr>
        <w:t>guided satellite data investigations</w:t>
      </w:r>
      <w:r>
        <w:rPr>
          <w:rFonts w:ascii="Times New Roman" w:hAnsi="Times New Roman"/>
          <w:sz w:val="24"/>
        </w:rPr>
        <w:t xml:space="preserve"> for their own communities—selecting their location, examining TEMPO and MAIA data layers, comparing current conditions with historical patterns, and recording structured observations about local environmental conditions (e.g., visible haze, nearby emission sources, traffic patterns, weather) that provide qualitative ground context for satellite data. Second, participants submit </w:t>
      </w:r>
      <w:r>
        <w:rPr>
          <w:rFonts w:ascii="Times New Roman" w:hAnsi="Times New Roman"/>
          <w:b/>
          <w:sz w:val="24"/>
        </w:rPr>
        <w:t>standardized sky and visibility observations</w:t>
      </w:r>
      <w:r>
        <w:rPr>
          <w:rFonts w:ascii="Times New Roman" w:hAnsi="Times New Roman"/>
          <w:sz w:val="24"/>
        </w:rPr>
        <w:t xml:space="preserve"> through a mobile-friendly interface on the platform, reporting cloud cover, sky clarity, and perceived air quality using a structured protocol adapted from GLOBE’s atmosphere observation methods. These observations are timestamped and geolocated, creating a distributed network of human observers whose reports complement satellite measurements—particularly valuable in areas with limited ground-based monitoring infrastructure, such as rural and border communities. Third, where participants or partner organizations have access to existing low-cost sensor networks (e.g., PurpleAir), the platform provides tools for </w:t>
      </w:r>
      <w:r>
        <w:rPr>
          <w:rFonts w:ascii="Times New Roman" w:hAnsi="Times New Roman"/>
          <w:b/>
          <w:sz w:val="24"/>
        </w:rPr>
        <w:t>importing and co-visualizing third-party sensor data</w:t>
      </w:r>
      <w:r>
        <w:rPr>
          <w:rFonts w:ascii="Times New Roman" w:hAnsi="Times New Roman"/>
          <w:sz w:val="24"/>
        </w:rPr>
        <w:t xml:space="preserve"> alongside NASA products, extending the ground-to-satellite comparison without requiring BREATHE-funded hardware. Online training modules (Section 7.1) prepare participants for these activities with the same data literacy skills taught in the sensor-based pilot, ensuring scientific rigor is maintained as participation scales.</w:t>
      </w:r>
    </w:p>
    <w:p>
      <w:pPr>
        <w:spacing w:after="120" w:line="300" w:lineRule="auto"/>
      </w:pPr>
      <w:r>
        <w:rPr>
          <w:rFonts w:ascii="Times New Roman" w:hAnsi="Times New Roman"/>
          <w:sz w:val="24"/>
        </w:rPr>
      </w:r>
      <w:r>
        <w:rPr>
          <w:rFonts w:ascii="Times New Roman" w:hAnsi="Times New Roman"/>
          <w:b/>
          <w:sz w:val="24"/>
        </w:rPr>
        <w:t>Stage 3: National Scaling Through the Platform and Educator Networks.</w:t>
      </w:r>
      <w:r>
        <w:rPr>
          <w:rFonts w:ascii="Times New Roman" w:hAnsi="Times New Roman"/>
          <w:sz w:val="24"/>
        </w:rPr>
        <w:t xml:space="preserve"> At the national scale (years 4–5), citizen science participation is sustained entirely through the Data Exploration Platform and online learning modules, with no project-funded sensor deployment. Participants nationwide use the platform’s place-based interface to investigate satellite-observed air quality in their communities, submit sky and environmental observations, and compare their reports with TEMPO, PACE, and MAIA data. The platform aggregates these distributed observations into a </w:t>
      </w:r>
      <w:r>
        <w:rPr>
          <w:rFonts w:ascii="Times New Roman" w:hAnsi="Times New Roman"/>
          <w:b/>
          <w:sz w:val="24"/>
        </w:rPr>
        <w:t>community observation map</w:t>
      </w:r>
      <w:r>
        <w:rPr>
          <w:rFonts w:ascii="Times New Roman" w:hAnsi="Times New Roman"/>
          <w:sz w:val="24"/>
        </w:rPr>
        <w:t xml:space="preserve"> that grows as participation expands, providing a nationally scaled, participant-generated dataset of local atmospheric conditions that contextualizes NASA satellite products. Educators trained through BREATHE’s professional development pathway (Section 7.3) facilitate these activities in classrooms and informal learning settings using the learning modules and data activities from Section 7.1. Where sensor-based pilot data from Stage 1 communities remain active, they continue to feed the platform and serve as anchoring examples for new participants—demonstrating what ground-truth validation looks like and motivating deeper engagement. This tiered design ensures that BREATHE’s citizen science activities are scientifically meaningful at every scale: hardware-intensive where resources allow, observation-based where they do not, and always connected to authentic NASA satellite data through the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