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u w:val="none"/>
        </w:rPr>
        <w:t xml:space="preserve">BREATHE: </w:t>
      </w:r>
      <w:r>
        <w:rPr>
          <w:rFonts w:ascii="Times New Roman" w:hAnsi="Times New Roman"/>
          <w:b/>
          <w:sz w:val="24"/>
          <w:u w:val="single"/>
        </w:rPr>
        <w:t>BR</w:t>
      </w:r>
      <w:r>
        <w:rPr>
          <w:rFonts w:ascii="Times New Roman" w:hAnsi="Times New Roman"/>
          <w:b/>
          <w:sz w:val="24"/>
          <w:u w:val="none"/>
        </w:rPr>
        <w:t xml:space="preserve">idging </w:t>
      </w:r>
      <w:r>
        <w:rPr>
          <w:rFonts w:ascii="Times New Roman" w:hAnsi="Times New Roman"/>
          <w:b/>
          <w:sz w:val="24"/>
          <w:u w:val="single"/>
        </w:rPr>
        <w:t>E</w:t>
      </w:r>
      <w:r>
        <w:rPr>
          <w:rFonts w:ascii="Times New Roman" w:hAnsi="Times New Roman"/>
          <w:b/>
          <w:sz w:val="24"/>
          <w:u w:val="none"/>
        </w:rPr>
        <w:t xml:space="preserve">ducation on </w:t>
      </w:r>
      <w:r>
        <w:rPr>
          <w:rFonts w:ascii="Times New Roman" w:hAnsi="Times New Roman"/>
          <w:b/>
          <w:sz w:val="24"/>
          <w:u w:val="single"/>
        </w:rPr>
        <w:t>A</w:t>
      </w:r>
      <w:r>
        <w:rPr>
          <w:rFonts w:ascii="Times New Roman" w:hAnsi="Times New Roman"/>
          <w:b/>
          <w:sz w:val="24"/>
          <w:u w:val="none"/>
        </w:rPr>
        <w:t xml:space="preserve">tmosphere, </w:t>
      </w:r>
      <w:r>
        <w:rPr>
          <w:rFonts w:ascii="Times New Roman" w:hAnsi="Times New Roman"/>
          <w:b/>
          <w:sz w:val="24"/>
          <w:u w:val="single"/>
        </w:rPr>
        <w:t>T</w:t>
      </w:r>
      <w:r>
        <w:rPr>
          <w:rFonts w:ascii="Times New Roman" w:hAnsi="Times New Roman"/>
          <w:b/>
          <w:sz w:val="24"/>
          <w:u w:val="none"/>
        </w:rPr>
        <w:t xml:space="preserve">echnology, and </w:t>
      </w:r>
      <w:r>
        <w:rPr>
          <w:rFonts w:ascii="Times New Roman" w:hAnsi="Times New Roman"/>
          <w:b/>
          <w:sz w:val="24"/>
          <w:u w:val="single"/>
        </w:rPr>
        <w:t>HE</w:t>
      </w:r>
      <w:r>
        <w:rPr>
          <w:rFonts w:ascii="Times New Roman" w:hAnsi="Times New Roman"/>
          <w:b/>
          <w:sz w:val="24"/>
          <w:u w:val="none"/>
        </w:rPr>
        <w:t>alth</w:t>
      </w:r>
    </w:p>
    <w:p>
      <w:pPr>
        <w:spacing w:after="120"/>
        <w:pBdr>
          <w:bottom w:val="single" w:sz="12" w:space="1" w:color="000000"/>
        </w:pBdr>
      </w:pPr>
    </w:p>
    <w:p>
      <w:pPr>
        <w:spacing w:before="240" w:after="120"/>
      </w:pPr>
      <w:r>
        <w:rPr>
          <w:rFonts w:ascii="Times New Roman" w:hAnsi="Times New Roman"/>
          <w:b/>
          <w:sz w:val="24"/>
        </w:rPr>
        <w:t>7.1 NASA Earth Science Learning Modules</w:t>
      </w:r>
    </w:p>
    <w:p>
      <w:pPr>
        <w:spacing w:after="120" w:line="300" w:lineRule="auto"/>
      </w:pPr>
      <w:r>
        <w:rPr>
          <w:rFonts w:ascii="Times New Roman" w:hAnsi="Times New Roman"/>
          <w:sz w:val="24"/>
        </w:rPr>
        <w:t xml:space="preserve">BREATHE develops a suite of learning modules that use curated datasets from TEMPO, PACE, MAIA, and HAQAST data fusion products (Section 4) to explore atmospheric processes, air pollution patterns, and environmental exposure in locally relevant contexts. Each module is a self-contained, classroom-ready investigation that positions participants as active analysts of NASA EO data rather than passive recipients of content. Modules target grades 7–12, include educator facilitation guides, and are available in English and Spanish. The module suite is organized along a four-level </w:t>
      </w:r>
      <w:r>
        <w:rPr>
          <w:rFonts w:ascii="Times New Roman" w:hAnsi="Times New Roman"/>
          <w:b/>
          <w:sz w:val="24"/>
        </w:rPr>
        <w:t>engagement progression</w:t>
      </w:r>
      <w:r>
        <w:rPr>
          <w:rFonts w:ascii="Times New Roman" w:hAnsi="Times New Roman"/>
          <w:sz w:val="24"/>
        </w:rPr>
        <w:t xml:space="preserve"> aligned with the NASA Public-Science Engagement Spectrum [NASA Science Mission Directorate, 2025]:</w:t>
      </w:r>
    </w:p>
    <w:p>
      <w:pPr>
        <w:spacing w:after="120" w:line="300" w:lineRule="auto"/>
      </w:pPr>
      <w:r>
        <w:rPr>
          <w:rFonts w:ascii="Times New Roman" w:hAnsi="Times New Roman"/>
          <w:sz w:val="24"/>
        </w:rPr>
      </w:r>
      <w:r>
        <w:rPr>
          <w:rFonts w:ascii="Times New Roman" w:hAnsi="Times New Roman"/>
          <w:b/>
          <w:sz w:val="24"/>
        </w:rPr>
        <w:t>Awareness.</w:t>
      </w:r>
      <w:r>
        <w:rPr>
          <w:rFonts w:ascii="Times New Roman" w:hAnsi="Times New Roman"/>
          <w:sz w:val="24"/>
        </w:rPr>
        <w:t xml:space="preserve"> Introductory modules such as “What’s in the Air?” (45–60 minutes, grades 6–8) introduce key air pollutants and their health effects, explain how satellites measure atmospheric composition, and guide participants through NASA Worldview and TEMPO imagery to compare air quality across communities. </w:t>
      </w:r>
      <w:r>
        <w:rPr>
          <w:rFonts w:ascii="Times New Roman" w:hAnsi="Times New Roman"/>
          <w:b/>
          <w:sz w:val="24"/>
        </w:rPr>
        <w:t>Learning.</w:t>
      </w:r>
      <w:r>
        <w:rPr>
          <w:rFonts w:ascii="Times New Roman" w:hAnsi="Times New Roman"/>
          <w:sz w:val="24"/>
        </w:rPr>
        <w:t xml:space="preserve"> “Pollution Around the Clock” (60–90 minutes, grades 8–12) uses TEMPO’s hourly NO₂ to investigate diurnal air quality variation, asking participants to identify emission sources, analyze meteorological modulation, and propose evidence-based recommendations for reducing exposure. “Smoke Signals from Space” (60–90 minutes, grades 7–12) uses MODIS/VIIRS fire detections and FIRMS data to trace a real wildfire smoke event from ignition to community health impact. </w:t>
      </w:r>
      <w:r>
        <w:rPr>
          <w:rFonts w:ascii="Times New Roman" w:hAnsi="Times New Roman"/>
          <w:b/>
          <w:sz w:val="24"/>
        </w:rPr>
        <w:t>Experience.</w:t>
      </w:r>
      <w:r>
        <w:rPr>
          <w:rFonts w:ascii="Times New Roman" w:hAnsi="Times New Roman"/>
          <w:sz w:val="24"/>
        </w:rPr>
        <w:t xml:space="preserve"> “Particles That Matter” (two class periods, grades 9–12) guides participants through interpreting MAIA PM2.5 maps and comparing satellite-derived estimates with EPA AirNow ground measurements, extending to environmental justice dimensions by overlaying SVI data to analyze PM exposure across communities with different socioeconomic characteristics. “Urban Heat and Health” (90 minutes, grades 9–12) maps heat exposure using MODIS/VIIRS land surface temperature and Landsat thermal data. </w:t>
      </w:r>
      <w:r>
        <w:rPr>
          <w:rFonts w:ascii="Times New Roman" w:hAnsi="Times New Roman"/>
          <w:b/>
          <w:sz w:val="24"/>
        </w:rPr>
        <w:t>Contribution.</w:t>
      </w:r>
      <w:r>
        <w:rPr>
          <w:rFonts w:ascii="Times New Roman" w:hAnsi="Times New Roman"/>
          <w:sz w:val="24"/>
        </w:rPr>
        <w:t xml:space="preserve"> “Be a Community Air Monitor” (4–6 hours, grades 8–12 and community participants) guides learners through the full citizen science cycle: assembling low-cost PM2.5 sensors, collecting and quality-checking measurements, comparing ground-based data with satellite observations, and communicating findings to stakeholders. This module links to the citizen science activities in Section 7.4 and produces data integrated into the Data Exploration Platform (Section 7.2).</w:t>
      </w:r>
    </w:p>
    <w:p>
      <w:pPr>
        <w:spacing w:after="120" w:line="300" w:lineRule="auto"/>
      </w:pPr>
      <w:r>
        <w:rPr>
          <w:rFonts w:ascii="Times New Roman" w:hAnsi="Times New Roman"/>
          <w:sz w:val="24"/>
        </w:rPr>
        <w:t>All modules specify NGSS and TEKS alignment, learning objectives, NASA data assets, and estimated duration. They complement—rather than duplicate—existing SciAct resources: where GLOBE provides protocols for atmospheric measurement and My NASA Data offers mini-lessons using historical datasets, BREATHE modules integrate next-generation mission data these platforms do not yet feature, anchor investigations in local environmental conditions, and explicitly connect atmospheric observations to community health outcomes. Modules are iteratively refined through co-design with educators (Section 7.3) and feedback from pilot implementation.</w:t>
      </w:r>
    </w:p>
    <w:p>
      <w:r>
        <w:br w:type="page"/>
      </w:r>
    </w:p>
    <w:p>
      <w:r>
        <w:rPr>
          <w:rFonts w:ascii="Times New Roman" w:hAnsi="Times New Roman"/>
          <w:b/>
          <w:sz w:val="24"/>
          <w:u w:val="none"/>
        </w:rPr>
        <w:t xml:space="preserve">BREATHE: </w:t>
      </w:r>
      <w:r>
        <w:rPr>
          <w:rFonts w:ascii="Times New Roman" w:hAnsi="Times New Roman"/>
          <w:b/>
          <w:sz w:val="24"/>
          <w:u w:val="single"/>
        </w:rPr>
        <w:t>BR</w:t>
      </w:r>
      <w:r>
        <w:rPr>
          <w:rFonts w:ascii="Times New Roman" w:hAnsi="Times New Roman"/>
          <w:b/>
          <w:sz w:val="24"/>
          <w:u w:val="none"/>
        </w:rPr>
        <w:t xml:space="preserve">idging </w:t>
      </w:r>
      <w:r>
        <w:rPr>
          <w:rFonts w:ascii="Times New Roman" w:hAnsi="Times New Roman"/>
          <w:b/>
          <w:sz w:val="24"/>
          <w:u w:val="single"/>
        </w:rPr>
        <w:t>E</w:t>
      </w:r>
      <w:r>
        <w:rPr>
          <w:rFonts w:ascii="Times New Roman" w:hAnsi="Times New Roman"/>
          <w:b/>
          <w:sz w:val="24"/>
          <w:u w:val="none"/>
        </w:rPr>
        <w:t xml:space="preserve">ducation on </w:t>
      </w:r>
      <w:r>
        <w:rPr>
          <w:rFonts w:ascii="Times New Roman" w:hAnsi="Times New Roman"/>
          <w:b/>
          <w:sz w:val="24"/>
          <w:u w:val="single"/>
        </w:rPr>
        <w:t>A</w:t>
      </w:r>
      <w:r>
        <w:rPr>
          <w:rFonts w:ascii="Times New Roman" w:hAnsi="Times New Roman"/>
          <w:b/>
          <w:sz w:val="24"/>
          <w:u w:val="none"/>
        </w:rPr>
        <w:t xml:space="preserve">tmosphere, </w:t>
      </w:r>
      <w:r>
        <w:rPr>
          <w:rFonts w:ascii="Times New Roman" w:hAnsi="Times New Roman"/>
          <w:b/>
          <w:sz w:val="24"/>
          <w:u w:val="single"/>
        </w:rPr>
        <w:t>T</w:t>
      </w:r>
      <w:r>
        <w:rPr>
          <w:rFonts w:ascii="Times New Roman" w:hAnsi="Times New Roman"/>
          <w:b/>
          <w:sz w:val="24"/>
          <w:u w:val="none"/>
        </w:rPr>
        <w:t xml:space="preserve">echnology, and </w:t>
      </w:r>
      <w:r>
        <w:rPr>
          <w:rFonts w:ascii="Times New Roman" w:hAnsi="Times New Roman"/>
          <w:b/>
          <w:sz w:val="24"/>
          <w:u w:val="single"/>
        </w:rPr>
        <w:t>HE</w:t>
      </w:r>
      <w:r>
        <w:rPr>
          <w:rFonts w:ascii="Times New Roman" w:hAnsi="Times New Roman"/>
          <w:b/>
          <w:sz w:val="24"/>
          <w:u w:val="none"/>
        </w:rPr>
        <w:t>alth</w:t>
      </w:r>
    </w:p>
    <w:p>
      <w:pPr>
        <w:spacing w:after="120"/>
        <w:pBdr>
          <w:bottom w:val="single" w:sz="12" w:space="1" w:color="000000"/>
        </w:pBdr>
      </w:pPr>
    </w:p>
    <w:p>
      <w:pPr>
        <w:spacing w:before="240" w:after="120"/>
      </w:pPr>
      <w:r>
        <w:rPr>
          <w:rFonts w:ascii="Times New Roman" w:hAnsi="Times New Roman"/>
          <w:b/>
          <w:sz w:val="24"/>
        </w:rPr>
        <w:t>7.2 Data Exploration Platform</w:t>
      </w:r>
    </w:p>
    <w:p>
      <w:pPr>
        <w:spacing w:after="120" w:line="300" w:lineRule="auto"/>
      </w:pPr>
      <w:r>
        <w:rPr>
          <w:rFonts w:ascii="Times New Roman" w:hAnsi="Times New Roman"/>
          <w:sz w:val="24"/>
        </w:rPr>
        <w:t xml:space="preserve">Existing SciAct platforms—GLOBE, My NASA Data, NESEC—provide valuable but general-purpose access to atmospheric data. They are not designed to let participants explore how satellite observations relate to specific atmospheric conditions and health outcomes in their own communities, nor do they integrate TEMPO, PACE, and MAIA alongside community-collected citizen science data into a single, locally contextualized environment. BREATHE addresses this gap through a purpose-built </w:t>
      </w:r>
      <w:r>
        <w:rPr>
          <w:rFonts w:ascii="Times New Roman" w:hAnsi="Times New Roman"/>
          <w:b/>
          <w:sz w:val="24"/>
        </w:rPr>
        <w:t>Data Exploration Platform</w:t>
      </w:r>
      <w:r>
        <w:rPr>
          <w:rFonts w:ascii="Times New Roman" w:hAnsi="Times New Roman"/>
          <w:sz w:val="24"/>
        </w:rPr>
        <w:t xml:space="preserve"> that unifies curated NASA satellite datasets, citizen science observations from BREATHE participants (Section 7.4), and community-level health indicators within an interactive visualization interface. Unlike existing tools that present data at continental scales, the platform is organized around </w:t>
      </w:r>
      <w:r>
        <w:rPr>
          <w:rFonts w:ascii="Times New Roman" w:hAnsi="Times New Roman"/>
          <w:b/>
          <w:sz w:val="24"/>
        </w:rPr>
        <w:t>place-based entry points</w:t>
      </w:r>
      <w:r>
        <w:rPr>
          <w:rFonts w:ascii="Times New Roman" w:hAnsi="Times New Roman"/>
          <w:sz w:val="24"/>
        </w:rPr>
        <w:t>: users select their community (e.g., Houston Ship Channel, Rio Grande Valley, El Paso) and immediately see satellite observations, ground measurements, and health indicators relevant to that location.</w:t>
      </w:r>
    </w:p>
    <w:p>
      <w:pPr>
        <w:spacing w:after="120" w:line="300" w:lineRule="auto"/>
      </w:pPr>
      <w:r>
        <w:rPr>
          <w:rFonts w:ascii="Times New Roman" w:hAnsi="Times New Roman"/>
          <w:sz w:val="24"/>
        </w:rPr>
        <w:t xml:space="preserve">The platform provides a </w:t>
      </w:r>
      <w:r>
        <w:rPr>
          <w:rFonts w:ascii="Times New Roman" w:hAnsi="Times New Roman"/>
          <w:b/>
          <w:sz w:val="24"/>
        </w:rPr>
        <w:t>map-based explorer</w:t>
      </w:r>
      <w:r>
        <w:rPr>
          <w:rFonts w:ascii="Times New Roman" w:hAnsi="Times New Roman"/>
          <w:sz w:val="24"/>
        </w:rPr>
        <w:t xml:space="preserve"> with toggleable data layers drawn from the NASA science assets described in Section 4: TEMPO hourly NO₂, ozone, and formaldehyde; PACE aerosol optical depth and particle composition; MAIA PM2.5 mass and speciated concentrations; MODIS/VIIRS aerosol optical depth, fire detections, and land surface temperature; and HAQAST surface PM2.5, organic carbon, and elemental carbon estimates at census-tract resolution. Alongside these satellite products, the platform displays </w:t>
      </w:r>
      <w:r>
        <w:rPr>
          <w:rFonts w:ascii="Times New Roman" w:hAnsi="Times New Roman"/>
          <w:b/>
          <w:sz w:val="24"/>
        </w:rPr>
        <w:t>citizen science data</w:t>
      </w:r>
      <w:r>
        <w:rPr>
          <w:rFonts w:ascii="Times New Roman" w:hAnsi="Times New Roman"/>
          <w:sz w:val="24"/>
        </w:rPr>
        <w:t xml:space="preserve">—ground-level PM2.5 from low-cost sensors at schools and community sites, sky condition observations, and locally recorded environmental conditions (Section 7.4). Co-locating satellite and ground-based data on the same interface enables direct comparison between what NASA observes from orbit and what participants measure on the ground, reinforcing data validation concepts and making citizen science contributions scientifically meaningful. Interactive features include a </w:t>
      </w:r>
      <w:r>
        <w:rPr>
          <w:rFonts w:ascii="Times New Roman" w:hAnsi="Times New Roman"/>
          <w:b/>
          <w:sz w:val="24"/>
        </w:rPr>
        <w:t>compare mode</w:t>
      </w:r>
      <w:r>
        <w:rPr>
          <w:rFonts w:ascii="Times New Roman" w:hAnsi="Times New Roman"/>
          <w:sz w:val="24"/>
        </w:rPr>
        <w:t xml:space="preserve"> for side-by-side examination of locations or time periods, a </w:t>
      </w:r>
      <w:r>
        <w:rPr>
          <w:rFonts w:ascii="Times New Roman" w:hAnsi="Times New Roman"/>
          <w:b/>
          <w:sz w:val="24"/>
        </w:rPr>
        <w:t>temporal slider</w:t>
      </w:r>
      <w:r>
        <w:rPr>
          <w:rFonts w:ascii="Times New Roman" w:hAnsi="Times New Roman"/>
          <w:sz w:val="24"/>
        </w:rPr>
        <w:t xml:space="preserve"> animating changes across hours (TEMPO), days (PACE, MAIA), or seasons (MODIS/VIIRS), and </w:t>
      </w:r>
      <w:r>
        <w:rPr>
          <w:rFonts w:ascii="Times New Roman" w:hAnsi="Times New Roman"/>
          <w:b/>
          <w:sz w:val="24"/>
        </w:rPr>
        <w:t>quick-view presets</w:t>
      </w:r>
      <w:r>
        <w:rPr>
          <w:rFonts w:ascii="Times New Roman" w:hAnsi="Times New Roman"/>
          <w:sz w:val="24"/>
        </w:rPr>
        <w:t xml:space="preserve"> for pilot regions. Each layer includes explanatory panels describing measurement technique, units, and health significance, so the visualization serves as both a data tool and a learning scaffold.</w:t>
      </w:r>
    </w:p>
    <w:p>
      <w:pPr>
        <w:spacing w:after="120" w:line="300" w:lineRule="auto"/>
      </w:pPr>
      <w:r>
        <w:rPr>
          <w:rFonts w:ascii="Times New Roman" w:hAnsi="Times New Roman"/>
          <w:sz w:val="24"/>
        </w:rPr>
        <w:t xml:space="preserve">A distinguishing feature is the integration of </w:t>
      </w:r>
      <w:r>
        <w:rPr>
          <w:rFonts w:ascii="Times New Roman" w:hAnsi="Times New Roman"/>
          <w:b/>
          <w:sz w:val="24"/>
        </w:rPr>
        <w:t>community-level health indicators</w:t>
      </w:r>
      <w:r>
        <w:rPr>
          <w:rFonts w:ascii="Times New Roman" w:hAnsi="Times New Roman"/>
          <w:sz w:val="24"/>
        </w:rPr>
        <w:t xml:space="preserve"> alongside atmospheric and citizen science data. As described in Section 4, during Stage 1 the platform connects satellite and ground-based observations to de-identified health records from regional HIEs and Texas hospital data, with visualizations focused on cardiopulmonary outcomes such as asthma and respiratory infection ED visits. For Stages 2 and 3, the platform scales nationally using CDC PLACES and SVI indicators. This layered design enables learners to observe, for instance, that a neighborhood with elevated TEMPO NO₂ and high PM2.5 from a BREATHE community sensor also shows above-average asthma ED visits and greater social vulnerability—making the satellite-to-ground-to-health connection tangible and data-driven. The platform also features </w:t>
      </w:r>
      <w:r>
        <w:rPr>
          <w:rFonts w:ascii="Times New Roman" w:hAnsi="Times New Roman"/>
          <w:b/>
          <w:sz w:val="24"/>
        </w:rPr>
        <w:t>regional data stories</w:t>
      </w:r>
      <w:r>
        <w:rPr>
          <w:rFonts w:ascii="Times New Roman" w:hAnsi="Times New Roman"/>
          <w:sz w:val="24"/>
        </w:rPr>
        <w:t xml:space="preserve"> narrating environmental challenges specific to each pilot community, and an integrated </w:t>
      </w:r>
      <w:r>
        <w:rPr>
          <w:rFonts w:ascii="Times New Roman" w:hAnsi="Times New Roman"/>
          <w:b/>
          <w:sz w:val="24"/>
        </w:rPr>
        <w:t>Educator Hub</w:t>
      </w:r>
      <w:r>
        <w:rPr>
          <w:rFonts w:ascii="Times New Roman" w:hAnsi="Times New Roman"/>
          <w:sz w:val="24"/>
        </w:rPr>
        <w:t xml:space="preserve"> with classroom-ready activities aligned with TEKS and NGSS, filterable by grade level, topic, and NASA mission. By building on GLOBE, My NASA Data, and NESEC while adding place-based health integration, citizen science co-visualization, and next-generation mission data, the BREATHE platform fills a critical gap in NASA’s SciAct ecosystem.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