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E3A26" w14:textId="0401CCEE" w:rsidR="00D5167C" w:rsidRDefault="009F11AD" w:rsidP="001106C5">
      <w:pPr>
        <w:jc w:val="center"/>
      </w:pPr>
      <w:r w:rsidRPr="00B31958">
        <w:t>Codebook for VOC Monitoring Dataset</w:t>
      </w:r>
    </w:p>
    <w:p w14:paraId="62021836" w14:textId="77777777" w:rsidR="001C3812" w:rsidRPr="00B31958" w:rsidRDefault="001C3812" w:rsidP="001C3812">
      <w:pPr>
        <w:jc w:val="center"/>
      </w:pPr>
      <w:r w:rsidRPr="001C3B3C">
        <w:rPr>
          <w:highlight w:val="yellow"/>
        </w:rPr>
        <w:t>[Please wait until the February 2026 to upload this document</w:t>
      </w:r>
      <w:r>
        <w:rPr>
          <w:highlight w:val="yellow"/>
        </w:rPr>
        <w:t xml:space="preserve"> to GRIIDC</w:t>
      </w:r>
      <w:r w:rsidRPr="001C3B3C">
        <w:rPr>
          <w:highlight w:val="yellow"/>
        </w:rPr>
        <w:t>]</w:t>
      </w:r>
    </w:p>
    <w:p w14:paraId="32866DFD" w14:textId="0EDE401A" w:rsidR="0036562D" w:rsidRPr="00B31958" w:rsidRDefault="0036562D" w:rsidP="009E67AC">
      <w:r w:rsidRPr="00B31958">
        <w:t xml:space="preserve">Project Title: </w:t>
      </w:r>
      <w:r w:rsidR="009E67AC">
        <w:t>Community-driven Geospatial Approach to Improving Public Health Data Systems in Beaumont-Port Arthur, Texas</w:t>
      </w:r>
    </w:p>
    <w:p w14:paraId="408E7A92" w14:textId="4389D135" w:rsidR="0036562D" w:rsidRPr="00B31958" w:rsidRDefault="001106C5" w:rsidP="0036562D">
      <w:r w:rsidRPr="00B31958">
        <w:t>Responsible Personnel</w:t>
      </w:r>
      <w:r w:rsidR="0036562D" w:rsidRPr="00B31958">
        <w:t>: Dr. Tianjun Lu</w:t>
      </w:r>
      <w:r w:rsidR="00B31958">
        <w:t xml:space="preserve"> (tianjunlu@uky.edu)</w:t>
      </w:r>
    </w:p>
    <w:p w14:paraId="35011532" w14:textId="77777777" w:rsidR="0036562D" w:rsidRPr="00B31958" w:rsidRDefault="0036562D" w:rsidP="0036562D">
      <w:r w:rsidRPr="00B31958">
        <w:t>Version: v1.0</w:t>
      </w:r>
    </w:p>
    <w:p w14:paraId="59337FBA" w14:textId="77060878" w:rsidR="009F11AD" w:rsidRPr="00B31958" w:rsidRDefault="0036562D" w:rsidP="0036562D">
      <w:r w:rsidRPr="00B31958">
        <w:t xml:space="preserve">Date: </w:t>
      </w:r>
      <w:r w:rsidRPr="00B31958">
        <w:rPr>
          <w:highlight w:val="yellow"/>
        </w:rPr>
        <w:t>[</w:t>
      </w:r>
      <w:r w:rsidR="00CF4EBC">
        <w:rPr>
          <w:highlight w:val="yellow"/>
        </w:rPr>
        <w:t>D</w:t>
      </w:r>
      <w:r w:rsidRPr="00B31958">
        <w:rPr>
          <w:highlight w:val="yellow"/>
        </w:rPr>
        <w:t>ate of submission]</w:t>
      </w:r>
    </w:p>
    <w:p w14:paraId="0486DCD5" w14:textId="65190E08" w:rsidR="001F58D3" w:rsidRPr="00B31958" w:rsidRDefault="001F58D3" w:rsidP="001F58D3">
      <w:pPr>
        <w:rPr>
          <w:b/>
          <w:bCs/>
        </w:rPr>
      </w:pPr>
      <w:r w:rsidRPr="00B31958">
        <w:rPr>
          <w:b/>
          <w:bCs/>
        </w:rPr>
        <w:t>Overview</w:t>
      </w:r>
    </w:p>
    <w:p w14:paraId="1E33351F" w14:textId="44D293B2" w:rsidR="001106C5" w:rsidRPr="00B31958" w:rsidRDefault="001F58D3" w:rsidP="001F58D3">
      <w:r w:rsidRPr="00B31958">
        <w:t>This dataset contains de-identified, household-level data of volatile organic compound (VOC) measurements collected from ambient air using Summa canisters in the cities of Beaumont and Port Arthur, Texas. Each entry corresponds to a compound measurement collected at a household location during a specific monitoring round. Census Tract ID is used instead of geocoordinates to protect participant privacy.</w:t>
      </w:r>
    </w:p>
    <w:p w14:paraId="743CCED8" w14:textId="13D4A844" w:rsidR="0057017F" w:rsidRPr="00B31958" w:rsidRDefault="00453A0B" w:rsidP="001F58D3">
      <w:pPr>
        <w:rPr>
          <w:b/>
          <w:bCs/>
        </w:rPr>
      </w:pPr>
      <w:r w:rsidRPr="00B31958">
        <w:rPr>
          <w:b/>
          <w:bCs/>
        </w:rPr>
        <w:t>Codebook Table</w:t>
      </w:r>
    </w:p>
    <w:tbl>
      <w:tblPr>
        <w:tblStyle w:val="TableGrid"/>
        <w:tblW w:w="0" w:type="auto"/>
        <w:tblLook w:val="04A0" w:firstRow="1" w:lastRow="0" w:firstColumn="1" w:lastColumn="0" w:noHBand="0" w:noVBand="1"/>
      </w:tblPr>
      <w:tblGrid>
        <w:gridCol w:w="1227"/>
        <w:gridCol w:w="1009"/>
        <w:gridCol w:w="7114"/>
      </w:tblGrid>
      <w:tr w:rsidR="003F3C49" w:rsidRPr="00B31958" w14:paraId="135C649F" w14:textId="77777777" w:rsidTr="003F3C49">
        <w:tc>
          <w:tcPr>
            <w:tcW w:w="1075" w:type="dxa"/>
          </w:tcPr>
          <w:p w14:paraId="39E677CC" w14:textId="2C45335F" w:rsidR="003F3C49" w:rsidRPr="002F7ABD" w:rsidRDefault="003F3C49" w:rsidP="003F3C49">
            <w:pPr>
              <w:rPr>
                <w:b/>
                <w:bCs/>
                <w:sz w:val="20"/>
                <w:szCs w:val="20"/>
              </w:rPr>
            </w:pPr>
            <w:r w:rsidRPr="002F7ABD">
              <w:rPr>
                <w:b/>
                <w:bCs/>
                <w:sz w:val="20"/>
                <w:szCs w:val="20"/>
              </w:rPr>
              <w:t>Variable</w:t>
            </w:r>
          </w:p>
        </w:tc>
        <w:tc>
          <w:tcPr>
            <w:tcW w:w="900" w:type="dxa"/>
          </w:tcPr>
          <w:p w14:paraId="598EA021" w14:textId="75D099E7" w:rsidR="003F3C49" w:rsidRPr="002F7ABD" w:rsidRDefault="003F3C49" w:rsidP="003F3C49">
            <w:pPr>
              <w:rPr>
                <w:b/>
                <w:bCs/>
                <w:sz w:val="20"/>
                <w:szCs w:val="20"/>
              </w:rPr>
            </w:pPr>
            <w:r w:rsidRPr="002F7ABD">
              <w:rPr>
                <w:b/>
                <w:bCs/>
                <w:sz w:val="20"/>
                <w:szCs w:val="20"/>
              </w:rPr>
              <w:t>Type</w:t>
            </w:r>
          </w:p>
        </w:tc>
        <w:tc>
          <w:tcPr>
            <w:tcW w:w="7375" w:type="dxa"/>
          </w:tcPr>
          <w:p w14:paraId="4FA1F5B8" w14:textId="5EAD1D51" w:rsidR="003F3C49" w:rsidRPr="002F7ABD" w:rsidRDefault="003F3C49" w:rsidP="003F3C49">
            <w:pPr>
              <w:rPr>
                <w:b/>
                <w:bCs/>
                <w:sz w:val="20"/>
                <w:szCs w:val="20"/>
              </w:rPr>
            </w:pPr>
            <w:r w:rsidRPr="002F7ABD">
              <w:rPr>
                <w:b/>
                <w:bCs/>
                <w:sz w:val="20"/>
                <w:szCs w:val="20"/>
              </w:rPr>
              <w:t>Description</w:t>
            </w:r>
          </w:p>
        </w:tc>
      </w:tr>
      <w:tr w:rsidR="003F3C49" w:rsidRPr="00B31958" w14:paraId="1C930FFD" w14:textId="77777777" w:rsidTr="003F3C49">
        <w:tc>
          <w:tcPr>
            <w:tcW w:w="1075" w:type="dxa"/>
          </w:tcPr>
          <w:p w14:paraId="44A9073C" w14:textId="472572A9" w:rsidR="003F3C49" w:rsidRPr="00B31958" w:rsidRDefault="003F3C49" w:rsidP="003F3C49">
            <w:pPr>
              <w:rPr>
                <w:sz w:val="20"/>
                <w:szCs w:val="20"/>
              </w:rPr>
            </w:pPr>
            <w:r w:rsidRPr="00B31958">
              <w:rPr>
                <w:sz w:val="20"/>
                <w:szCs w:val="20"/>
              </w:rPr>
              <w:t>HouseID</w:t>
            </w:r>
          </w:p>
        </w:tc>
        <w:tc>
          <w:tcPr>
            <w:tcW w:w="900" w:type="dxa"/>
          </w:tcPr>
          <w:p w14:paraId="238771A0" w14:textId="02AC8914" w:rsidR="003F3C49" w:rsidRPr="00B31958" w:rsidRDefault="003F3C49" w:rsidP="003F3C49">
            <w:pPr>
              <w:rPr>
                <w:sz w:val="20"/>
                <w:szCs w:val="20"/>
              </w:rPr>
            </w:pPr>
            <w:r w:rsidRPr="00B31958">
              <w:rPr>
                <w:sz w:val="20"/>
                <w:szCs w:val="20"/>
              </w:rPr>
              <w:t>String</w:t>
            </w:r>
          </w:p>
        </w:tc>
        <w:tc>
          <w:tcPr>
            <w:tcW w:w="7375" w:type="dxa"/>
          </w:tcPr>
          <w:p w14:paraId="1E1EBF06" w14:textId="76DE35D4" w:rsidR="003F3C49" w:rsidRPr="00B31958" w:rsidRDefault="00627287" w:rsidP="003F3C49">
            <w:pPr>
              <w:rPr>
                <w:sz w:val="20"/>
                <w:szCs w:val="20"/>
              </w:rPr>
            </w:pPr>
            <w:r w:rsidRPr="00AA05A1">
              <w:rPr>
                <w:sz w:val="20"/>
                <w:szCs w:val="20"/>
              </w:rPr>
              <w:t>De-identified unique ID for the household hosting the monitor (e.g., H01)</w:t>
            </w:r>
          </w:p>
        </w:tc>
      </w:tr>
      <w:tr w:rsidR="003F3C49" w:rsidRPr="00B31958" w14:paraId="6F15390D" w14:textId="77777777" w:rsidTr="003F3C49">
        <w:tc>
          <w:tcPr>
            <w:tcW w:w="1075" w:type="dxa"/>
          </w:tcPr>
          <w:p w14:paraId="50D92956" w14:textId="72C669A6" w:rsidR="003F3C49" w:rsidRPr="00B31958" w:rsidRDefault="003F3C49" w:rsidP="003F3C49">
            <w:pPr>
              <w:rPr>
                <w:sz w:val="20"/>
                <w:szCs w:val="20"/>
              </w:rPr>
            </w:pPr>
            <w:r w:rsidRPr="00B31958">
              <w:rPr>
                <w:sz w:val="20"/>
                <w:szCs w:val="20"/>
              </w:rPr>
              <w:t>Round</w:t>
            </w:r>
          </w:p>
        </w:tc>
        <w:tc>
          <w:tcPr>
            <w:tcW w:w="900" w:type="dxa"/>
          </w:tcPr>
          <w:p w14:paraId="3613AC92" w14:textId="40CFF074" w:rsidR="003F3C49" w:rsidRPr="00B31958" w:rsidRDefault="003F3C49" w:rsidP="003F3C49">
            <w:pPr>
              <w:rPr>
                <w:sz w:val="20"/>
                <w:szCs w:val="20"/>
              </w:rPr>
            </w:pPr>
            <w:r w:rsidRPr="00B31958">
              <w:rPr>
                <w:sz w:val="20"/>
                <w:szCs w:val="20"/>
              </w:rPr>
              <w:t>Integer</w:t>
            </w:r>
          </w:p>
        </w:tc>
        <w:tc>
          <w:tcPr>
            <w:tcW w:w="7375" w:type="dxa"/>
          </w:tcPr>
          <w:p w14:paraId="2BD03F32" w14:textId="45C3F9A1" w:rsidR="003F3C49" w:rsidRPr="00B31958" w:rsidRDefault="003F3C49" w:rsidP="003F3C49">
            <w:pPr>
              <w:rPr>
                <w:sz w:val="20"/>
                <w:szCs w:val="20"/>
              </w:rPr>
            </w:pPr>
            <w:r w:rsidRPr="00B31958">
              <w:rPr>
                <w:sz w:val="20"/>
                <w:szCs w:val="20"/>
              </w:rPr>
              <w:t>Sampling round (1–6); each round represents a monthly sampling event</w:t>
            </w:r>
          </w:p>
        </w:tc>
      </w:tr>
      <w:tr w:rsidR="003F3C49" w:rsidRPr="00B31958" w14:paraId="27B101EC" w14:textId="77777777" w:rsidTr="003F3C49">
        <w:tc>
          <w:tcPr>
            <w:tcW w:w="1075" w:type="dxa"/>
          </w:tcPr>
          <w:p w14:paraId="1C3AAA66" w14:textId="67F35E68" w:rsidR="003F3C49" w:rsidRPr="00B31958" w:rsidRDefault="003F3C49" w:rsidP="003F3C49">
            <w:pPr>
              <w:rPr>
                <w:sz w:val="20"/>
                <w:szCs w:val="20"/>
              </w:rPr>
            </w:pPr>
            <w:r w:rsidRPr="00B31958">
              <w:rPr>
                <w:sz w:val="20"/>
                <w:szCs w:val="20"/>
              </w:rPr>
              <w:t>City</w:t>
            </w:r>
          </w:p>
        </w:tc>
        <w:tc>
          <w:tcPr>
            <w:tcW w:w="900" w:type="dxa"/>
          </w:tcPr>
          <w:p w14:paraId="11A7DC81" w14:textId="7E79B1F1" w:rsidR="003F3C49" w:rsidRPr="00B31958" w:rsidRDefault="003F3C49" w:rsidP="003F3C49">
            <w:pPr>
              <w:rPr>
                <w:sz w:val="20"/>
                <w:szCs w:val="20"/>
              </w:rPr>
            </w:pPr>
            <w:r w:rsidRPr="00B31958">
              <w:rPr>
                <w:sz w:val="20"/>
                <w:szCs w:val="20"/>
              </w:rPr>
              <w:t>String</w:t>
            </w:r>
          </w:p>
        </w:tc>
        <w:tc>
          <w:tcPr>
            <w:tcW w:w="7375" w:type="dxa"/>
          </w:tcPr>
          <w:p w14:paraId="6FC30558" w14:textId="0A4C79D2" w:rsidR="003F3C49" w:rsidRPr="00B31958" w:rsidRDefault="000F175E" w:rsidP="003F3C49">
            <w:pPr>
              <w:rPr>
                <w:sz w:val="20"/>
                <w:szCs w:val="20"/>
              </w:rPr>
            </w:pPr>
            <w:r w:rsidRPr="00AA05A1">
              <w:rPr>
                <w:sz w:val="20"/>
                <w:szCs w:val="20"/>
              </w:rPr>
              <w:t>City of the monitoring site (Beaumont or Port Arthur)</w:t>
            </w:r>
          </w:p>
        </w:tc>
      </w:tr>
      <w:tr w:rsidR="003F3C49" w:rsidRPr="00B31958" w14:paraId="6063B183" w14:textId="77777777" w:rsidTr="003F3C49">
        <w:tc>
          <w:tcPr>
            <w:tcW w:w="1075" w:type="dxa"/>
          </w:tcPr>
          <w:p w14:paraId="4CA38570" w14:textId="775AC462" w:rsidR="003F3C49" w:rsidRPr="00B31958" w:rsidRDefault="003F3C49" w:rsidP="003F3C49">
            <w:pPr>
              <w:rPr>
                <w:sz w:val="20"/>
                <w:szCs w:val="20"/>
              </w:rPr>
            </w:pPr>
            <w:r w:rsidRPr="00B31958">
              <w:rPr>
                <w:sz w:val="20"/>
                <w:szCs w:val="20"/>
              </w:rPr>
              <w:t>CAS</w:t>
            </w:r>
          </w:p>
        </w:tc>
        <w:tc>
          <w:tcPr>
            <w:tcW w:w="900" w:type="dxa"/>
          </w:tcPr>
          <w:p w14:paraId="3842F733" w14:textId="702CCC59" w:rsidR="003F3C49" w:rsidRPr="00B31958" w:rsidRDefault="003F3C49" w:rsidP="003F3C49">
            <w:pPr>
              <w:rPr>
                <w:sz w:val="20"/>
                <w:szCs w:val="20"/>
              </w:rPr>
            </w:pPr>
            <w:r w:rsidRPr="00B31958">
              <w:rPr>
                <w:sz w:val="20"/>
                <w:szCs w:val="20"/>
              </w:rPr>
              <w:t>String</w:t>
            </w:r>
          </w:p>
        </w:tc>
        <w:tc>
          <w:tcPr>
            <w:tcW w:w="7375" w:type="dxa"/>
          </w:tcPr>
          <w:p w14:paraId="7C122D60" w14:textId="32EA2915" w:rsidR="003F3C49" w:rsidRPr="00B31958" w:rsidRDefault="003F3C49" w:rsidP="003F3C49">
            <w:pPr>
              <w:rPr>
                <w:sz w:val="20"/>
                <w:szCs w:val="20"/>
              </w:rPr>
            </w:pPr>
            <w:r w:rsidRPr="00B31958">
              <w:rPr>
                <w:sz w:val="20"/>
                <w:szCs w:val="20"/>
              </w:rPr>
              <w:t>Chemical Abstracts Service Registry Number for the VOC compound</w:t>
            </w:r>
          </w:p>
        </w:tc>
      </w:tr>
      <w:tr w:rsidR="003F3C49" w:rsidRPr="00B31958" w14:paraId="3EF4A825" w14:textId="77777777" w:rsidTr="003F3C49">
        <w:tc>
          <w:tcPr>
            <w:tcW w:w="1075" w:type="dxa"/>
          </w:tcPr>
          <w:p w14:paraId="6B9DCF52" w14:textId="35E2C7A8" w:rsidR="003F3C49" w:rsidRPr="00B31958" w:rsidRDefault="003F3C49" w:rsidP="003F3C49">
            <w:pPr>
              <w:rPr>
                <w:sz w:val="20"/>
                <w:szCs w:val="20"/>
              </w:rPr>
            </w:pPr>
            <w:r w:rsidRPr="00B31958">
              <w:rPr>
                <w:sz w:val="20"/>
                <w:szCs w:val="20"/>
              </w:rPr>
              <w:t>Compound</w:t>
            </w:r>
          </w:p>
        </w:tc>
        <w:tc>
          <w:tcPr>
            <w:tcW w:w="900" w:type="dxa"/>
          </w:tcPr>
          <w:p w14:paraId="202769BD" w14:textId="581242CF" w:rsidR="003F3C49" w:rsidRPr="00B31958" w:rsidRDefault="003F3C49" w:rsidP="003F3C49">
            <w:pPr>
              <w:rPr>
                <w:sz w:val="20"/>
                <w:szCs w:val="20"/>
              </w:rPr>
            </w:pPr>
            <w:r w:rsidRPr="00B31958">
              <w:rPr>
                <w:sz w:val="20"/>
                <w:szCs w:val="20"/>
              </w:rPr>
              <w:t>String</w:t>
            </w:r>
          </w:p>
        </w:tc>
        <w:tc>
          <w:tcPr>
            <w:tcW w:w="7375" w:type="dxa"/>
          </w:tcPr>
          <w:p w14:paraId="23102F55" w14:textId="5C36E285" w:rsidR="003F3C49" w:rsidRPr="00B31958" w:rsidRDefault="003F3C49" w:rsidP="003F3C49">
            <w:pPr>
              <w:rPr>
                <w:sz w:val="20"/>
                <w:szCs w:val="20"/>
              </w:rPr>
            </w:pPr>
            <w:r w:rsidRPr="00B31958">
              <w:rPr>
                <w:sz w:val="20"/>
                <w:szCs w:val="20"/>
              </w:rPr>
              <w:t>Common name of the measured VOC (e.g., Benzene, Toluene)</w:t>
            </w:r>
          </w:p>
        </w:tc>
      </w:tr>
      <w:tr w:rsidR="003F3C49" w:rsidRPr="00B31958" w14:paraId="3E2A3B2B" w14:textId="77777777" w:rsidTr="003F3C49">
        <w:tc>
          <w:tcPr>
            <w:tcW w:w="1075" w:type="dxa"/>
          </w:tcPr>
          <w:p w14:paraId="4AE36C3B" w14:textId="5F782027" w:rsidR="003F3C49" w:rsidRPr="00B31958" w:rsidRDefault="003F3C49" w:rsidP="003F3C49">
            <w:pPr>
              <w:rPr>
                <w:sz w:val="20"/>
                <w:szCs w:val="20"/>
              </w:rPr>
            </w:pPr>
            <w:r w:rsidRPr="00B31958">
              <w:rPr>
                <w:sz w:val="20"/>
                <w:szCs w:val="20"/>
              </w:rPr>
              <w:t>Date_collect</w:t>
            </w:r>
          </w:p>
        </w:tc>
        <w:tc>
          <w:tcPr>
            <w:tcW w:w="900" w:type="dxa"/>
          </w:tcPr>
          <w:p w14:paraId="11BBF6A4" w14:textId="1E765D79" w:rsidR="003F3C49" w:rsidRPr="00B31958" w:rsidRDefault="003F3C49" w:rsidP="003F3C49">
            <w:pPr>
              <w:rPr>
                <w:sz w:val="20"/>
                <w:szCs w:val="20"/>
              </w:rPr>
            </w:pPr>
            <w:r w:rsidRPr="00B31958">
              <w:rPr>
                <w:sz w:val="20"/>
                <w:szCs w:val="20"/>
              </w:rPr>
              <w:t>DateTime</w:t>
            </w:r>
          </w:p>
        </w:tc>
        <w:tc>
          <w:tcPr>
            <w:tcW w:w="7375" w:type="dxa"/>
          </w:tcPr>
          <w:p w14:paraId="72F1B7EF" w14:textId="409CE4A1" w:rsidR="003F3C49" w:rsidRPr="00B31958" w:rsidRDefault="003F3C49" w:rsidP="003F3C49">
            <w:pPr>
              <w:rPr>
                <w:sz w:val="20"/>
                <w:szCs w:val="20"/>
              </w:rPr>
            </w:pPr>
            <w:r w:rsidRPr="00B31958">
              <w:rPr>
                <w:sz w:val="20"/>
                <w:szCs w:val="20"/>
              </w:rPr>
              <w:t xml:space="preserve">Date when the Summa canister </w:t>
            </w:r>
            <w:r w:rsidR="00453A0B" w:rsidRPr="00B31958">
              <w:rPr>
                <w:sz w:val="20"/>
                <w:szCs w:val="20"/>
              </w:rPr>
              <w:t>was</w:t>
            </w:r>
            <w:r w:rsidRPr="00B31958">
              <w:rPr>
                <w:sz w:val="20"/>
                <w:szCs w:val="20"/>
              </w:rPr>
              <w:t xml:space="preserve"> collected</w:t>
            </w:r>
          </w:p>
        </w:tc>
      </w:tr>
      <w:tr w:rsidR="003F3C49" w:rsidRPr="00B31958" w14:paraId="45144789" w14:textId="77777777" w:rsidTr="003F3C49">
        <w:tc>
          <w:tcPr>
            <w:tcW w:w="1075" w:type="dxa"/>
          </w:tcPr>
          <w:p w14:paraId="752CB776" w14:textId="3CD9B3B7" w:rsidR="003F3C49" w:rsidRPr="00B31958" w:rsidRDefault="003F3C49" w:rsidP="003F3C49">
            <w:pPr>
              <w:rPr>
                <w:sz w:val="20"/>
                <w:szCs w:val="20"/>
              </w:rPr>
            </w:pPr>
            <w:r w:rsidRPr="00B31958">
              <w:rPr>
                <w:sz w:val="20"/>
                <w:szCs w:val="20"/>
              </w:rPr>
              <w:t>Adj_ppbV</w:t>
            </w:r>
          </w:p>
        </w:tc>
        <w:tc>
          <w:tcPr>
            <w:tcW w:w="900" w:type="dxa"/>
          </w:tcPr>
          <w:p w14:paraId="4F8717B6" w14:textId="06D054AB" w:rsidR="003F3C49" w:rsidRPr="00B31958" w:rsidRDefault="003F3C49" w:rsidP="003F3C49">
            <w:pPr>
              <w:rPr>
                <w:sz w:val="20"/>
                <w:szCs w:val="20"/>
              </w:rPr>
            </w:pPr>
            <w:r w:rsidRPr="00B31958">
              <w:rPr>
                <w:sz w:val="20"/>
                <w:szCs w:val="20"/>
              </w:rPr>
              <w:t>Float</w:t>
            </w:r>
          </w:p>
        </w:tc>
        <w:tc>
          <w:tcPr>
            <w:tcW w:w="7375" w:type="dxa"/>
          </w:tcPr>
          <w:p w14:paraId="0CA5860D" w14:textId="5DFBC5EF" w:rsidR="003F3C49" w:rsidRPr="00B31958" w:rsidRDefault="003F3C49" w:rsidP="003F3C49">
            <w:pPr>
              <w:rPr>
                <w:sz w:val="20"/>
                <w:szCs w:val="20"/>
              </w:rPr>
            </w:pPr>
            <w:r w:rsidRPr="00B31958">
              <w:rPr>
                <w:sz w:val="20"/>
                <w:szCs w:val="20"/>
              </w:rPr>
              <w:t>Adjusted VOC concentration in parts per billion by volume (ppbV)</w:t>
            </w:r>
          </w:p>
        </w:tc>
      </w:tr>
      <w:tr w:rsidR="003F3C49" w:rsidRPr="00B31958" w14:paraId="3B7F63FA" w14:textId="77777777" w:rsidTr="003F3C49">
        <w:tc>
          <w:tcPr>
            <w:tcW w:w="1075" w:type="dxa"/>
          </w:tcPr>
          <w:p w14:paraId="3609300E" w14:textId="7999558A" w:rsidR="003F3C49" w:rsidRPr="00B31958" w:rsidRDefault="003F3C49" w:rsidP="003F3C49">
            <w:pPr>
              <w:rPr>
                <w:sz w:val="20"/>
                <w:szCs w:val="20"/>
              </w:rPr>
            </w:pPr>
            <w:r w:rsidRPr="00B31958">
              <w:rPr>
                <w:sz w:val="20"/>
                <w:szCs w:val="20"/>
              </w:rPr>
              <w:t>CensusTract</w:t>
            </w:r>
          </w:p>
        </w:tc>
        <w:tc>
          <w:tcPr>
            <w:tcW w:w="900" w:type="dxa"/>
          </w:tcPr>
          <w:p w14:paraId="19856866" w14:textId="0A738214" w:rsidR="003F3C49" w:rsidRPr="00B31958" w:rsidRDefault="003F3C49" w:rsidP="003F3C49">
            <w:pPr>
              <w:rPr>
                <w:sz w:val="20"/>
                <w:szCs w:val="20"/>
              </w:rPr>
            </w:pPr>
            <w:r w:rsidRPr="00B31958">
              <w:rPr>
                <w:sz w:val="20"/>
                <w:szCs w:val="20"/>
              </w:rPr>
              <w:t>String</w:t>
            </w:r>
          </w:p>
        </w:tc>
        <w:tc>
          <w:tcPr>
            <w:tcW w:w="7375" w:type="dxa"/>
          </w:tcPr>
          <w:p w14:paraId="2E02C655" w14:textId="1D93F983" w:rsidR="003F3C49" w:rsidRPr="00B31958" w:rsidRDefault="005A39A0" w:rsidP="003F3C49">
            <w:pPr>
              <w:rPr>
                <w:sz w:val="20"/>
                <w:szCs w:val="20"/>
              </w:rPr>
            </w:pPr>
            <w:r w:rsidRPr="00AA05A1">
              <w:rPr>
                <w:sz w:val="20"/>
                <w:szCs w:val="20"/>
              </w:rPr>
              <w:t>11-digit 2020 Census Tract ID for the monitor location</w:t>
            </w:r>
          </w:p>
        </w:tc>
      </w:tr>
    </w:tbl>
    <w:p w14:paraId="13E2E6FA" w14:textId="77777777" w:rsidR="00BB10A4" w:rsidRDefault="00BB10A4" w:rsidP="006F0ACF">
      <w:pPr>
        <w:rPr>
          <w:b/>
          <w:bCs/>
        </w:rPr>
      </w:pPr>
    </w:p>
    <w:p w14:paraId="579541DD" w14:textId="410FBD6D" w:rsidR="006F0ACF" w:rsidRPr="00B31958" w:rsidRDefault="006F0ACF" w:rsidP="006F0ACF">
      <w:pPr>
        <w:rPr>
          <w:b/>
          <w:bCs/>
        </w:rPr>
      </w:pPr>
      <w:r w:rsidRPr="00B31958">
        <w:rPr>
          <w:b/>
          <w:bCs/>
        </w:rPr>
        <w:t>Notes on Data Cleaning and Quality Control</w:t>
      </w:r>
    </w:p>
    <w:p w14:paraId="140C93D1" w14:textId="77777777" w:rsidR="006F0ACF" w:rsidRPr="00B31958" w:rsidRDefault="006F0ACF" w:rsidP="006F0ACF">
      <w:pPr>
        <w:pStyle w:val="ListParagraph"/>
        <w:numPr>
          <w:ilvl w:val="0"/>
          <w:numId w:val="1"/>
        </w:numPr>
      </w:pPr>
      <w:r w:rsidRPr="00B31958">
        <w:t>All measurements below Method Reporting Limits (MRL) were marked as ND and handled per standard protocols.</w:t>
      </w:r>
    </w:p>
    <w:p w14:paraId="36DC95FA" w14:textId="77777777" w:rsidR="006F0ACF" w:rsidRPr="00B31958" w:rsidRDefault="006F0ACF" w:rsidP="006F0ACF">
      <w:pPr>
        <w:pStyle w:val="ListParagraph"/>
        <w:numPr>
          <w:ilvl w:val="0"/>
          <w:numId w:val="1"/>
        </w:numPr>
      </w:pPr>
      <w:r w:rsidRPr="00B31958">
        <w:t>VOCs were adjusted using surrogate recovery correction factors.</w:t>
      </w:r>
    </w:p>
    <w:p w14:paraId="0CF50CC4" w14:textId="77777777" w:rsidR="006F0ACF" w:rsidRPr="00B31958" w:rsidRDefault="006F0ACF" w:rsidP="006F0ACF">
      <w:pPr>
        <w:pStyle w:val="ListParagraph"/>
        <w:numPr>
          <w:ilvl w:val="0"/>
          <w:numId w:val="1"/>
        </w:numPr>
      </w:pPr>
      <w:r w:rsidRPr="00B31958">
        <w:t>The dataset was checked for outliers, missing values, and consistency in units.</w:t>
      </w:r>
    </w:p>
    <w:p w14:paraId="71DAEB4B" w14:textId="45B95437" w:rsidR="006F0ACF" w:rsidRPr="00B31958" w:rsidRDefault="006F0ACF" w:rsidP="006F0ACF">
      <w:pPr>
        <w:pStyle w:val="ListParagraph"/>
        <w:numPr>
          <w:ilvl w:val="0"/>
          <w:numId w:val="1"/>
        </w:numPr>
      </w:pPr>
      <w:r w:rsidRPr="00B31958">
        <w:t>Latitude and longitude coordinates were removed and replaced with Census Tract IDs using TIGER/Line shapefiles (U.S. Census Bureau, 2020).</w:t>
      </w:r>
    </w:p>
    <w:p w14:paraId="3381E33B" w14:textId="77777777" w:rsidR="006D5A00" w:rsidRPr="00B31958" w:rsidRDefault="006D5A00" w:rsidP="006D5A00">
      <w:pPr>
        <w:rPr>
          <w:b/>
          <w:bCs/>
        </w:rPr>
      </w:pPr>
      <w:r w:rsidRPr="00B31958">
        <w:rPr>
          <w:b/>
          <w:bCs/>
        </w:rPr>
        <w:t>Suggested Citation</w:t>
      </w:r>
    </w:p>
    <w:p w14:paraId="2F74E0CA" w14:textId="6ABC43E3" w:rsidR="005302F8" w:rsidRDefault="005302F8" w:rsidP="005302F8">
      <w:r>
        <w:rPr>
          <w:highlight w:val="yellow"/>
        </w:rPr>
        <w:t>Lu</w:t>
      </w:r>
      <w:r w:rsidRPr="00EF2AC5">
        <w:rPr>
          <w:highlight w:val="yellow"/>
        </w:rPr>
        <w:t xml:space="preserve"> et al. (202</w:t>
      </w:r>
      <w:r>
        <w:rPr>
          <w:highlight w:val="yellow"/>
        </w:rPr>
        <w:t>6</w:t>
      </w:r>
      <w:r w:rsidRPr="00EF2AC5">
        <w:rPr>
          <w:highlight w:val="yellow"/>
        </w:rPr>
        <w:t xml:space="preserve">). </w:t>
      </w:r>
      <w:r>
        <w:rPr>
          <w:highlight w:val="yellow"/>
        </w:rPr>
        <w:t>VOC Air</w:t>
      </w:r>
      <w:r w:rsidRPr="00EF2AC5">
        <w:rPr>
          <w:highlight w:val="yellow"/>
        </w:rPr>
        <w:t xml:space="preserve"> Monitoring in Beaumont and Port Arthur, Texas (Nov 2024–May 2025) [Data set]. GRIIDC. </w:t>
      </w:r>
      <w:hyperlink r:id="rId5" w:history="1">
        <w:r w:rsidRPr="00346B69">
          <w:rPr>
            <w:rStyle w:val="Hyperlink"/>
            <w:highlight w:val="yellow"/>
          </w:rPr>
          <w:t>https://doi.org/[TO_BE_FILLED_AFTER_SUBMISSION</w:t>
        </w:r>
      </w:hyperlink>
      <w:r w:rsidRPr="00EF2AC5">
        <w:rPr>
          <w:highlight w:val="yellow"/>
        </w:rPr>
        <w:t>]</w:t>
      </w:r>
    </w:p>
    <w:p w14:paraId="36D142F2" w14:textId="77777777" w:rsidR="004831D1" w:rsidRPr="004831D1" w:rsidRDefault="004831D1" w:rsidP="004831D1">
      <w:pPr>
        <w:rPr>
          <w:b/>
          <w:bCs/>
        </w:rPr>
      </w:pPr>
      <w:r w:rsidRPr="004831D1">
        <w:rPr>
          <w:b/>
          <w:bCs/>
        </w:rPr>
        <w:t>Data Use and Acknowledgment</w:t>
      </w:r>
    </w:p>
    <w:p w14:paraId="1CA6D7F2" w14:textId="33C418F5" w:rsidR="004831D1" w:rsidRPr="00B31958" w:rsidRDefault="004831D1" w:rsidP="004831D1">
      <w:r>
        <w:t xml:space="preserve">Researchers who wish to use this dataset for publications, presentations, or derivative works are kindly asked to contact the responsible investigator, Dr. Tianjun Lu (tianjunlu@uky.edu), prior to </w:t>
      </w:r>
      <w:r>
        <w:lastRenderedPageBreak/>
        <w:t>use. Co-authorship is expected for substantial reuse, analysis, or publication of this dataset. Please ensure proper acknowledgment of this data source in all outputs, and cite the dataset using the suggested citation format provided above.</w:t>
      </w:r>
    </w:p>
    <w:sectPr w:rsidR="004831D1" w:rsidRPr="00B31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7909EA"/>
    <w:multiLevelType w:val="hybridMultilevel"/>
    <w:tmpl w:val="70366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327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AD"/>
    <w:rsid w:val="000F175E"/>
    <w:rsid w:val="001106C5"/>
    <w:rsid w:val="001C3812"/>
    <w:rsid w:val="001F58D3"/>
    <w:rsid w:val="002A26D8"/>
    <w:rsid w:val="002E525B"/>
    <w:rsid w:val="002F7ABD"/>
    <w:rsid w:val="00307CC3"/>
    <w:rsid w:val="0036562D"/>
    <w:rsid w:val="003F3C49"/>
    <w:rsid w:val="00425A52"/>
    <w:rsid w:val="00453A0B"/>
    <w:rsid w:val="004831D1"/>
    <w:rsid w:val="005302F8"/>
    <w:rsid w:val="0057017F"/>
    <w:rsid w:val="005A39A0"/>
    <w:rsid w:val="005F6F06"/>
    <w:rsid w:val="00627287"/>
    <w:rsid w:val="006344EF"/>
    <w:rsid w:val="006D5A00"/>
    <w:rsid w:val="006F0ACF"/>
    <w:rsid w:val="007551CA"/>
    <w:rsid w:val="009751DF"/>
    <w:rsid w:val="009E67AC"/>
    <w:rsid w:val="009F11AD"/>
    <w:rsid w:val="00A80837"/>
    <w:rsid w:val="00B31958"/>
    <w:rsid w:val="00BB10A4"/>
    <w:rsid w:val="00CF4EBC"/>
    <w:rsid w:val="00D516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AD8DF"/>
  <w14:discardImageEditingData/>
  <w14:defaultImageDpi w14:val="330"/>
  <w15:chartTrackingRefBased/>
  <w15:docId w15:val="{55EEF6A2-0ABE-4546-BDB7-FAE89CDB7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57017F"/>
    <w:rPr>
      <w:rFonts w:ascii="Courier New" w:eastAsia="Times New Roman" w:hAnsi="Courier New" w:cs="Courier New"/>
      <w:sz w:val="20"/>
      <w:szCs w:val="20"/>
    </w:rPr>
  </w:style>
  <w:style w:type="paragraph" w:styleId="ListParagraph">
    <w:name w:val="List Paragraph"/>
    <w:basedOn w:val="Normal"/>
    <w:uiPriority w:val="34"/>
    <w:qFormat/>
    <w:rsid w:val="006F0ACF"/>
    <w:pPr>
      <w:ind w:left="720"/>
      <w:contextualSpacing/>
    </w:pPr>
  </w:style>
  <w:style w:type="table" w:styleId="TableGrid">
    <w:name w:val="Table Grid"/>
    <w:basedOn w:val="TableNormal"/>
    <w:uiPriority w:val="39"/>
    <w:rsid w:val="00307C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551CA"/>
    <w:rPr>
      <w:b/>
      <w:bCs/>
    </w:rPr>
  </w:style>
  <w:style w:type="character" w:styleId="Hyperlink">
    <w:name w:val="Hyperlink"/>
    <w:basedOn w:val="DefaultParagraphFont"/>
    <w:uiPriority w:val="99"/>
    <w:unhideWhenUsed/>
    <w:rsid w:val="004831D1"/>
    <w:rPr>
      <w:color w:val="0563C1" w:themeColor="hyperlink"/>
      <w:u w:val="single"/>
    </w:rPr>
  </w:style>
  <w:style w:type="character" w:styleId="UnresolvedMention">
    <w:name w:val="Unresolved Mention"/>
    <w:basedOn w:val="DefaultParagraphFont"/>
    <w:uiPriority w:val="99"/>
    <w:semiHidden/>
    <w:unhideWhenUsed/>
    <w:rsid w:val="004831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48458">
      <w:bodyDiv w:val="1"/>
      <w:marLeft w:val="0"/>
      <w:marRight w:val="0"/>
      <w:marTop w:val="0"/>
      <w:marBottom w:val="0"/>
      <w:divBdr>
        <w:top w:val="none" w:sz="0" w:space="0" w:color="auto"/>
        <w:left w:val="none" w:sz="0" w:space="0" w:color="auto"/>
        <w:bottom w:val="none" w:sz="0" w:space="0" w:color="auto"/>
        <w:right w:val="none" w:sz="0" w:space="0" w:color="auto"/>
      </w:divBdr>
    </w:div>
    <w:div w:id="1796292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5bTO_BE_FILLED_AFTER_SUBMISS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379</Words>
  <Characters>2164</Characters>
  <Application>Microsoft Office Word</Application>
  <DocSecurity>0</DocSecurity>
  <Lines>18</Lines>
  <Paragraphs>5</Paragraphs>
  <ScaleCrop>false</ScaleCrop>
  <Company>University of Kentucky HealthCare</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Tianjun</dc:creator>
  <cp:keywords/>
  <dc:description/>
  <cp:lastModifiedBy>Lu, Tianjun</cp:lastModifiedBy>
  <cp:revision>28</cp:revision>
  <dcterms:created xsi:type="dcterms:W3CDTF">2025-08-17T00:55:00Z</dcterms:created>
  <dcterms:modified xsi:type="dcterms:W3CDTF">2025-08-26T13:54:00Z</dcterms:modified>
</cp:coreProperties>
</file>