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Heading1"/>
      </w:pPr>
      <w:r>
        <w:t xml:space="preserve">INDEPENDENT PROJECTS | </w:t>
      </w:r>
      <w:hyperlink r:id="rId3">
        <w:r>
          <w:rPr>
            <w:color w:val="0563C1"/>
            <w:u w:val="single"/>
          </w:rPr>
          <w:t>GitHub Portfolio</w:t>
        </w:r>
      </w:hyperlink>
    </w:p>
    <w:p>
      <w:pPr>
        <w:pStyle w:val="Normal"/>
      </w:pPr>
      <w:r>
        <w:rPr>
          <w:b/>
        </w:rPr>
        <w:t>Clinical Study Operations Simulation: </w:t>
      </w:r>
      <w:r>
        <w:t>Integrated Phase I timeline, milestones, dependencies, baseline/forecast variance, delivery health, cross-functional RACI, and governance/escalation workflows.</w:t>
      </w:r>
    </w:p>
    <w:p>
      <w:pPr>
        <w:pStyle w:val="Normal"/>
      </w:pPr>
      <w:r>
        <w:rPr>
          <w:b/>
        </w:rPr>
        <w:t>Phase I Clinical Trial REDCap/EDC Simulation — SIM-001: </w:t>
      </w:r>
      <w:r>
        <w:t>Designed Phase I longitudinal CRFs, visit/event mapping, clinical-sample traceability, and data-quality controls in REDCap.</w:t>
      </w:r>
    </w:p>
    <w:p>
      <w:pPr>
        <w:pStyle w:val="Heading1"/>
      </w:pPr>
      <w:r>
        <w:t>Education</w:t>
      </w:r>
    </w:p>
    <w:p>
      <w:pPr>
        <w:pStyle w:val="Normal"/>
      </w:pPr>
      <w:r>
        <w:rPr>
          <w:b/>
        </w:rPr>
        <w:t>M.S., Biomedical Science, Physiology &amp; Pharmacology</w:t>
      </w:r>
      <w:r>
        <w:t xml:space="preserve"> - Chang Gung University | 2017-2018</w:t>
      </w:r>
    </w:p>
    <w:p>
      <w:pPr>
        <w:pStyle w:val="Normal"/>
      </w:pPr>
      <w:r>
        <w:t>Research focus: Oncology/MDR, cell-based translational assays, and drug-mechanism studies</w:t>
      </w:r>
    </w:p>
    <w:p>
      <w:pPr>
        <w:pStyle w:val="Normal"/>
      </w:pPr>
      <w:r>
        <w:rPr>
          <w:b/>
        </w:rPr>
        <w:t>B.S., Biomedical Science</w:t>
      </w:r>
      <w:r>
        <w:t xml:space="preserve"> -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- Google, 2025</w:t>
      </w:r>
    </w:p>
    <w:p>
      <w:pPr>
        <w:pStyle w:val="ListBullet"/>
      </w:pPr>
      <w:r>
        <w:t>Data Management for Clinical Research -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Research &amp; Documentation:</w:t>
      </w:r>
      <w:r>
        <w:t xml:space="preserve"> Phase I/II clinical-development support, GLP documentation, clinical data and supporting-document review, CRO data-transfer support, discrepancy investigation, corrected-output review, clinical sample traceability, exception investigation, SOP/DCR review, documentation consistency, CAPA documentation</w:t>
      </w:r>
    </w:p>
    <w:p>
      <w:pPr>
        <w:pStyle w:val="Normal"/>
      </w:pPr>
      <w:r>
        <w:rPr>
          <w:b/>
        </w:rPr>
        <w:t>Project Coordination:</w:t>
      </w:r>
      <w:r>
        <w:t xml:space="preserve"> Phased project planning, task breakdown and assignment, dependency tracking, ClickUp tracking, weekly status reporting, cross-functional coordination, issue and follow-up tracking, resource-needs coordination, vendor/equipment evaluation support, quotation review</w:t>
      </w:r>
    </w:p>
    <w:p>
      <w:pPr>
        <w:pStyle w:val="Normal"/>
      </w:pPr>
      <w:r>
        <w:rPr>
          <w:b/>
        </w:rPr>
        <w:t>Tools &amp; Analysis:</w:t>
      </w:r>
      <w:r>
        <w:t xml:space="preserve"> Excel, GraphPad Prism, Benchling, Smartsheet, ClickUp, Asana, Notion, SharePoint, Microsoft Teams, Codex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48" w:right="792" w:bottom="648" w:left="792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Parexel Clinical Trial Associate Resume</dc:title>
  <dc:creator>Alanis Sun</dc:creator>
  <ns2:created>2026-09-25T00:00:00Z</ns2:created>
</ns0:coreProperties>
</file>