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40" ns0:line="220" ns0:lineRule="auto"/>
        <ns0:keepLines/>
        <ns0:keepNext/>
      </ns0:pPr>
      <ns0:r>
        <ns0:rPr>
          <ns0:b/>
          <ns0:rFonts ns0:ascii="Arial" ns0:hAnsi="Arial"/>
          <ns0:sz ns0:val="38"/>
        </ns0:rPr>
        <ns0:t xml:space="preserve">Alanis Sun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Cocoa, FL | 321-750-7281 | yushuangsun36@gmail.com  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US Permanent Resident | Bilingual: English and Mandarin Chinese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Professional Summary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Clinical-development operations professional with 6+ years supporting Phase I/II programs in a GLP environment. Brings CRO/internal clinical coordination, document/data tracking, source-document and sample traceability, discrepancy/exception follow-through, project/status reporting, and cross-functional organization to study-team support.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Professional Experience</ns0:t>
      </ns0:r>
    </ns0:p>
    <ns0:p>
      <ns0:pPr>
        <ns0:spacing ns0:before="70" ns0:after="20" ns0:line="220" ns0:lineRule="auto"/>
        <ns0:keepLines/>
        <ns0:keepNext/>
      </ns0:pPr>
      <ns0:r>
        <ns0:rPr>
          <ns0:b/>
          <ns0:rFonts ns0:ascii="Arial" ns0:hAnsi="Arial"/>
          <ns0:sz ns0:val="19"/>
        </ns0:rPr>
        <ns0:t xml:space="preserve">Manager, Lab Operations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Akesoe Biologics</ns0:t>
      </ns0:r>
      <ns0:r>
        <ns0:rPr>
          <ns0:rFonts ns0:ascii="Arial" ns0:hAnsi="Arial"/>
          <ns0:sz ns0:val="18"/>
        </ns0:rPr>
        <ns0:t xml:space="preserve"> | Winter Springs, FL | May 2026-Present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Planned early-stage stem-cell project phases by mapping tasks, responsibilities, dependencies, and status in ClickUp; prepared weekly project-status reports on progress, impacts, next steps, and follow-up.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Reviewed 30+ SOP/DCR and electronic documents, identified version inconsistencies and process gaps, and supported improvements to document naming, date formatting, and form-completion requirements.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Designed and conducted an internal mock-audit review, examining evidence and documenting gaps/findings in a report; proposed CAPA/NDR actions for management review and recommended a gap-based approach to compliance/resource risks.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Documented a corrective response to an SOP-compliance issue using the established CAPA process and form, then submitted the documentation to QA for review.</ns0:t>
      </ns0:r>
    </ns0:p>
    <ns0:p>
      <ns0:pPr>
        <ns0:spacing ns0:before="70" ns0:after="20" ns0:line="220" ns0:lineRule="auto"/>
        <ns0:keepLines/>
        <ns0:keepNext/>
      </ns0:pPr>
      <ns0:r>
        <ns0:rPr>
          <ns0:b/>
          <ns0:rFonts ns0:ascii="Arial" ns0:hAnsi="Arial"/>
          <ns0:sz ns0:val="19"/>
        </ns0:rPr>
        <ns0:t xml:space="preserve">Research Associate I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Vaxxinity</ns0:t>
      </ns0:r>
      <ns0:r>
        <ns0:rPr>
          <ns0:rFonts ns0:ascii="Arial" ns0:hAnsi="Arial"/>
          <ns0:sz ns0:val="18"/>
        </ns0:rPr>
        <ns0:t xml:space="preserve"> | Merritt Island, FL | Oct 2018-Jan 2025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Supported Phase I/II clinical-development work in a GLP environment; across assigned work, supported 10+ bioanalytical assays, 4 clinical trials, and 4 preclinical studies.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Worked with 4,000+ clinical samples; in a Phase I workflow, supported receipt/source-document verification, CRO/internal ID traceability, Benchling records, exception investigation, and sample-manager coordination.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Investigated CRO calculation/data discrepancies and coordinated assigned technical issues with CRO data teams, internal clinical colleagues, sample-management personnel, and supervisors through corrected-output review.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Prepared assigned assay-result/data-transfer deliverables and supporting documentation for CRO data teams, reviewing underlying data and records during discrepancy follow-through; assay %CV was consistently &lt;20%, typically ~0–5%.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Independent Projects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Portfolio: </ns0:t>
      </ns0:r>
      <ns0:hyperlink ns1:id="rId1">
        <ns0:r>
          <ns0:rPr>
            <ns0:rFonts ns0:ascii="Arial" ns0:hAnsi="Arial"/>
            <ns0:sz ns0:val="18"/>
          </ns0:rPr>
          <ns0:t xml:space="preserve">GitHub</ns0:t>
        </ns0:r>
      </ns0:hyperlink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Clinical Study Operations Simulation:</ns0:t>
      </ns0:r>
      <ns0:r>
        <ns0:rPr>
          <ns0:rFonts ns0:ascii="Arial" ns0:hAnsi="Arial"/>
          <ns0:sz ns0:val="18"/>
        </ns0:rPr>
        <ns0:t xml:space="preserve"> Planned a simulated Phase I timeline and milestone tracker covering dependencies, status/forecast variance, and issue escalation.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Clinical Trial REDCap Simulation:</ns0:t>
      </ns0:r>
      <ns0:r>
        <ns0:rPr>
          <ns0:rFonts ns0:ascii="Arial" ns0:hAnsi="Arial"/>
          <ns0:sz ns0:val="18"/>
        </ns0:rPr>
        <ns0:t xml:space="preserve"> Designed a simulated Phase I EDC with longitudinal CRFs and visit mapping, sample traceability, data-quality controls, and role-based access concepts.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Education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M.S., Biomedical Science, Physiology &amp; Pharmacology</ns0:t>
      </ns0:r>
      <ns0:r>
        <ns0:rPr>
          <ns0:rFonts ns0:ascii="Arial" ns0:hAnsi="Arial"/>
          <ns0:sz ns0:val="18"/>
        </ns0:rPr>
        <ns0:t xml:space="preserve"> - Chang Gung University | 2017-2018; academic oncology research involving multidrug resistance (MDR) and drug screening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B.S., Biomedical Science</ns0:t>
      </ns0:r>
      <ns0:r>
        <ns0:rPr>
          <ns0:rFonts ns0:ascii="Arial" ns0:hAnsi="Arial"/>
          <ns0:sz ns0:val="18"/>
        </ns0:rPr>
        <ns0:t xml:space="preserve"> - Chang Gung University | 2013-2017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Certifications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Google Project Management Certificate - Google, 2025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Data Management for Clinical Research - Vanderbilt University, 2025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Skills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Clinical Development &amp; Documentation:Phase I/II clinical-development support, GLP documentation, SOP/DCR/e-document review, source-document verification, sample traceability, CRO/internal coordination, data discrepancy investigation</ns0:t>
      </ns0:r>
      <ns0:r>
        <ns0:rPr>
          <ns0:rFonts ns0:ascii="Arial" ns0:hAnsi="Arial"/>
          <ns0:sz ns0:val="18"/>
        </ns0:rPr>
        <ns0:t xml:space="preserve"/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Project &amp; Quality Process Coordination:</ns0:t>
      </ns0:r>
      <ns0:r>
        <ns0:rPr>
          <ns0:rFonts ns0:ascii="Arial" ns0:hAnsi="Arial"/>
          <ns0:sz ns0:val="18"/>
        </ns0:rPr>
        <ns0:t xml:space="preserve"> Task/dependency planning, project/status tracking, cross-functional follow-up, process-gap identification, mock-audit reporting, CAPA documentation for QA review, process improvement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Tools &amp; Analysis:</ns0:t>
      </ns0:r>
      <ns0:r>
        <ns0:rPr>
          <ns0:rFonts ns0:ascii="Arial" ns0:hAnsi="Arial"/>
          <ns0:sz ns0:val="18"/>
        </ns0:rPr>
        <ns0:t xml:space="preserve"> ClickUp, Smartsheet, Asana, Excel, GraphPad Prism, Benchling, SharePoint, Microsoft Teams, Notion, REDCap (independent simulation)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Publications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Co-author of a 2024 </ns0:t>
      </ns0:r>
      <ns0:r>
        <ns0:rPr>
          <ns0:i/>
          <ns0:rFonts ns0:ascii="Arial" ns0:hAnsi="Arial"/>
          <ns0:sz ns0:val="18"/>
        </ns0:rPr>
        <ns0:t xml:space="preserve">Nature Medicine</ns0:t>
      </ns0:r>
      <ns0:r>
        <ns0:rPr>
          <ns0:rFonts ns0:ascii="Arial" ns0:hAnsi="Arial"/>
          <ns0:sz ns0:val="18"/>
        </ns0:rPr>
        <ns0:t xml:space="preserve"> publication related to Vaxxinity/UB-312 active immunotherapy work.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Co-author of a 2025 </ns0:t>
      </ns0:r>
      <ns0:r>
        <ns0:rPr>
          <ns0:i/>
          <ns0:rFonts ns0:ascii="Arial" ns0:hAnsi="Arial"/>
          <ns0:sz ns0:val="18"/>
        </ns0:rPr>
        <ns0:t xml:space="preserve">Communications Medicine</ns0:t>
      </ns0:r>
      <ns0:r>
        <ns0:rPr>
          <ns0:rFonts ns0:ascii="Arial" ns0:hAnsi="Arial"/>
          <ns0:sz ns0:val="18"/>
        </ns0:rPr>
        <ns0:t xml:space="preserve"> publication related to Vaxxinity/VXX-401/CGRP work.</ns0:t>
      </ns0:r>
    </ns0:p>
    <ns0:sectPr>
      <ns0:pgSz ns0:w="12240" ns0:h="15840"/>
      <ns0:pgMar ns0:top="648" ns0:right="792" ns0:bottom="648" ns0:left="792"/>
    </ns0:sectPr>
  </ns0:body>
</ns0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github.com/alanisss27" TargetMode="External"/></Relationships>
</file>