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</ct:Types>
</file>

<file path=_rels/.rels><?xml version='1.0' encoding='utf-8'?>
<pr:Relationships xmlns:pr="http://schemas.openxmlformats.org/package/2006/relationships"><pr:Relationship Id="rId1" Type="http://schemas.openxmlformats.org/officeDocument/2006/relationships/officeDocument" Target="word/document.xml" /><pr:Relationship Id="rId2" Type="http://schemas.openxmlformats.org/officeDocument/2006/relationships/core-properties" Target="docProps/core.xml" /></pr: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Alanis Sun</w:t>
      </w:r>
    </w:p>
    <w:p>
      <w:pPr>
        <w:pStyle w:val="Normal"/>
      </w:pPr>
      <w:r>
        <w:t>Cocoa, FL | 321-750-7281 | yushuangsun36@gmail.com</w:t>
      </w:r>
    </w:p>
    <w:p>
      <w:pPr>
        <w:pStyle w:val="Normal"/>
      </w:pPr>
      <w:r>
        <w:t>US Permanent Resident | Bilingual: English and Mandarin Chinese</w:t>
      </w:r>
    </w:p>
    <w:p>
      <w:pPr>
        <w:pStyle w:val="Heading1"/>
      </w:pPr>
      <w:r>
        <w:t>Professional Summary</w:t>
      </w:r>
    </w:p>
    <w:p>
      <w:pPr>
        <w:pStyle w:val="Normal"/>
      </w:pPr>
      <w:r>
        <w:t>Clinical research professional with 6+ years supporting Phase I/II clinical-development programs in a GLP biotech environment, with experience in clinical sample, data, and supporting-document workflows, CRO and internal clinical-team coordination, discrepancy investigation, and regulated documentation. Additional experience includes phased project planning, dependency tracking, and weekly status reporting.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Manager, Lab Operations</w:t>
      </w:r>
    </w:p>
    <w:p>
      <w:pPr>
        <w:pStyle w:val="Normal"/>
      </w:pPr>
      <w:r>
        <w:rPr>
          <w:b/>
        </w:rPr>
        <w:t>Akesoe Biologics</w:t>
      </w:r>
      <w:r>
        <w:t xml:space="preserve"> | Winter Springs, FL | May 2026–Present</w:t>
      </w:r>
    </w:p>
    <w:p>
      <w:pPr>
        <w:pStyle w:val="ListBullet"/>
      </w:pPr>
      <w:r>
        <w:t>Developed a phased plan for an approximately 7–9 phase early-stage stem-cell project by breaking early phases into detailed tasks, assigning responsibilities, identifying dependencies, and tracking progress in ClickUp.</w:t>
      </w:r>
    </w:p>
    <w:p>
      <w:pPr>
        <w:pStyle w:val="ListBullet"/>
      </w:pPr>
      <w:r>
        <w:t>Prepared weekly project-status reports summarizing completed work, potential impacts, next steps, and pending follow-ups; coordinated cross-functional inputs, resource needs, and issue follow-up.</w:t>
      </w:r>
    </w:p>
    <w:p>
      <w:pPr>
        <w:pStyle w:val="ListBullet"/>
      </w:pPr>
      <w:r>
        <w:t>Reviewed 30+ SOP/DCR records and electronic documents, identified documentation and version inconsistencies, and supported documentation and form-completion improvements.</w:t>
      </w:r>
    </w:p>
    <w:p>
      <w:pPr>
        <w:pStyle w:val="ListBullet"/>
      </w:pPr>
      <w:r>
        <w:t>Identified a compliance/resource-allocation risk related to a proposed GMP certification approach, researched the issue, and recommended a gap-based assessment that led to an internal mock-audit exercise.</w:t>
      </w:r>
    </w:p>
    <w:p>
      <w:pPr>
        <w:pStyle w:val="ListBullet"/>
      </w:pPr>
      <w:r>
        <w:t>Supported vendor/equipment evaluation through requirements definition, vendor discussions, quotation review, and comparison of options for decision support.</w:t>
      </w:r>
    </w:p>
    <w:p>
      <w:pPr>
        <w:pStyle w:val="Heading2"/>
      </w:pPr>
      <w:r>
        <w:t>Research Associate I</w:t>
      </w:r>
    </w:p>
    <w:p>
      <w:pPr>
        <w:pStyle w:val="Normal"/>
      </w:pPr>
      <w:r>
        <w:rPr>
          <w:b/>
        </w:rPr>
        <w:t>Vaxxinity</w:t>
      </w:r>
      <w:r>
        <w:t xml:space="preserve"> | Merritt Island, FL | Oct 2018–Jan 2025</w:t>
      </w:r>
    </w:p>
    <w:p>
      <w:pPr>
        <w:pStyle w:val="ListBullet"/>
      </w:pPr>
      <w:r>
        <w:t>Supported Phase I/II clinical-development programs in a GLP environment through clinical bioanalytical ELISA testing, assay validation, QC, troubleshooting, data analysis, and communication of results and supporting documentation to CRO data teams.</w:t>
      </w:r>
    </w:p>
    <w:p>
      <w:pPr>
        <w:pStyle w:val="ListBullet"/>
      </w:pPr>
      <w:r>
        <w:t>Worked with 4,000+ clinical samples in a Phase I sample-management workflow through receipt/source-document verification, CRO/internal ID traceability, Benchling records, exception investigation, and coordination with sample-management personnel on retrieval and return.</w:t>
      </w:r>
    </w:p>
    <w:p>
      <w:pPr>
        <w:pStyle w:val="ListBullet"/>
      </w:pPr>
      <w:r>
        <w:t>Investigated a CRO calculation/data discrepancy by reviewing underlying assay data and supporting documentation, clarifying methodology, confirming visit-timing interpretation with the internal clinical team, and reviewing corrected CRO output.</w:t>
      </w:r>
    </w:p>
    <w:p>
      <w:pPr>
        <w:pStyle w:val="ListBullet"/>
      </w:pPr>
      <w:r>
        <w:t>Coordinated assigned technical and data issues with CRO data teams, internal clinical teams, sample-management personnel, and supervisors to support documentation accuracy and issue resolution.</w:t>
      </w:r>
    </w:p>
    <w:p>
      <w:pPr>
        <w:pStyle w:val="ListBullet"/>
      </w:pPr>
      <w:r>
        <w:t>Analyzed assay and titer data using Excel and GraphPad Prism, including cut-point analysis, titer determination, precision assessment, and %CV calculations.</w:t>
      </w:r>
    </w:p>
    <w:p>
      <w:pPr>
        <w:pStyle w:val="Heading1"/>
      </w:pPr>
      <w:r>
        <w:t>Education</w:t>
      </w:r>
    </w:p>
    <w:p>
      <w:pPr>
        <w:pStyle w:val="Normal"/>
      </w:pPr>
      <w:r>
        <w:rPr>
          <w:b/>
        </w:rPr>
        <w:t>M.S., Biomedical Science, Physiology &amp; Pharmacology</w:t>
      </w:r>
      <w:r>
        <w:t xml:space="preserve"> — Chang Gung University | 2017–2018</w:t>
      </w:r>
    </w:p>
    <w:p>
      <w:pPr>
        <w:pStyle w:val="Normal"/>
      </w:pPr>
      <w:r>
        <w:t>Research focus: Oncology/MDR, cell-based translational assays, and drug-mechanism studies</w:t>
      </w:r>
    </w:p>
    <w:p>
      <w:pPr>
        <w:pStyle w:val="Normal"/>
      </w:pPr>
      <w:r>
        <w:rPr>
          <w:b/>
        </w:rPr>
        <w:t>B.S., Biomedical Science</w:t>
      </w:r>
      <w:r>
        <w:t xml:space="preserve"> — Chang Gung University | 2013–2017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Project Management Certificate — Google, 2025</w:t>
      </w:r>
    </w:p>
    <w:p>
      <w:pPr>
        <w:pStyle w:val="ListBullet"/>
      </w:pPr>
      <w:r>
        <w:t>Data Management for Clinical Research — Vanderbilt University, 2025</w:t>
      </w:r>
    </w:p>
    <w:p>
      <w:pPr>
        <w:pStyle w:val="Heading1"/>
      </w:pPr>
      <w:r>
        <w:t>Skills</w:t>
      </w:r>
    </w:p>
    <w:p>
      <w:pPr>
        <w:pStyle w:val="Normal"/>
      </w:pPr>
      <w:r>
        <w:rPr>
          <w:b/>
        </w:rPr>
        <w:t>Clinical Research &amp; Documentation:</w:t>
      </w:r>
      <w:r>
        <w:t xml:space="preserve"> Phase I/II clinical-development support, GLP documentation, clinical data and supporting-document review, CRO data-transfer support, discrepancy investigation, corrected-output review, clinical sample traceability, exception investigation, SOP/DCR review, documentation consistency, CAPA documentation</w:t>
      </w:r>
    </w:p>
    <w:p>
      <w:pPr>
        <w:pStyle w:val="Normal"/>
      </w:pPr>
      <w:r>
        <w:rPr>
          <w:b/>
        </w:rPr>
        <w:t>Project Coordination:</w:t>
      </w:r>
      <w:r>
        <w:t xml:space="preserve"> Phased project planning, task breakdown and assignment, dependency tracking, ClickUp tracking, weekly status reporting, cross-functional coordination, issue and follow-up tracking, resource-needs coordination, vendor/equipment evaluation support, quotation review</w:t>
      </w:r>
    </w:p>
    <w:p>
      <w:pPr>
        <w:pStyle w:val="Normal"/>
      </w:pPr>
      <w:r>
        <w:rPr>
          <w:b/>
        </w:rPr>
        <w:t>Tools &amp; Analysis:</w:t>
      </w:r>
      <w:r>
        <w:t xml:space="preserve"> Excel, GraphPad Prism, Benchling, Smartsheet, ClickUp, Asana, Notion, SharePoint, Microsoft Teams, Codex</w:t>
      </w:r>
    </w:p>
    <w:p>
      <w:pPr>
        <w:pStyle w:val="Heading1"/>
      </w:pPr>
      <w:r>
        <w:t>Publications</w:t>
      </w:r>
    </w:p>
    <w:p>
      <w:pPr>
        <w:pStyle w:val="ListBullet"/>
      </w:pPr>
      <w:r>
        <w:t xml:space="preserve">Co-author of a 2024 </w:t>
      </w:r>
      <w:r>
        <w:rPr>
          <w:i/>
        </w:rPr>
        <w:t>Nature Medicine</w:t>
      </w:r>
      <w:r>
        <w:t xml:space="preserve"> publication related to Vaxxinity/UB-312 active immunotherapy work.</w:t>
      </w:r>
    </w:p>
    <w:p>
      <w:pPr>
        <w:pStyle w:val="ListBullet"/>
      </w:pPr>
      <w:r>
        <w:t xml:space="preserve">Co-author of a 2025 </w:t>
      </w:r>
      <w:r>
        <w:rPr>
          <w:i/>
        </w:rPr>
        <w:t>Communications Medicine</w:t>
      </w:r>
      <w:r>
        <w:t xml:space="preserve"> publication related to Vaxxinity/VXX-401/CGRP work.</w:t>
      </w:r>
    </w:p>
    <w:sectPr>
      <w:pgSz w:w="12240" w:h="15840"/>
      <w:pgMar w:top="648" w:right="792" w:bottom="648" w:left="792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</w:rPr>
    </w:rPrDefault>
    <w:pPrDefault>
      <w:pPr>
        <w:spacing w:after="40" w:line="2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rPr>
      <w:b/>
      <w:sz w:val="36"/>
    </w:rPr>
    <w:pPr>
      <w:spacing w:after="40"/>
    </w:pPr>
  </w:style>
  <w:style w:type="paragraph" w:styleId="Heading1">
    <w:name w:val="heading 1"/>
    <w:basedOn w:val="Normal"/>
    <w:next w:val="Normal"/>
    <w:rPr>
      <w:b/>
      <w:sz w:val="22"/>
    </w:rPr>
    <w:pPr>
      <w:keepNext/>
      <w:spacing w:before="100" w:after="40"/>
    </w:pPr>
  </w:style>
  <w:style w:type="paragraph" w:styleId="Heading2">
    <w:name w:val="heading 2"/>
    <w:basedOn w:val="Normal"/>
    <w:next w:val="Normal"/>
    <w:rPr>
      <w:b/>
      <w:sz w:val="20"/>
    </w:rPr>
    <w:pPr>
      <w:keepNext/>
      <w:spacing w:before="70" w:after="20"/>
    </w:p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'1.0' encoding='utf-8'?>
<pr:Relationships xmlns:pr="http://schemas.openxmlformats.org/package/2006/relationships"><pr:Relationship Id="rId1" Type="http://schemas.openxmlformats.org/officeDocument/2006/relationships/officeDocument" Target="document.xml" /><pr:Relationship Id="rId2" Type="http://schemas.openxmlformats.org/officeDocument/2006/relationships/styles" Target="styles.xml" /></pr:Relationships>
</file>

<file path=docProps/core.xml><?xml version="1.0" encoding="utf-8"?>
<ns0:coreProperties xmlns:dc="http://purl.org/dc/elements/1.1/" xmlns:ns0="http://schemas.openxmlformats.org/package/2006/metadata/core-properties" xmlns:ns2="http://purl.org/dc/terms/">
  <dc:title>Parexel Clinical Trial Associate Resume</dc:title>
  <dc:creator>Alanis Sun</dc:creator>
  <ns2:created>2026-09-25T00:00:00Z</ns2:created>
</ns0:coreProperties>
</file>