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40"/>
      </w:pPr>
      <w:r>
        <w:rPr>
          <w:b/>
          <w:rFonts w:ascii="Arial" w:hAnsi="Arial"/>
          <w:sz w:val="38"/>
        </w:rPr>
        <w:t xml:space="preserve">Alanis Sun</w:t>
      </w:r>
    </w:p>
    <w:p>
      <w:pPr>
        <w:spacing w:after="35"/>
        <w:keepLines/>
      </w:pPr>
      <w:r>
        <w:rPr>
          <w:rFonts w:ascii="Arial" w:hAnsi="Arial"/>
          <w:sz w:val="18"/>
        </w:rPr>
        <w:t xml:space="preserve">Cocoa, FL | 321-750-7281 | yushuangsun36@gmail.com </w:t>
      </w:r>
    </w:p>
    <w:p>
      <w:pPr>
        <w:spacing w:after="35"/>
        <w:keepLines/>
      </w:pPr>
      <w:r>
        <w:rPr>
          <w:rFonts w:ascii="Arial" w:hAnsi="Arial"/>
          <w:sz w:val="18"/>
        </w:rPr>
        <w:t xml:space="preserve">US Permanent Resident | Bilingual: English and Mandarin Chinese</w:t>
      </w:r>
    </w:p>
    <w:p>
      <w:pPr>
        <w:spacing w:before="120" w:after="45"/>
        <w:keepNext/>
      </w:pPr>
      <w:r>
        <w:rPr>
          <w:b/>
          <w:rFonts w:ascii="Arial" w:hAnsi="Arial"/>
          <w:sz w:val="21"/>
        </w:rPr>
        <w:t xml:space="preserve">Professional Summary</w:t>
      </w:r>
    </w:p>
    <w:p>
      <w:pPr>
        <w:spacing w:after="35"/>
        <w:keepLines/>
      </w:pPr>
      <w:r>
        <w:rPr>
          <w:rFonts w:ascii="Arial" w:hAnsi="Arial"/>
          <w:sz w:val="18"/>
        </w:rPr>
        <w:t xml:space="preserve">Clinical-development professional with more than six years supporting Phase I/II research in a GLP biotech environment, combining clinical-sample traceability, regulated documentation, CRO/internal coordination, and discrepancy resolution with project planning, status tracking, and cross-functional follow-through. Experienced in ASCVD clinical-development support and academic oncology research, with a focus on expanding into clinical project and study operations.</w:t>
      </w:r>
    </w:p>
    <w:p>
      <w:pPr>
        <w:spacing w:before="120" w:after="45"/>
        <w:keepNext/>
      </w:pPr>
      <w:r>
        <w:rPr>
          <w:b/>
          <w:rFonts w:ascii="Arial" w:hAnsi="Arial"/>
          <w:sz w:val="21"/>
        </w:rPr>
        <w:t xml:space="preserve">Professional Experience</w:t>
      </w:r>
    </w:p>
    <w:p>
      <w:pPr>
        <w:spacing w:before="70" w:after="20"/>
        <w:keepNext/>
      </w:pPr>
      <w:r>
        <w:rPr>
          <w:b/>
          <w:rFonts w:ascii="Arial" w:hAnsi="Arial"/>
          <w:sz w:val="19"/>
        </w:rPr>
        <w:t xml:space="preserve">Manager, Lab Operations</w:t>
      </w:r>
    </w:p>
    <w:p>
      <w:pPr>
        <w:spacing w:after="35"/>
        <w:keepLines/>
      </w:pPr>
      <w:r>
        <w:rPr>
          <w:b/>
          <w:rFonts w:ascii="Arial" w:hAnsi="Arial"/>
          <w:sz w:val="18"/>
        </w:rPr>
        <w:t xml:space="preserve">Akesoe Biologics</w:t>
      </w:r>
      <w:r>
        <w:rPr>
          <w:rFonts w:ascii="Arial" w:hAnsi="Arial"/>
          <w:sz w:val="18"/>
        </w:rPr>
        <w:t xml:space="preserve"> | Winter Springs, FL | May 2026-Present</w:t>
      </w:r>
    </w:p>
    <w:p>
      <w:pPr>
        <w:spacing w:after="35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Planned phased work for an early-stage stem-cell project by breaking early phases into tasks, assigning responsibilities, identifying dependencies, and tracking progress in ClickUp.</w:t>
      </w:r>
    </w:p>
    <w:p>
      <w:pPr>
        <w:spacing w:after="35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Prepared weekly status reports covering completed work, potential impacts, next steps, and follow-ups; coordinated cross-functional inputs and resource needs.</w:t>
      </w:r>
    </w:p>
    <w:p>
      <w:pPr>
        <w:spacing w:after="35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Reviewed 30+ SOP/DCR records, identified version inconsistencies, and supported process improvements; documented a CAPA response for QA and mock-audit findings for management review.</w:t>
      </w:r>
    </w:p>
    <w:p>
      <w:pPr>
        <w:spacing w:after="35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Supported vendor/equipment evaluation through requirements definition, discussions, quote review, and option comparison.</w:t>
      </w:r>
    </w:p>
    <w:p>
      <w:pPr>
        <w:spacing w:before="70" w:after="20"/>
        <w:keepNext/>
      </w:pPr>
      <w:r>
        <w:rPr>
          <w:b/>
          <w:rFonts w:ascii="Arial" w:hAnsi="Arial"/>
          <w:sz w:val="19"/>
        </w:rPr>
        <w:t xml:space="preserve">Research Associate I</w:t>
      </w:r>
    </w:p>
    <w:p>
      <w:pPr>
        <w:spacing w:after="35"/>
        <w:keepLines/>
      </w:pPr>
      <w:r>
        <w:rPr>
          <w:b/>
          <w:rFonts w:ascii="Arial" w:hAnsi="Arial"/>
          <w:sz w:val="18"/>
        </w:rPr>
        <w:t xml:space="preserve">Vaxxinity</w:t>
      </w:r>
      <w:r>
        <w:rPr>
          <w:rFonts w:ascii="Arial" w:hAnsi="Arial"/>
          <w:sz w:val="18"/>
        </w:rPr>
        <w:t xml:space="preserve"> | Merritt Island, FL | Oct 2018-Jan 2025</w:t>
      </w:r>
    </w:p>
    <w:p>
      <w:pPr>
        <w:spacing w:after="35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Supported Phase I/II clinical-development programs in a GLP environment through bioanalytical study work, and supported ASCVD clinical development.</w:t>
      </w:r>
    </w:p>
    <w:p>
      <w:pPr>
        <w:spacing w:after="35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Worked with more than four thousand clinical samples; supported a Phase I workflow through receipt/source-document verification, CRO/internal ID traceability, Benchling records, exception investigation, and sample-manager coordination.</w:t>
      </w:r>
    </w:p>
    <w:p>
      <w:pPr>
        <w:spacing w:after="35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Investigated CRO calculation/data discrepancies and coordinated assigned technical issues with CRO data teams, internal clinical colleagues, sample-management personnel, and supervisors through corrected-output review.</w:t>
      </w:r>
    </w:p>
    <w:p>
      <w:pPr>
        <w:spacing w:after="35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Prepared assigned assay-result/data-transfer deliverables and supporting documentation for CRO data teams; reviewed underlying data and records to support discrepancy follow-through with internal clinical colleagues.</w:t>
      </w:r>
    </w:p>
    <w:p>
      <w:pPr>
        <w:spacing w:before="120" w:after="45"/>
        <w:keepNext/>
      </w:pPr>
      <w:r>
        <w:rPr>
          <w:b/>
          <w:rFonts w:ascii="Arial" w:hAnsi="Arial"/>
          <w:sz w:val="21"/>
        </w:rPr>
        <w:t xml:space="preserve">Independent Projects</w:t>
      </w:r>
    </w:p>
    <w:p>
      <w:pPr>
        <w:spacing w:after="35"/>
        <w:keepLines/>
      </w:pPr>
      <w:r>
        <w:rPr>
          <w:rFonts w:ascii="Arial" w:hAnsi="Arial"/>
          <w:sz w:val="18"/>
        </w:rPr>
        <w:t xml:space="preserve">Portfolio: </w:t>
      </w:r>
      <w:hyperlink r:id="rId1">
        <w:r>
          <w:rPr>
            <w:rFonts w:ascii="Arial" w:hAnsi="Arial"/>
            <w:sz w:val="18"/>
          </w:rPr>
          <w:t xml:space="preserve">GitHub</w:t>
        </w:r>
      </w:hyperlink>
    </w:p>
    <w:p>
      <w:pPr>
        <w:spacing w:after="35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b/>
          <w:rFonts w:ascii="Arial" w:hAnsi="Arial"/>
          <w:sz w:val="18"/>
        </w:rPr>
        <w:t xml:space="preserve">Clinical Study Operations Simulation:</w:t>
      </w:r>
      <w:r>
        <w:rPr>
          <w:rFonts w:ascii="Arial" w:hAnsi="Arial"/>
          <w:sz w:val="18"/>
        </w:rPr>
        <w:t xml:space="preserve"> Planned a simulated Phase I timeline and milestone tracker covering dependencies, status/forecast variance, and issue escalation.</w:t>
      </w:r>
    </w:p>
    <w:p>
      <w:pPr>
        <w:spacing w:after="35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b/>
          <w:rFonts w:ascii="Arial" w:hAnsi="Arial"/>
          <w:sz w:val="18"/>
        </w:rPr>
        <w:t xml:space="preserve">Clinical Trial REDCap Simulation:</w:t>
      </w:r>
      <w:r>
        <w:rPr>
          <w:rFonts w:ascii="Arial" w:hAnsi="Arial"/>
          <w:sz w:val="18"/>
        </w:rPr>
        <w:t xml:space="preserve"> Designed a mock Phase I EDC with longitudinal CRFs, visit/event mapping, sample traceability, and data-quality controls.</w:t>
      </w:r>
    </w:p>
    <w:p>
      <w:pPr>
        <w:spacing w:before="120" w:after="45"/>
        <w:keepNext/>
      </w:pPr>
      <w:r>
        <w:rPr>
          <w:b/>
          <w:rFonts w:ascii="Arial" w:hAnsi="Arial"/>
          <w:sz w:val="21"/>
        </w:rPr>
        <w:t xml:space="preserve">Education</w:t>
      </w:r>
    </w:p>
    <w:p>
      <w:pPr>
        <w:spacing w:after="35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b/>
          <w:rFonts w:ascii="Arial" w:hAnsi="Arial"/>
          <w:sz w:val="18"/>
        </w:rPr>
        <w:t xml:space="preserve">M.S., Biomedical Science, Physiology &amp; Pharmacology</w:t>
      </w:r>
      <w:r>
        <w:rPr>
          <w:rFonts w:ascii="Arial" w:hAnsi="Arial"/>
          <w:sz w:val="18"/>
        </w:rPr>
        <w:t xml:space="preserve"> - Chang Gung University | 2017-2018; academic oncology/MDR research (not clinical-trial experience)</w:t>
      </w:r>
    </w:p>
    <w:p>
      <w:pPr>
        <w:spacing w:after="35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b/>
          <w:rFonts w:ascii="Arial" w:hAnsi="Arial"/>
          <w:sz w:val="18"/>
        </w:rPr>
        <w:t xml:space="preserve">B.S., Biomedical Science</w:t>
      </w:r>
      <w:r>
        <w:rPr>
          <w:rFonts w:ascii="Arial" w:hAnsi="Arial"/>
          <w:sz w:val="18"/>
        </w:rPr>
        <w:t xml:space="preserve"> - Chang Gung University | 2013-2017</w:t>
      </w:r>
    </w:p>
    <w:p>
      <w:pPr>
        <w:spacing w:before="120" w:after="45"/>
        <w:keepNext/>
      </w:pPr>
      <w:r>
        <w:rPr>
          <w:b/>
          <w:rFonts w:ascii="Arial" w:hAnsi="Arial"/>
          <w:sz w:val="21"/>
        </w:rPr>
        <w:t xml:space="preserve">Certifications</w:t>
      </w:r>
    </w:p>
    <w:p>
      <w:pPr>
        <w:spacing w:after="35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Google Project Management Certificate - Google, 2025</w:t>
      </w:r>
    </w:p>
    <w:p>
      <w:pPr>
        <w:spacing w:after="35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Data Management for Clinical Research - Vanderbilt University, 2025</w:t>
      </w:r>
    </w:p>
    <w:p>
      <w:pPr>
        <w:spacing w:before="120" w:after="45"/>
        <w:keepNext/>
      </w:pPr>
      <w:r>
        <w:rPr>
          <w:b/>
          <w:rFonts w:ascii="Arial" w:hAnsi="Arial"/>
          <w:sz w:val="21"/>
        </w:rPr>
        <w:t xml:space="preserve">Skills</w:t>
      </w:r>
    </w:p>
    <w:p>
      <w:pPr>
        <w:spacing w:after="35"/>
        <w:keepLines/>
      </w:pPr>
      <w:r>
        <w:rPr>
          <w:b/>
          <w:rFonts w:ascii="Arial" w:hAnsi="Arial"/>
          <w:sz w:val="18"/>
        </w:rPr>
        <w:t xml:space="preserve">Clinical Research &amp; Documentation:</w:t>
      </w:r>
      <w:r>
        <w:rPr>
          <w:rFonts w:ascii="Arial" w:hAnsi="Arial"/>
          <w:sz w:val="18"/>
        </w:rPr>
        <w:t xml:space="preserve"> Phase I/II and ASCVD clinical-development support, GLP documentation, sample traceability, receipt/source-document verification, CRO/internal coordination, discrepancy investigation, ICH-GCP exposure</w:t>
      </w:r>
    </w:p>
    <w:p>
      <w:pPr>
        <w:spacing w:after="35"/>
        <w:keepLines/>
      </w:pPr>
      <w:r>
        <w:rPr>
          <w:b/>
          <w:rFonts w:ascii="Arial" w:hAnsi="Arial"/>
          <w:sz w:val="18"/>
        </w:rPr>
        <w:t xml:space="preserve">Project &amp; Process Coordination:</w:t>
      </w:r>
      <w:r>
        <w:rPr>
          <w:rFonts w:ascii="Arial" w:hAnsi="Arial"/>
          <w:sz w:val="18"/>
        </w:rPr>
        <w:t xml:space="preserve"> Task/dependency planning, timeline/status tracking, deliverable follow-up, cross-functional coordination, risk identification, SOP/DCR review, CAPA documentation, process improvement, vendor/equipment evaluation</w:t>
      </w:r>
    </w:p>
    <w:p>
      <w:pPr>
        <w:spacing w:after="35"/>
        <w:keepLines/>
      </w:pPr>
      <w:r>
        <w:rPr>
          <w:b/>
          <w:rFonts w:ascii="Arial" w:hAnsi="Arial"/>
          <w:sz w:val="18"/>
        </w:rPr>
        <w:t xml:space="preserve">Tools &amp; Analysis:</w:t>
      </w:r>
      <w:r>
        <w:rPr>
          <w:rFonts w:ascii="Arial" w:hAnsi="Arial"/>
          <w:sz w:val="18"/>
        </w:rPr>
        <w:t xml:space="preserve"> ClickUp, Smartsheet, Asana, Excel, GraphPad Prism, Benchling, SharePoint, Microsoft Teams, Notion, REDCap (independent simulation)</w:t>
      </w:r>
    </w:p>
    <w:p>
      <w:pPr>
        <w:spacing w:after="35"/>
        <w:keepLines/>
      </w:pPr>
      <w:r>
        <w:rPr>
          <w:b/>
          <w:rFonts w:ascii="Arial" w:hAnsi="Arial"/>
          <w:sz w:val="18"/>
        </w:rPr>
        <w:t xml:space="preserve">AI &amp; Productivity:</w:t>
      </w:r>
      <w:r>
        <w:rPr>
          <w:rFonts w:ascii="Arial" w:hAnsi="Arial"/>
          <w:sz w:val="18"/>
        </w:rPr>
        <w:t xml:space="preserve"> ChatGPT, Codex, AI-assisted research synthesis, documentation, workflow organization</w:t>
      </w:r>
    </w:p>
    <w:p>
      <w:pPr>
        <w:spacing w:before="120" w:after="45"/>
        <w:keepNext/>
      </w:pPr>
      <w:r>
        <w:rPr>
          <w:b/>
          <w:rFonts w:ascii="Arial" w:hAnsi="Arial"/>
          <w:sz w:val="21"/>
        </w:rPr>
        <w:t xml:space="preserve">Publications</w:t>
      </w:r>
    </w:p>
    <w:p>
      <w:pPr>
        <w:spacing w:after="35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Co-author of a 2024 </w:t>
      </w:r>
      <w:r>
        <w:rPr>
          <w:i/>
          <w:rFonts w:ascii="Arial" w:hAnsi="Arial"/>
          <w:sz w:val="18"/>
        </w:rPr>
        <w:t xml:space="preserve">Nature Medicine</w:t>
      </w:r>
      <w:r>
        <w:rPr>
          <w:rFonts w:ascii="Arial" w:hAnsi="Arial"/>
          <w:sz w:val="18"/>
        </w:rPr>
        <w:t xml:space="preserve"> publication related to Vaxxinity/UB-312 active immunotherapy work.</w:t>
      </w:r>
    </w:p>
    <w:p>
      <w:pPr>
        <w:spacing w:after="35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Co-author of a 2025 </w:t>
      </w:r>
      <w:r>
        <w:rPr>
          <w:i/>
          <w:rFonts w:ascii="Arial" w:hAnsi="Arial"/>
          <w:sz w:val="18"/>
        </w:rPr>
        <w:t xml:space="preserve">Communications Medicine</w:t>
      </w:r>
      <w:r>
        <w:rPr>
          <w:rFonts w:ascii="Arial" w:hAnsi="Arial"/>
          <w:sz w:val="18"/>
        </w:rPr>
        <w:t xml:space="preserve"> publication related to Vaxxinity/VXX-401/CGRP work.</w:t>
      </w:r>
    </w:p>
    <w:sectPr>
      <w:pgSz w:w="12240" w:h="15840"/>
      <w:pgMar w:top="648" w:right="792" w:bottom="648" w:left="792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github.com/alanisss27" TargetMode="External"/></Relationships>
</file>