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40"/>
      </w:pPr>
      <w:r>
        <w:rPr>
          <w:b/>
          <w:rFonts w:ascii="Arial" w:hAnsi="Arial"/>
          <w:sz w:val="38"/>
        </w:rPr>
        <w:t xml:space="preserve">Alanis Sun</w:t>
      </w:r>
    </w:p>
    <w:p>
      <w:pPr>
        <w:spacing w:after="35"/>
        <w:keepLines/>
      </w:pPr>
      <w:r>
        <w:rPr>
          <w:rFonts w:ascii="Arial" w:hAnsi="Arial"/>
          <w:sz w:val="18"/>
        </w:rPr>
        <w:t xml:space="preserve">Cocoa, FL | 321-750-7281 | yushuangsun36@gmail.com </w:t>
      </w:r>
    </w:p>
    <w:p>
      <w:pPr>
        <w:spacing w:after="35"/>
        <w:keepLines/>
      </w:pPr>
      <w:r>
        <w:rPr>
          <w:rFonts w:ascii="Arial" w:hAnsi="Arial"/>
          <w:sz w:val="18"/>
        </w:rPr>
        <w:t xml:space="preserve">US Permanent Resident | Bilingual: English and Mandarin Chinese</w:t>
      </w:r>
    </w:p>
    <w:p>
      <w:pPr>
        <w:spacing w:before="120" w:after="45"/>
        <w:keepNext/>
      </w:pPr>
      <w:r>
        <w:rPr>
          <w:b/>
          <w:rFonts w:ascii="Arial" w:hAnsi="Arial"/>
          <w:sz w:val="21"/>
        </w:rPr>
        <w:t xml:space="preserve">Professional Summary</w:t>
      </w:r>
    </w:p>
    <w:p>
      <w:pPr>
        <w:spacing w:after="35"/>
        <w:keepLines/>
      </w:pPr>
      <w:r>
        <w:rPr>
          <w:rFonts w:ascii="Arial" w:hAnsi="Arial"/>
          <w:sz w:val="18"/>
        </w:rPr>
        <w:t xml:space="preserve">Clinical-development professional with more than six years supporting Phase I/II research in a GLP biotech environment, combining clinical-sample traceability, regulated documentation, CRO/internal coordination, and discrepancy resolution with project planning, status tracking, and cross-functional follow-through. Experienced in ASCVD clinical-development support and academic oncology research, and seeking to transition into formal clinical project/study operations.</w:t>
      </w:r>
    </w:p>
    <w:p>
      <w:pPr>
        <w:spacing w:before="120" w:after="45"/>
        <w:keepNext/>
      </w:pPr>
      <w:r>
        <w:rPr>
          <w:b/>
          <w:rFonts w:ascii="Arial" w:hAnsi="Arial"/>
          <w:sz w:val="21"/>
        </w:rPr>
        <w:t xml:space="preserve">Professional Experience</w:t>
      </w:r>
    </w:p>
    <w:p>
      <w:pPr>
        <w:spacing w:before="70" w:after="20"/>
        <w:keepNext/>
      </w:pPr>
      <w:r>
        <w:rPr>
          <w:b/>
          <w:rFonts w:ascii="Arial" w:hAnsi="Arial"/>
          <w:sz w:val="19"/>
        </w:rPr>
        <w:t xml:space="preserve">Manager, Lab Operations</w:t>
      </w:r>
    </w:p>
    <w:p>
      <w:pPr>
        <w:spacing w:after="35"/>
        <w:keepLines/>
      </w:pPr>
      <w:r>
        <w:rPr>
          <w:b/>
          <w:rFonts w:ascii="Arial" w:hAnsi="Arial"/>
          <w:sz w:val="18"/>
        </w:rPr>
        <w:t xml:space="preserve">Akesoe Biologics</w:t>
      </w:r>
      <w:r>
        <w:rPr>
          <w:rFonts w:ascii="Arial" w:hAnsi="Arial"/>
          <w:sz w:val="18"/>
        </w:rPr>
        <w:t xml:space="preserve"> | Winter Springs, FL | May 2026-Present</w:t>
      </w:r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rFonts w:ascii="Arial" w:hAnsi="Arial"/>
          <w:sz w:val="18"/>
        </w:rPr>
        <w:t xml:space="preserve">Planned phased work for an early-stage stem-cell project by breaking early phases into tasks, assigning responsibilities, identifying dependencies, and tracking progress in ClickUp.</w:t>
      </w:r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rFonts w:ascii="Arial" w:hAnsi="Arial"/>
          <w:sz w:val="18"/>
        </w:rPr>
        <w:t xml:space="preserve">Prepared weekly status reports covering completed work, potential impacts, next steps, and follow-ups; coordinated cross-functional inputs and resource needs.</w:t>
      </w:r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rFonts w:ascii="Arial" w:hAnsi="Arial"/>
          <w:sz w:val="18"/>
        </w:rPr>
        <w:t xml:space="preserve">Reviewed 30+ SOP/DCR records, identified version inconsistencies, and supported process improvements; documented a CAPA response for QA and mock-audit findings for management review.</w:t>
      </w:r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rFonts w:ascii="Arial" w:hAnsi="Arial"/>
          <w:sz w:val="18"/>
        </w:rPr>
        <w:t xml:space="preserve">Supported vendor/equipment evaluation through requirements definition, discussions, quote review, and option comparison.</w:t>
      </w:r>
    </w:p>
    <w:p>
      <w:pPr>
        <w:spacing w:before="70" w:after="20"/>
        <w:keepNext/>
      </w:pPr>
      <w:r>
        <w:rPr>
          <w:b/>
          <w:rFonts w:ascii="Arial" w:hAnsi="Arial"/>
          <w:sz w:val="19"/>
        </w:rPr>
        <w:t xml:space="preserve">Research Associate I</w:t>
      </w:r>
    </w:p>
    <w:p>
      <w:pPr>
        <w:spacing w:after="35"/>
        <w:keepLines/>
      </w:pPr>
      <w:r>
        <w:rPr>
          <w:b/>
          <w:rFonts w:ascii="Arial" w:hAnsi="Arial"/>
          <w:sz w:val="18"/>
        </w:rPr>
        <w:t xml:space="preserve">Vaxxinity</w:t>
      </w:r>
      <w:r>
        <w:rPr>
          <w:rFonts w:ascii="Arial" w:hAnsi="Arial"/>
          <w:sz w:val="18"/>
        </w:rPr>
        <w:t xml:space="preserve"> | Merritt Island, FL | Oct 2018-Jan 2025</w:t>
      </w:r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rFonts w:ascii="Arial" w:hAnsi="Arial"/>
          <w:sz w:val="18"/>
        </w:rPr>
        <w:t xml:space="preserve">Supported Phase I/II clinical bioanalytical work in a GLP environment, including assay optimization/validation, QC, testing, data analysis, and CRO results/documentation transfer; also supported ASCVD clinical development.</w:t>
      </w:r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rFonts w:ascii="Arial" w:hAnsi="Arial"/>
          <w:sz w:val="18"/>
        </w:rPr>
        <w:t xml:space="preserve">Worked with more than four thousand clinical samples; supported a Phase I workflow through receipt/source-document verification, CRO/internal ID traceability, Benchling records, exception investigation, and sample-manager coordination.</w:t>
      </w:r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rFonts w:ascii="Arial" w:hAnsi="Arial"/>
          <w:sz w:val="18"/>
        </w:rPr>
        <w:t xml:space="preserve">Investigated CRO calculation/data discrepancies and coordinated assigned technical issues with CRO data teams, internal clinical colleagues, sample-management personnel, and supervisors through corrected-output review.</w:t>
      </w:r>
    </w:p>
    <w:p>
      <w:pPr>
        <w:spacing w:before="120" w:after="45"/>
        <w:keepNext/>
      </w:pPr>
      <w:r>
        <w:rPr>
          <w:b/>
          <w:rFonts w:ascii="Arial" w:hAnsi="Arial"/>
          <w:sz w:val="21"/>
        </w:rPr>
        <w:t xml:space="preserve">Independent Projects</w:t>
      </w:r>
    </w:p>
    <w:p>
      <w:pPr>
        <w:spacing w:after="35"/>
        <w:keepLines/>
      </w:pPr>
      <w:r>
        <w:rPr>
          <w:rFonts w:ascii="Arial" w:hAnsi="Arial"/>
          <w:sz w:val="18"/>
        </w:rPr>
        <w:t xml:space="preserve">Portfolio: </w:t>
      </w:r>
      <w:hyperlink r:id="rId1">
        <w:r>
          <w:rPr>
            <w:rFonts w:ascii="Arial" w:hAnsi="Arial"/>
            <w:sz w:val="18"/>
          </w:rPr>
          <w:t xml:space="preserve">GitHub</w:t>
        </w:r>
      </w:hyperlink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b/>
          <w:rFonts w:ascii="Arial" w:hAnsi="Arial"/>
          <w:sz w:val="18"/>
        </w:rPr>
        <w:t xml:space="preserve">Clinical Study Operations Simulation:</w:t>
      </w:r>
      <w:r>
        <w:rPr>
          <w:rFonts w:ascii="Arial" w:hAnsi="Arial"/>
          <w:sz w:val="18"/>
        </w:rPr>
        <w:t xml:space="preserve"> Planned a simulated Phase I timeline and milestone tracker covering dependencies, status/forecast variance, and issue escalation.</w:t>
      </w:r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b/>
          <w:rFonts w:ascii="Arial" w:hAnsi="Arial"/>
          <w:sz w:val="18"/>
        </w:rPr>
        <w:t xml:space="preserve">Clinical Trial REDCap Simulation:</w:t>
      </w:r>
      <w:r>
        <w:rPr>
          <w:rFonts w:ascii="Arial" w:hAnsi="Arial"/>
          <w:sz w:val="18"/>
        </w:rPr>
        <w:t xml:space="preserve"> Designed a mock Phase I EDC with longitudinal CRFs, visit/event mapping, sample traceability, and data-quality controls.</w:t>
      </w:r>
    </w:p>
    <w:p>
      <w:pPr>
        <w:spacing w:before="120" w:after="45"/>
        <w:keepNext/>
      </w:pPr>
      <w:r>
        <w:rPr>
          <w:b/>
          <w:rFonts w:ascii="Arial" w:hAnsi="Arial"/>
          <w:sz w:val="21"/>
        </w:rPr>
        <w:t xml:space="preserve">Education</w:t>
      </w:r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b/>
          <w:rFonts w:ascii="Arial" w:hAnsi="Arial"/>
          <w:sz w:val="18"/>
        </w:rPr>
        <w:t xml:space="preserve">M.S., Biomedical Science, Physiology &amp; Pharmacology</w:t>
      </w:r>
      <w:r>
        <w:rPr>
          <w:rFonts w:ascii="Arial" w:hAnsi="Arial"/>
          <w:sz w:val="18"/>
        </w:rPr>
        <w:t xml:space="preserve"> - Chang Gung University | 2017-2018; academic oncology/MDR research (not clinical-trial experience)</w:t>
      </w:r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b/>
          <w:rFonts w:ascii="Arial" w:hAnsi="Arial"/>
          <w:sz w:val="18"/>
        </w:rPr>
        <w:t xml:space="preserve">B.S., Biomedical Science</w:t>
      </w:r>
      <w:r>
        <w:rPr>
          <w:rFonts w:ascii="Arial" w:hAnsi="Arial"/>
          <w:sz w:val="18"/>
        </w:rPr>
        <w:t xml:space="preserve"> - Chang Gung University | 2013-2017</w:t>
      </w:r>
    </w:p>
    <w:p>
      <w:pPr>
        <w:spacing w:before="120" w:after="45"/>
        <w:keepNext/>
      </w:pPr>
      <w:r>
        <w:rPr>
          <w:b/>
          <w:rFonts w:ascii="Arial" w:hAnsi="Arial"/>
          <w:sz w:val="21"/>
        </w:rPr>
        <w:t xml:space="preserve">Certifications</w:t>
      </w:r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rFonts w:ascii="Arial" w:hAnsi="Arial"/>
          <w:sz w:val="18"/>
        </w:rPr>
        <w:t xml:space="preserve">Google Project Management Certificate - Google, 2025</w:t>
      </w:r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rFonts w:ascii="Arial" w:hAnsi="Arial"/>
          <w:sz w:val="18"/>
        </w:rPr>
        <w:t xml:space="preserve">Data Management for Clinical Research - Vanderbilt University, 2025</w:t>
      </w:r>
    </w:p>
    <w:p>
      <w:pPr>
        <w:spacing w:before="120" w:after="45"/>
        <w:keepNext/>
      </w:pPr>
      <w:r>
        <w:rPr>
          <w:b/>
          <w:rFonts w:ascii="Arial" w:hAnsi="Arial"/>
          <w:sz w:val="21"/>
        </w:rPr>
        <w:t xml:space="preserve">Skills</w:t>
      </w:r>
    </w:p>
    <w:p>
      <w:pPr>
        <w:spacing w:after="35"/>
        <w:keepLines/>
      </w:pPr>
      <w:r>
        <w:rPr>
          <w:b/>
          <w:rFonts w:ascii="Arial" w:hAnsi="Arial"/>
          <w:sz w:val="18"/>
        </w:rPr>
        <w:t xml:space="preserve">Clinical Research &amp; Documentation:</w:t>
      </w:r>
      <w:r>
        <w:rPr>
          <w:rFonts w:ascii="Arial" w:hAnsi="Arial"/>
          <w:sz w:val="18"/>
        </w:rPr>
        <w:t xml:space="preserve"> Phase I/II and ASCVD clinical-development support, GLP documentation, sample traceability, receipt/source-document verification, CRO/internal coordination, discrepancy investigation, ICH-GCP exposure</w:t>
      </w:r>
    </w:p>
    <w:p>
      <w:pPr>
        <w:spacing w:after="35"/>
        <w:keepLines/>
      </w:pPr>
      <w:r>
        <w:rPr>
          <w:b/>
          <w:rFonts w:ascii="Arial" w:hAnsi="Arial"/>
          <w:sz w:val="18"/>
        </w:rPr>
        <w:t xml:space="preserve">Project &amp; Process Coordination:</w:t>
      </w:r>
      <w:r>
        <w:rPr>
          <w:rFonts w:ascii="Arial" w:hAnsi="Arial"/>
          <w:sz w:val="18"/>
        </w:rPr>
        <w:t xml:space="preserve"> Task/dependency planning, timeline/status tracking, deliverable follow-up, cross-functional coordination, risk identification, SOP/DCR review, CAPA documentation, process improvement, vendor/equipment evaluation</w:t>
      </w:r>
    </w:p>
    <w:p>
      <w:pPr>
        <w:spacing w:after="35"/>
        <w:keepLines/>
      </w:pPr>
      <w:r>
        <w:rPr>
          <w:b/>
          <w:rFonts w:ascii="Arial" w:hAnsi="Arial"/>
          <w:sz w:val="18"/>
        </w:rPr>
        <w:t xml:space="preserve">Tools &amp; Analysis:</w:t>
      </w:r>
      <w:r>
        <w:rPr>
          <w:rFonts w:ascii="Arial" w:hAnsi="Arial"/>
          <w:sz w:val="18"/>
        </w:rPr>
        <w:t xml:space="preserve"> ClickUp, Smartsheet, Asana, Excel, GraphPad Prism, Benchling, SharePoint, Microsoft Teams, REDCap (independent simulation)</w:t>
      </w:r>
    </w:p>
    <w:p>
      <w:pPr>
        <w:spacing w:after="35"/>
        <w:keepLines/>
      </w:pPr>
      <w:r>
        <w:rPr>
          <w:b/>
          <w:rFonts w:ascii="Arial" w:hAnsi="Arial"/>
          <w:sz w:val="18"/>
        </w:rPr>
        <w:t xml:space="preserve">AI &amp; Productivity:</w:t>
      </w:r>
      <w:r>
        <w:rPr>
          <w:rFonts w:ascii="Arial" w:hAnsi="Arial"/>
          <w:sz w:val="18"/>
        </w:rPr>
        <w:t xml:space="preserve"> ChatGPT, Codex, AI-assisted research synthesis, documentation, workflow organization</w:t>
      </w:r>
    </w:p>
    <w:p>
      <w:pPr>
        <w:spacing w:before="120" w:after="45"/>
        <w:keepNext/>
      </w:pPr>
      <w:r>
        <w:rPr>
          <w:b/>
          <w:rFonts w:ascii="Arial" w:hAnsi="Arial"/>
          <w:sz w:val="21"/>
        </w:rPr>
        <w:t xml:space="preserve">Publications</w:t>
      </w:r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rFonts w:ascii="Arial" w:hAnsi="Arial"/>
          <w:sz w:val="18"/>
        </w:rPr>
        <w:t xml:space="preserve">Co-author of a 2024 </w:t>
      </w:r>
      <w:r>
        <w:rPr>
          <w:i/>
          <w:rFonts w:ascii="Arial" w:hAnsi="Arial"/>
          <w:sz w:val="18"/>
        </w:rPr>
        <w:t xml:space="preserve">Nature Medicine</w:t>
      </w:r>
      <w:r>
        <w:rPr>
          <w:rFonts w:ascii="Arial" w:hAnsi="Arial"/>
          <w:sz w:val="18"/>
        </w:rPr>
        <w:t xml:space="preserve"> publication related to Vaxxinity/UB-312 active immunotherapy work.</w:t>
      </w:r>
    </w:p>
    <w:p>
      <w:pPr>
        <w:spacing w:after="35"/>
        <w:keepLines/>
        <w:ind w:left="240" w:hanging="160"/>
      </w:pPr>
      <w:r>
        <w:rPr>
          <w:rFonts w:ascii="Arial" w:hAnsi="Arial"/>
          <w:sz w:val="18"/>
          <w:b/>
        </w:rPr>
        <w:t>• </w:t>
      </w:r>
      <w:r>
        <w:rPr>
          <w:rFonts w:ascii="Arial" w:hAnsi="Arial"/>
          <w:sz w:val="18"/>
        </w:rPr>
        <w:t xml:space="preserve">Co-author of a 2025 </w:t>
      </w:r>
      <w:r>
        <w:rPr>
          <w:i/>
          <w:rFonts w:ascii="Arial" w:hAnsi="Arial"/>
          <w:sz w:val="18"/>
        </w:rPr>
        <w:t xml:space="preserve">Communications Medicine</w:t>
      </w:r>
      <w:r>
        <w:rPr>
          <w:rFonts w:ascii="Arial" w:hAnsi="Arial"/>
          <w:sz w:val="18"/>
        </w:rPr>
        <w:t xml:space="preserve"> publication related to Vaxxinity/VXX-401/CGRP work.</w:t>
      </w:r>
    </w:p>
    <w:sectPr>
      <w:pgSz w:w="12240" w:h="15840"/>
      <w:pgMar w:top="648" w:right="792" w:bottom="648" w:left="792"/>
    </w:sectPr>
  </w:body>
</w:document>
</file>

<file path=word/_rels/document.xml.rels><?xml version="1.0" encoding="UTF-8"?><Relationships xmlns="http://schemas.openxmlformats.org/package/2006/relationships"><Relationship Id="rId1" Type="http://schemas.openxmlformats.org/officeDocument/2006/relationships/hyperlink" Target="https://github.com/alanisss27" TargetMode="External"/></Relationships>
</file>