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Georgia" w:cs="Georgia" w:eastAsia="Georgia" w:hAnsi="Georgia"/>
          <w:b/>
          <w:bCs/>
          <w:color w:val="10243B"/>
          <w:sz w:val="56"/>
          <w:szCs w:val="56"/>
        </w:rPr>
        <w:t xml:space="preserve">OS de IA para PMEs e Provedores</w:t>
      </w:r>
    </w:p>
    <w:p>
      <w:pPr>
        <w:spacing w:after="200"/>
      </w:pPr>
      <w:r>
        <w:rPr>
          <w:color w:val="1C6DD0"/>
          <w:sz w:val="28"/>
          <w:szCs w:val="28"/>
        </w:rPr>
        <w:t xml:space="preserve">Análise de mercado, benchmark do G4 OS e estrutura de produto</w:t>
      </w:r>
    </w:p>
    <w:p>
      <w:pPr>
        <w:pBdr>
          <w:bottom w:val="single" w:color="0F8B82" w:sz="8" w:space="6"/>
        </w:pBdr>
      </w:pPr>
      <w:r>
        <w:t xml:space="preserve"/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Modelo: </w:t>
      </w:r>
      <w:r>
        <w:rPr>
          <w:sz w:val="22"/>
          <w:szCs w:val="22"/>
        </w:rPr>
        <w:t xml:space="preserve">dois produtos, uma base — vertical ISP como cunha, PME como expansão.</w:t>
      </w:r>
    </w:p>
    <w:p>
      <w:pPr>
        <w:spacing w:before="80"/>
      </w:pPr>
      <w:r>
        <w:rPr>
          <w:color w:val="5A6675"/>
          <w:sz w:val="20"/>
          <w:szCs w:val="20"/>
        </w:rPr>
        <w:t xml:space="preserve">Documento interno ·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40" w:line="276"/>
      </w:pPr>
      <w:r>
        <w:t xml:space="preserve">O G4 (ex-G4 Educação) lançou em março de 2026 o G4 OS, um “sistema operacional de IA” para PMEs — na prática, um wrapper de produtividade que sugere ações via dashboards, prompts e playbooks, mas não executa, não envia WhatsApp e não acessa os sistemas do cliente. É vendido em pacote estimado acima de R$15 mil, com acesso de apenas três meses.</w:t>
      </w:r>
    </w:p>
    <w:p>
      <w:pPr>
        <w:spacing w:after="140" w:line="276"/>
      </w:pPr>
      <w:r>
        <w:t xml:space="preserve">Nossa oportunidade não é competir de frente pelo “PME genérico”, onde o G4 tem marca, capital e distribuição. É construir o OS de IA operacional verticalizado para provedores de internet (ISPs), um mercado de ~11,8 mil empresas, 90% delas com menos de 5 mil clientes, pressionadas por churn acima de 20% ao ano e inadimplência recorde. Nosso projeto já possui o que o G4 OS não tem: monitoramento de rede (Zabbix/NOC), automação de WhatsApp e medição de CSAT.</w:t>
      </w:r>
    </w:p>
    <w:p>
      <w:pPr>
        <w:spacing w:after="140" w:line="276"/>
      </w:pPr>
      <w:r>
        <w:t xml:space="preserve">A recomendação é o modelo “dois produtos, uma base”: uma plataforma-núcleo compartilhada, empacotada primeiro como OS para ISP (cunha de entrada com ROI mensurável em retenção e cobrança) e, depois, como OS para PME genérica.</w:t>
      </w:r>
    </w:p>
    <w:p>
      <w:pPr>
        <w:pStyle w:val="Heading1"/>
      </w:pPr>
      <w:r>
        <w:t xml:space="preserve">2. O benchmark: o que é o G4 OS</w:t>
      </w:r>
    </w:p>
    <w:p>
      <w:pPr>
        <w:spacing w:after="140" w:line="276"/>
      </w:pPr>
      <w:r>
        <w:t xml:space="preserve">O G4 faturou R$509 milhões em 2025 e mira R$750 milhões em 2026. Em 23/03/2026 lançou o G4 OS em parceria com o Viver de IA (Rafael Milagre), dentro do pacote “G4 Implementação de IA” (Sprint de 3 dias + G4 OS por 3 meses + Viver de IA Pro por 12 meses + 20h/mês de mentoria + playbooks).</w:t>
      </w:r>
    </w:p>
    <w:p>
      <w:pPr>
        <w:pStyle w:val="Heading2"/>
      </w:pPr>
      <w:r>
        <w:t xml:space="preserve">O que ele é</w:t>
      </w:r>
    </w:p>
    <w:p>
      <w:pPr>
        <w:spacing w:after="140" w:line="276"/>
      </w:pPr>
      <w:r>
        <w:t xml:space="preserve">Plataforma web proprietária construída como wrapper sobre modelos da Microsoft/Azure OpenAI. Entrega dashboards de gestão com interação em linguagem natural, prompts guiados, playbooks (as metodologias internas do G4 traduzidas em fluxos de IA para vendas, financeiro, RH e operações), mais de 50 soluções prontas e uma IA alimentada com o contexto de cerca de 87 mil médias empresas brasileiras.</w:t>
      </w:r>
    </w:p>
    <w:p>
      <w:pPr>
        <w:pStyle w:val="Heading2"/>
      </w:pPr>
      <w:r>
        <w:t xml:space="preserve">O que ele não é (e abre espaço para nós)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executa código nem faz 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envia mensagens automaticamente via WhatsApp.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cria sites, landing pages ou dashboards do zero.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é um agente autônomo — é assistivo, sugere e o humano faz.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acesso ao OS dura 3 meses, criando dependência de renovação.</w:t>
      </w:r>
    </w:p>
    <w:p>
      <w:pPr>
        <w:spacing w:after="140" w:line="276"/>
      </w:pPr>
      <w:r>
        <w:rPr>
          <w:i/>
          <w:iCs/>
        </w:rPr>
        <w:t xml:space="preserve">Como o próprio G4 usa internamente: eficiência. O time de audiovisual passou a gerar centenas de variações de vídeo de forma automatizada (transcrição via Whisper, legendas, cortes) onde antes gastava horas; a meta declarada é triplicar a empresa sem aumentar as 450 cadeiras do escritório. É exatamente essa lógica — escalar a operação sem inflar o custo — que vamos levar ao provedor.</w:t>
      </w:r>
    </w:p>
    <w:p>
      <w:pPr>
        <w:pStyle w:val="Heading1"/>
      </w:pPr>
      <w:r>
        <w:t xml:space="preserve">3. Análise de mercado</w:t>
      </w:r>
    </w:p>
    <w:p>
      <w:pPr>
        <w:pStyle w:val="Heading2"/>
      </w:pPr>
      <w:r>
        <w:t xml:space="preserve">3.1 O nicho de ouro: pequenos ISPs</w:t>
      </w:r>
    </w:p>
    <w:p>
      <w:pPr>
        <w:spacing w:after="140" w:line="276"/>
      </w:pPr>
      <w:r>
        <w:t xml:space="preserve">O Brasil tem cerca de 11,8 mil provedores ativos (mais de 20 mil registrados) e aproximadamente 90% deles têm menos de 5 mil clientes — o segmento mal atendido pelos produtos premium. ISPs regionais já detêm 64,1% da banda larga fixa; em 1.041 cidades, passam de 80% de participação. Cerca de 42% operam em um único município e dois terços atendem áreas rurais.</w:t>
      </w:r>
    </w:p>
    <w:p>
      <w:pPr>
        <w:spacing w:after="140" w:line="276"/>
      </w:pPr>
      <w:r>
        <w:t xml:space="preserve">O mercado desacelerou em 2026 (crescimento de ~3% ao ano em janeiro, queda de 1% no mês), o que desloca a prioridade de “captar” para “reter e operar com eficiência” — o terreno ideal para um OS de IA. As dores são quantificáveis: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26"/>
      </w:tblGrid>
      <w:tr>
        <w:trPr>
          <w:tblHeader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Dor</w:t>
            </w:r>
          </w:p>
        </w:tc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Magnitude</w:t>
            </w:r>
          </w:p>
        </w:tc>
        <w:tc>
          <w:tcPr>
            <w:tcW w:type="dxa" w:w="2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 a IA atua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Churn</w:t>
            </w:r>
          </w:p>
        </w:tc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&gt; 20%/ano em provedores regionais (suporte ineficaz, atrito, oferta concorrente)</w:t>
            </w:r>
          </w:p>
        </w:tc>
        <w:tc>
          <w:tcPr>
            <w:tcW w:type="dxa" w:w="2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Previsão de churn, atendimento proativo, CSAT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Inadimplência</w:t>
            </w:r>
          </w:p>
        </w:tc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&gt; 8% em alguns períodos; recorde histórico em 2025-26</w:t>
            </w:r>
          </w:p>
        </w:tc>
        <w:tc>
          <w:tcPr>
            <w:tcW w:type="dxa" w:w="2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Régua de cobrança empática orientada a dados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Produtividade de campo</w:t>
            </w:r>
          </w:p>
        </w:tc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Técnico faz ~4 visitas/dia podendo fazer 7</w:t>
            </w:r>
          </w:p>
        </w:tc>
        <w:tc>
          <w:tcPr>
            <w:tcW w:type="dxa" w:w="2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Otimização de agenda e confirmação automática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Atendimento</w:t>
            </w:r>
          </w:p>
        </w:tc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WhatsApp é o canal central, com alta demanda imediata</w:t>
            </w:r>
          </w:p>
        </w:tc>
        <w:tc>
          <w:tcPr>
            <w:tcW w:type="dxa" w:w="2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Agente de suporte e triagem no WhatsApp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Retenção</w:t>
            </w:r>
          </w:p>
        </w:tc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+5% de retenção ⇒ +25% a +95% de lucro</w:t>
            </w:r>
          </w:p>
        </w:tc>
        <w:tc>
          <w:tcPr>
            <w:tcW w:type="dxa" w:w="2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Combinação de tudo acima</w:t>
            </w:r>
          </w:p>
        </w:tc>
      </w:tr>
    </w:tbl>
    <w:p>
      <w:pPr>
        <w:pStyle w:val="Heading2"/>
      </w:pPr>
      <w:r>
        <w:t xml:space="preserve">3.2 A concorrência de software de ISP</w:t>
      </w:r>
    </w:p>
    <w:p>
      <w:pPr>
        <w:spacing w:after="140" w:line="276"/>
      </w:pPr>
      <w:r>
        <w:t xml:space="preserve">Os ERPs do setor — IXC Soft (líder), SGP, Voalle e HubSoft — resolvem billing, CRM, rede e integração com OLTs. Nenhum se posiciona como camada de inteligência artificial operacional. Essa é a lacuna estratégica: não competimos com o ERP, nos posicionamos acima dele, consumindo seus dados.</w:t>
      </w:r>
    </w:p>
    <w:p>
      <w:pPr>
        <w:pStyle w:val="Heading2"/>
      </w:pPr>
      <w:r>
        <w:t xml:space="preserve">3.3 IA para PMEs</w:t>
      </w:r>
    </w:p>
    <w:p>
      <w:pPr>
        <w:spacing w:after="140" w:line="276"/>
      </w:pPr>
      <w:r>
        <w:t xml:space="preserve">O próprio movimento do G4 valida a demanda. Mas a oferta dominante é cara, assistiva e genérica — deixando espaço para uma alternativa acessível, agêntica e verticalizada.</w:t>
      </w:r>
    </w:p>
    <w:p>
      <w:pPr>
        <w:pStyle w:val="Heading1"/>
      </w:pPr>
      <w:r>
        <w:t xml:space="preserve">4. Benchmark: G4 OS vs. nosso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33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G4 OS</w:t>
            </w:r>
          </w:p>
        </w:tc>
        <w:tc>
          <w:tcPr>
            <w:tcW w:type="dxa" w:w="33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Nosso OS (NetTurbo)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Natureza</w:t>
            </w:r>
          </w:p>
        </w:tc>
        <w:tc>
          <w:tcPr>
            <w:tcW w:type="dxa" w:w="33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Wrapper assistivo (sugere)</w:t>
            </w:r>
          </w:p>
        </w:tc>
        <w:tc>
          <w:tcPr>
            <w:tcW w:type="dxa" w:w="33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Agêntico — executa, com aprovação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Vertical</w:t>
            </w:r>
          </w:p>
        </w:tc>
        <w:tc>
          <w:tcPr>
            <w:tcW w:type="dxa" w:w="33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Genérico (qualquer PME)</w:t>
            </w:r>
          </w:p>
        </w:tc>
        <w:tc>
          <w:tcPr>
            <w:tcW w:type="dxa" w:w="33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Verticalizado em ISP, depois PME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Rede / NOC</w:t>
            </w:r>
          </w:p>
        </w:tc>
        <w:tc>
          <w:tcPr>
            <w:tcW w:type="dxa" w:w="33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Zabbix, correlação, copilot de NOC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33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Não envia automaticamente</w:t>
            </w:r>
          </w:p>
        </w:tc>
        <w:tc>
          <w:tcPr>
            <w:tcW w:type="dxa" w:w="33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Evolution API: atende, responde, cobra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Dados do cliente</w:t>
            </w:r>
          </w:p>
        </w:tc>
        <w:tc>
          <w:tcPr>
            <w:tcW w:type="dxa" w:w="33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Não acessa o sistema</w:t>
            </w:r>
          </w:p>
        </w:tc>
        <w:tc>
          <w:tcPr>
            <w:tcW w:type="dxa" w:w="33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DataLake MySQL + billing + CSAT do provedor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Modelo de IA</w:t>
            </w:r>
          </w:p>
        </w:tc>
        <w:tc>
          <w:tcPr>
            <w:tcW w:type="dxa" w:w="33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Wrapper Azure/OpenAI</w:t>
            </w:r>
          </w:p>
        </w:tc>
        <w:tc>
          <w:tcPr>
            <w:tcW w:type="dxa" w:w="33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Cascata multi-provedor (NVIDIA→Groq→Gemini→OpenRouter→OpenAI)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Comercial</w:t>
            </w:r>
          </w:p>
        </w:tc>
        <w:tc>
          <w:tcPr>
            <w:tcW w:type="dxa" w:w="33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Pacote &gt;R$15k, OS por 3 meses</w:t>
            </w:r>
          </w:p>
        </w:tc>
        <w:tc>
          <w:tcPr>
            <w:tcW w:type="dxa" w:w="33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SaaS recorrente, white-label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Leitura honesta: </w:t>
      </w:r>
      <w:r>
        <w:t xml:space="preserve">o G4 ganha em marca, distribuição e capital; nós ganhamos em profundidade vertical e execução. Por isso a estratégia é dominar o ISP e usar essa base para chegar ao PME — não o contrário.</w:t>
      </w:r>
    </w:p>
    <w:p>
      <w:pPr>
        <w:pStyle w:val="Heading1"/>
      </w:pPr>
      <w:r>
        <w:t xml:space="preserve">5. Posicionamento</w:t>
      </w:r>
    </w:p>
    <w:p>
      <w:pPr>
        <w:spacing w:after="140" w:line="276"/>
      </w:pPr>
      <w:r>
        <w:rPr>
          <w:b/>
          <w:bCs/>
          <w:color w:val="10243B"/>
        </w:rPr>
        <w:t xml:space="preserve">“O OS de IA que opera o seu provedor.” </w:t>
      </w:r>
      <w:r>
        <w:t xml:space="preserve">Conectado à rede (Zabbix), ao billing (IXC/SGP/Voalle/HubSoft) e ao WhatsApp, ele não só mostra dashboards: tria alarmes de NOC, responde e cobra clientes, prevê churn e otimiza a agenda dos técnicos. Para a PME genérica, a mesma base entrega assistente, BI e omnichannel.</w:t>
      </w:r>
    </w:p>
    <w:p>
      <w:pPr>
        <w:pStyle w:val="Heading1"/>
      </w:pPr>
      <w:r>
        <w:t xml:space="preserve">6. Arquitetura de produto: dois produtos, uma base</w:t>
      </w:r>
    </w:p>
    <w:p>
      <w:pPr>
        <w:pStyle w:val="Heading2"/>
      </w:pPr>
      <w:r>
        <w:t xml:space="preserve">6.1 Núcleo compartilhado</w:t>
      </w:r>
    </w:p>
    <w:p>
      <w:pPr>
        <w:spacing w:after="140" w:line="276"/>
      </w:pPr>
      <w:r>
        <w:t xml:space="preserve">Camadas que servem aos dois produtos e já existem no repositório (ver docs/ARCHITECTURE.md): AI Gateway com cascata multi-provedor e RAG; DataLake/BI sobre MySQL; Omnichannel (WhatsApp via Evolution + Outlook); assistente conversacional; identidade, multi-tenant e white-label; e a camada de agentes (a evoluir) que orquestra ações com aprovação humana.</w:t>
      </w:r>
    </w:p>
    <w:p>
      <w:pPr>
        <w:pStyle w:val="Heading2"/>
      </w:pPr>
      <w:r>
        <w:t xml:space="preserve">6.2 Pacote A — OS para ISP (prioridade)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226"/>
      </w:tblGrid>
      <w:tr>
        <w:trPr>
          <w:tblHeader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Capacidade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no repo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a construir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Copilot de NOC (Zabbix, correlação)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Pronto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Ações guiadas (abrir/escalar chamado)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Suporte e vendas no WhatsApp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Pronto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Playbooks de atendimento ISP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CSAT / satisfação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Pronto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Loop proativo de retenção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Protocolos / chamados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Pronto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Integração com ERP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Previsão de churn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Dados existem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Modelo + alertas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Cobrança / inadimplência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Parcial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Régua automatizada e empática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Otimização de agenda de campo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fazer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Roteirização + confirmação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Conectores ERP (IXC/SGP/Voalle/HubSoft)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fazer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Integrações nativas</w:t>
            </w:r>
          </w:p>
        </w:tc>
      </w:tr>
    </w:tbl>
    <w:p>
      <w:pPr>
        <w:pStyle w:val="Heading2"/>
      </w:pPr>
      <w:r>
        <w:t xml:space="preserve">6.3 Pacote B — OS para PME (horizontal)</w:t>
      </w:r>
    </w:p>
    <w:p>
      <w:pPr>
        <w:spacing w:after="140" w:line="276"/>
      </w:pPr>
      <w:r>
        <w:t xml:space="preserve">Reaproveita o núcleo: assistente conversacional, dashboards de BI, RAG sobre documentos, omnichannel, produtividade (NetMeet — atas por áudio) e uma camada de playbooks setoriais a construir, espelhando o conceito do G4 (vendas, financeiro, RH, operações).</w:t>
      </w:r>
    </w:p>
    <w:p>
      <w:pPr>
        <w:pStyle w:val="Heading1"/>
      </w:pPr>
      <w:r>
        <w:t xml:space="preserve">7. Gaps prioritários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Conectores ERP de ISP (IXC, SGP, Voalle, HubSoft) — sem eles, não há dado de billing/cliente.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churn e inadimplência sobre o DataLake.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Otimização de agenda de campo (de 4 para 7 visitas/dia).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Camada de playbooks reutilizável — o ativo que dá ao G4 seu fosso.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e billing SaaS robustos (white-label por provedor/PME).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de agentes com aprovação e trilha de auditoria.</w:t>
      </w:r>
    </w:p>
    <w:p>
      <w:pPr>
        <w:pStyle w:val="Heading1"/>
      </w:pPr>
      <w:r>
        <w:t xml:space="preserve">8. Roadmap sugerido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68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Fase 1 — MVP ISP (0-3 meses)</w:t>
            </w:r>
          </w:p>
        </w:tc>
        <w:tc>
          <w:tcPr>
            <w:tcW w:type="dxa" w:w="68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conector ERP (IXC ou SGP) + copilot de NOC + agente de suporte WhatsApp + dashboard de churn/CSAT. Piloto com 1-3 provedores.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Fase 2 — Retenção &amp; cobrança (3-6 meses)</w:t>
            </w:r>
          </w:p>
        </w:tc>
        <w:tc>
          <w:tcPr>
            <w:tcW w:type="dxa" w:w="68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Motor de churn, régua de inadimplência, otimização de agenda. Métrica-norte: churn e inadimplência do piloto.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Fase 3 — Plataforma (6-9 meses)</w:t>
            </w:r>
          </w:p>
        </w:tc>
        <w:tc>
          <w:tcPr>
            <w:tcW w:type="dxa" w:w="68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Multi-tenant white-label, billing SaaS, mais conectores ERP, camada de playbooks.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Fase 4 — Expansão PME (9-12 meses)</w:t>
            </w:r>
          </w:p>
        </w:tc>
        <w:tc>
          <w:tcPr>
            <w:tcW w:type="dxa" w:w="68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Empacotar o núcleo como produto horizontal com playbooks setoriais.</w:t>
            </w:r>
          </w:p>
        </w:tc>
      </w:tr>
    </w:tbl>
    <w:p>
      <w:pPr>
        <w:pStyle w:val="Heading1"/>
      </w:pPr>
      <w:r>
        <w:t xml:space="preserve">9. Modelo de negócio</w:t>
      </w:r>
    </w:p>
    <w:p>
      <w:pPr>
        <w:spacing w:after="140" w:line="276"/>
      </w:pPr>
      <w:r>
        <w:t xml:space="preserve">SaaS recorrente (mensal/anual) — contraponto direto ao pacote caro e de três meses do G4. Possível precificação por número de clientes do ISP, alinhando preço ao porte e ao valor entregue. Onboarding assistido e uma comunidade de provedores como mecanismo de retenção. Para PME, planos por assento ou uso.</w:t>
      </w:r>
    </w:p>
    <w:p>
      <w:pPr>
        <w:pStyle w:val="Heading1"/>
      </w:pPr>
      <w:r>
        <w:t xml:space="preserve">10. Riscos e mitigação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Distribuição e marca (vs. a máquina de marketing do G4): foco vertical, casos de ROI mensurável e parcerias no ecossistema ISP (ex. ISP Meeting).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Dependência de LLMs de terceiros: já mitigada pela cascata multi-provedor.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com ERPs: começar por 1-2 com API aberta, tratando como diferencial.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Perda de foco: resistir a virar “PME genérico” cedo demais — o ISP é a cunha.</w:t>
      </w:r>
    </w:p>
    <w:p>
      <w:pPr>
        <w:pStyle w:val="Heading1"/>
      </w:pPr>
      <w:r>
        <w:t xml:space="preserve">Fontes</w:t>
      </w:r>
    </w:p>
    <w:p>
      <w:pPr>
        <w:spacing w:after="140" w:line="276"/>
      </w:pPr>
      <w:r>
        <w:t xml:space="preserve">Mercado de ISPs e provedores regionais:</w:t>
      </w:r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qkipdovilokhl_emeoraa">
        <w:r>
          <w:rPr>
            <w:rStyle w:val="Hyperlink"/>
            <w:sz w:val="18"/>
            <w:szCs w:val="18"/>
          </w:rPr>
          <w:t xml:space="preserve">NIC.br — crescimento de provedores regionais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7sfhrwmodgu4y5lur_xj7">
        <w:r>
          <w:rPr>
            <w:rStyle w:val="Hyperlink"/>
            <w:sz w:val="18"/>
            <w:szCs w:val="18"/>
          </w:rPr>
          <w:t xml:space="preserve">TI Inside — provedores regionais ganham mais clientes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ffcspm-aony4fhdx5xb3h">
        <w:r>
          <w:rPr>
            <w:rStyle w:val="Hyperlink"/>
            <w:sz w:val="18"/>
            <w:szCs w:val="18"/>
          </w:rPr>
          <w:t xml:space="preserve">VCX — provedores regionais (ISPs) desafiam grandes operadoras</w:t>
        </w:r>
      </w:hyperlink>
    </w:p>
    <w:p>
      <w:pPr>
        <w:spacing w:after="140" w:line="276"/>
      </w:pPr>
      <w:r>
        <w:t xml:space="preserve">Dores (churn, inadimplência, atendimento):</w:t>
      </w:r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dfnljugaqjnvxolrtq6ws">
        <w:r>
          <w:rPr>
            <w:rStyle w:val="Hyperlink"/>
            <w:sz w:val="18"/>
            <w:szCs w:val="18"/>
          </w:rPr>
          <w:t xml:space="preserve">Alloyal — churn em ISPs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c6kncnsg4cmrpf49y2esr">
        <w:r>
          <w:rPr>
            <w:rStyle w:val="Hyperlink"/>
            <w:sz w:val="18"/>
            <w:szCs w:val="18"/>
          </w:rPr>
          <w:t xml:space="preserve">2Safe — inadimplência em provedores 2025-2026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e_rei2tseh7ahm4g7jxuq">
        <w:r>
          <w:rPr>
            <w:rStyle w:val="Hyperlink"/>
            <w:sz w:val="18"/>
            <w:szCs w:val="18"/>
          </w:rPr>
          <w:t xml:space="preserve">Maxbot — WhatsApp para provedores</w:t>
        </w:r>
      </w:hyperlink>
    </w:p>
    <w:p>
      <w:pPr>
        <w:spacing w:after="140" w:line="276"/>
      </w:pPr>
      <w:r>
        <w:t xml:space="preserve">Software de ISP:</w:t>
      </w:r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i6rgyi0lfwkpufpcaec4e">
        <w:r>
          <w:rPr>
            <w:rStyle w:val="Hyperlink"/>
            <w:sz w:val="18"/>
            <w:szCs w:val="18"/>
          </w:rPr>
          <w:t xml:space="preserve">IXC Soft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zgww5wmka5cwnorv2vlgr">
        <w:r>
          <w:rPr>
            <w:rStyle w:val="Hyperlink"/>
            <w:sz w:val="18"/>
            <w:szCs w:val="18"/>
          </w:rPr>
          <w:t xml:space="preserve">HubSoft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knpxuep9yrbxfredv_5cz">
        <w:r>
          <w:rPr>
            <w:rStyle w:val="Hyperlink"/>
            <w:sz w:val="18"/>
            <w:szCs w:val="18"/>
          </w:rPr>
          <w:t xml:space="preserve">conecte.ai — comparativo de softwares para provedores</w:t>
        </w:r>
      </w:hyperlink>
    </w:p>
    <w:p>
      <w:pPr>
        <w:spacing w:after="140" w:line="276"/>
      </w:pPr>
      <w:r>
        <w:t xml:space="preserve">G4 OS:</w:t>
      </w:r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rueegvsnh4pa2by8iu7go">
        <w:r>
          <w:rPr>
            <w:rStyle w:val="Hyperlink"/>
            <w:sz w:val="18"/>
            <w:szCs w:val="18"/>
          </w:rPr>
          <w:t xml:space="preserve">Agência Café Online — G4 e Viver de IA: o lançamento de R$509 mi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haryobshradiwabec-iwr">
        <w:r>
          <w:rPr>
            <w:rStyle w:val="Hyperlink"/>
            <w:sz w:val="18"/>
            <w:szCs w:val="18"/>
          </w:rPr>
          <w:t xml:space="preserve">G4 Business — G4 Implementação de IA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giyautp4gp88pgv9zxlrv">
        <w:r>
          <w:rPr>
            <w:rStyle w:val="Hyperlink"/>
            <w:sz w:val="18"/>
            <w:szCs w:val="18"/>
          </w:rPr>
          <w:t xml:space="preserve">Startups — G4 deixa Educação para ser plataforma para PMEs</w:t>
        </w:r>
      </w:hyperlink>
    </w:p>
    <w:p>
      <w:pPr>
        <w:spacing w:after="40"/>
      </w:pPr>
      <w:r>
        <w:rPr>
          <w:sz w:val="18"/>
          <w:szCs w:val="18"/>
        </w:rPr>
        <w:t xml:space="preserve">• </w:t>
      </w:r>
      <w:hyperlink w:history="1" r:id="rIdwl0mq_dcedmn1wvdtiunv">
        <w:r>
          <w:rPr>
            <w:rStyle w:val="Hyperlink"/>
            <w:sz w:val="18"/>
            <w:szCs w:val="18"/>
          </w:rPr>
          <w:t xml:space="preserve">Fabricio Lima — estratégias práticas do G4 (uso interno)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5"/>
        <w:sz w:val="16"/>
        <w:szCs w:val="16"/>
      </w:rPr>
      <w:t xml:space="preserve">NetTurbo · Estratégia de Produto — confidencial    |    </w:t>
    </w:r>
    <w:r>
      <w:rPr>
        <w:color w:val="5A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Georgia" w:cs="Georgia" w:eastAsia="Georgia" w:hAnsi="Georgia"/>
      <w:b/>
      <w:bCs/>
      <w:color w:val="1024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C6D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kipdovilokhl_emeoraa" Type="http://schemas.openxmlformats.org/officeDocument/2006/relationships/hyperlink" Target="https://nic.br/noticia/na-midia/o-crescimento-exponencial-de-provedores-regionais-no-brasil/" TargetMode="External"/><Relationship Id="rId7sfhrwmodgu4y5lur_xj7" Type="http://schemas.openxmlformats.org/officeDocument/2006/relationships/hyperlink" Target="https://tiinside.com.br/26/03/2026/por-que-provedores-regionais-estao-ganhando-mais-clientes-que-as-grandes-operadoras/" TargetMode="External"/><Relationship Id="rIdffcspm-aony4fhdx5xb3h" Type="http://schemas.openxmlformats.org/officeDocument/2006/relationships/hyperlink" Target="https://vcx.solutions/provedores-regionais-isps/" TargetMode="External"/><Relationship Id="rIddfnljugaqjnvxolrtq6ws" Type="http://schemas.openxmlformats.org/officeDocument/2006/relationships/hyperlink" Target="https://alloyal.com.br/blog/cancelamento-churn-isps" TargetMode="External"/><Relationship Id="rIdc6kncnsg4cmrpf49y2esr" Type="http://schemas.openxmlformats.org/officeDocument/2006/relationships/hyperlink" Target="https://www.2safe.com/2026/03/04/inadimplencia-provedores-internet-2025-2026/" TargetMode="External"/><Relationship Id="rIde_rei2tseh7ahm4g7jxuq" Type="http://schemas.openxmlformats.org/officeDocument/2006/relationships/hyperlink" Target="https://www.maxbot.com.br/blog/whatsapp-para-provedores-de-internet" TargetMode="External"/><Relationship Id="rIdi6rgyi0lfwkpufpcaec4e" Type="http://schemas.openxmlformats.org/officeDocument/2006/relationships/hyperlink" Target="https://ixcsoft.com.br/" TargetMode="External"/><Relationship Id="rIdzgww5wmka5cwnorv2vlgr" Type="http://schemas.openxmlformats.org/officeDocument/2006/relationships/hyperlink" Target="https://hubsoft.io/" TargetMode="External"/><Relationship Id="rIdknpxuep9yrbxfredv_5cz" Type="http://schemas.openxmlformats.org/officeDocument/2006/relationships/hyperlink" Target="https://blog.conecte.ai/blog/softwares-para-provedores-de-internet" TargetMode="External"/><Relationship Id="rIdrueegvsnh4pa2by8iu7go" Type="http://schemas.openxmlformats.org/officeDocument/2006/relationships/hyperlink" Target="https://agenciacafeonline.com.br/blog/g4-viver-de-ia-lancamento-509-milhoes-mercado-2026" TargetMode="External"/><Relationship Id="rIdharyobshradiwabec-iwr" Type="http://schemas.openxmlformats.org/officeDocument/2006/relationships/hyperlink" Target="https://g4business.com/g4-implementacao-de-ia" TargetMode="External"/><Relationship Id="rIdgiyautp4gp88pgv9zxlrv" Type="http://schemas.openxmlformats.org/officeDocument/2006/relationships/hyperlink" Target="https://startups.com.br/negocios/edtech/g4-deixa-educacao-de-lado-para-ser-plataforma-para-pmes/" TargetMode="External"/><Relationship Id="rIdwl0mq_dcedmn1wvdtiunv" Type="http://schemas.openxmlformats.org/officeDocument/2006/relationships/hyperlink" Target="https://fabriciolima.net/blog/2026/04/05/implementacao-de-ia-em-empresas-estrategias-praticas-do-g4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2026-06-06T02:44:45.789Z</dcterms:created>
  <dcterms:modified xsi:type="dcterms:W3CDTF">2026-06-06T02:44:45.789Z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