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5029200" cy="1083212"/>
            <wp:docPr id="1" name="Picture 1"/>
            <wp:cNvGraphicFramePr>
              <a:graphicFrameLocks noChangeAspect="1"/>
            </wp:cNvGraphicFramePr>
            <a:graphic>
              <a:graphicData uri="http://schemas.openxmlformats.org/drawingml/2006/picture">
                <pic:pic>
                  <pic:nvPicPr>
                    <pic:cNvPr id="0" name="vit_header.png"/>
                    <pic:cNvPicPr/>
                  </pic:nvPicPr>
                  <pic:blipFill>
                    <a:blip r:embed="rId9"/>
                    <a:stretch>
                      <a:fillRect/>
                    </a:stretch>
                  </pic:blipFill>
                  <pic:spPr>
                    <a:xfrm>
                      <a:off x="0" y="0"/>
                      <a:ext cx="5029200" cy="1083212"/>
                    </a:xfrm>
                    <a:prstGeom prst="rect"/>
                  </pic:spPr>
                </pic:pic>
              </a:graphicData>
            </a:graphic>
          </wp:inline>
        </w:drawing>
      </w:r>
    </w:p>
    <w:p>
      <w:pPr>
        <w:spacing w:after="80" w:line="276" w:lineRule="auto"/>
        <w:jc w:val="center"/>
      </w:pPr>
      <w:r>
        <w:rPr>
          <w:rFonts w:ascii="Times New Roman" w:hAnsi="Times New Roman"/>
          <w:b/>
          <w:i w:val="0"/>
          <w:color w:val="0F172A"/>
          <w:sz w:val="24"/>
        </w:rPr>
        <w:t>SCHOOL OF COMPUTER SCIENCE AND INFORMATION SYSTEMS</w:t>
      </w:r>
    </w:p>
    <w:p>
      <w:pPr>
        <w:spacing w:after="160" w:line="276" w:lineRule="auto"/>
        <w:jc w:val="center"/>
      </w:pPr>
      <w:r>
        <w:rPr>
          <w:rFonts w:ascii="Times New Roman" w:hAnsi="Times New Roman"/>
          <w:b/>
          <w:i w:val="0"/>
          <w:color w:val="0F172A"/>
          <w:sz w:val="24"/>
        </w:rPr>
        <w:t>FALL SEMESTER 2026-27</w:t>
      </w:r>
    </w:p>
    <w:p>
      <w:pPr>
        <w:spacing w:after="60" w:line="276" w:lineRule="auto"/>
        <w:jc w:val="center"/>
      </w:pPr>
      <w:r>
        <w:rPr>
          <w:rFonts w:ascii="Times New Roman" w:hAnsi="Times New Roman"/>
          <w:b/>
          <w:i w:val="0"/>
          <w:color w:val="0F172A"/>
          <w:sz w:val="22"/>
        </w:rPr>
        <w:t>Course Code : ISWE202- Data Structures and Algorithms</w:t>
      </w:r>
    </w:p>
    <w:p>
      <w:pPr>
        <w:spacing w:after="60" w:line="276" w:lineRule="auto"/>
        <w:jc w:val="center"/>
      </w:pPr>
      <w:r>
        <w:rPr>
          <w:rFonts w:ascii="Times New Roman" w:hAnsi="Times New Roman"/>
          <w:b/>
          <w:i w:val="0"/>
          <w:color w:val="0F172A"/>
          <w:sz w:val="22"/>
        </w:rPr>
        <w:t>Slot : F1+TF1 and F2+TF2</w:t>
      </w:r>
    </w:p>
    <w:p>
      <w:pPr>
        <w:spacing w:after="160" w:line="276" w:lineRule="auto"/>
        <w:jc w:val="center"/>
      </w:pPr>
      <w:r>
        <w:rPr>
          <w:rFonts w:ascii="Times New Roman" w:hAnsi="Times New Roman"/>
          <w:b/>
          <w:i w:val="0"/>
          <w:color w:val="0F172A"/>
          <w:sz w:val="22"/>
        </w:rPr>
        <w:t>Faculty : Dr.P C Kishoreraja</w:t>
      </w:r>
    </w:p>
    <w:p>
      <w:pPr>
        <w:spacing w:after="240" w:line="276" w:lineRule="auto"/>
        <w:jc w:val="center"/>
      </w:pPr>
      <w:r>
        <w:rPr>
          <w:rFonts w:ascii="Times New Roman" w:hAnsi="Times New Roman"/>
          <w:b/>
          <w:i w:val="0"/>
          <w:color w:val="0F172A"/>
          <w:sz w:val="24"/>
        </w:rPr>
        <w:t>Lab Component Project Summary Report</w:t>
      </w:r>
    </w:p>
    <w:p>
      <w:pPr>
        <w:spacing w:after="280"/>
      </w:pPr>
      <w:r>
        <w:rPr>
          <w:rFonts w:ascii="Times New Roman" w:hAnsi="Times New Roman"/>
          <w:b/>
          <w:i w:val="0"/>
          <w:color w:val="0F172A"/>
          <w:sz w:val="24"/>
        </w:rPr>
        <w:t xml:space="preserve">Title of Project : </w:t>
      </w:r>
      <w:r>
        <w:rPr>
          <w:rFonts w:ascii="Times New Roman" w:hAnsi="Times New Roman"/>
          <w:b/>
          <w:i w:val="0"/>
          <w:color w:val="1E3A8A"/>
          <w:sz w:val="24"/>
        </w:rPr>
        <w:t>SideSeat: Real-Time Individual Library Seat Allocation &amp; Recommendation System using Hash Tables and Linear Search</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360"/>
        <w:gridCol w:w="3360"/>
        <w:gridCol w:w="3360"/>
      </w:tblGrid>
      <w:tr>
        <w:tc>
          <w:tcPr>
            <w:tcW w:type="dxa" w:w="10080"/>
            <w:gridSpan w:val="3"/>
          </w:tcPr>
          <w:p>
            <w:pPr>
              <w:jc w:val="center"/>
            </w:pPr>
            <w:r>
              <w:rPr>
                <w:rFonts w:ascii="Times New Roman" w:hAnsi="Times New Roman"/>
                <w:b/>
                <w:i w:val="0"/>
                <w:color w:val="0F172A"/>
                <w:sz w:val="22"/>
              </w:rPr>
              <w:t>Student Information</w:t>
            </w:r>
          </w:p>
        </w:tc>
      </w:tr>
      <w:tr>
        <w:tc>
          <w:tcPr>
            <w:tcW w:type="dxa" w:w="3360"/>
          </w:tcPr>
          <w:p>
            <w:pPr>
              <w:jc w:val="center"/>
            </w:pPr>
            <w:r>
              <w:rPr>
                <w:rFonts w:ascii="Times New Roman" w:hAnsi="Times New Roman"/>
                <w:b/>
                <w:i w:val="0"/>
                <w:color w:val="0F172A"/>
                <w:sz w:val="21"/>
              </w:rPr>
              <w:t>Name</w:t>
            </w:r>
          </w:p>
        </w:tc>
        <w:tc>
          <w:tcPr>
            <w:tcW w:type="dxa" w:w="3360"/>
          </w:tcPr>
          <w:p>
            <w:pPr>
              <w:jc w:val="center"/>
            </w:pPr>
            <w:r>
              <w:rPr>
                <w:rFonts w:ascii="Times New Roman" w:hAnsi="Times New Roman"/>
                <w:b/>
                <w:i w:val="0"/>
                <w:color w:val="0F172A"/>
                <w:sz w:val="21"/>
              </w:rPr>
              <w:t>Register No.</w:t>
            </w:r>
          </w:p>
        </w:tc>
        <w:tc>
          <w:tcPr>
            <w:tcW w:type="dxa" w:w="3360"/>
          </w:tcPr>
          <w:p>
            <w:pPr>
              <w:jc w:val="center"/>
            </w:pPr>
            <w:r>
              <w:rPr>
                <w:rFonts w:ascii="Times New Roman" w:hAnsi="Times New Roman"/>
                <w:b/>
                <w:i w:val="0"/>
                <w:color w:val="0F172A"/>
                <w:sz w:val="21"/>
              </w:rPr>
              <w:t>Signature</w:t>
            </w:r>
          </w:p>
        </w:tc>
      </w:tr>
      <w:tr>
        <w:tc>
          <w:tcPr>
            <w:tcW w:type="dxa" w:w="3360"/>
          </w:tcPr>
          <w:p>
            <w:pPr>
              <w:jc w:val="center"/>
            </w:pPr>
            <w:r>
              <w:rPr>
                <w:rFonts w:ascii="Times New Roman" w:hAnsi="Times New Roman"/>
                <w:b w:val="0"/>
                <w:i w:val="0"/>
                <w:color w:val="0F172A"/>
                <w:sz w:val="20"/>
              </w:rPr>
              <w:t>Alan Krishna</w:t>
            </w:r>
          </w:p>
        </w:tc>
        <w:tc>
          <w:tcPr>
            <w:tcW w:type="dxa" w:w="3360"/>
          </w:tcPr>
          <w:p>
            <w:pPr>
              <w:jc w:val="center"/>
            </w:pPr>
            <w:r>
              <w:rPr>
                <w:rFonts w:ascii="Times New Roman" w:hAnsi="Times New Roman"/>
                <w:b w:val="0"/>
                <w:i w:val="0"/>
                <w:color w:val="0F172A"/>
                <w:sz w:val="20"/>
              </w:rPr>
              <w:t>21BCE1024</w:t>
            </w:r>
          </w:p>
        </w:tc>
        <w:tc>
          <w:tcPr>
            <w:tcW w:type="dxa" w:w="3360"/>
          </w:tcPr>
          <w:p/>
        </w:tc>
      </w:tr>
      <w:tr>
        <w:tc>
          <w:tcPr>
            <w:tcW w:type="dxa" w:w="3360"/>
          </w:tcPr>
          <w:p>
            <w:pPr>
              <w:jc w:val="center"/>
            </w:pPr>
            <w:r>
              <w:rPr>
                <w:rFonts w:ascii="Times New Roman" w:hAnsi="Times New Roman"/>
                <w:b w:val="0"/>
                <w:i w:val="0"/>
                <w:color w:val="0F172A"/>
                <w:sz w:val="20"/>
              </w:rPr>
              <w:t>Luke Shaju</w:t>
            </w:r>
          </w:p>
        </w:tc>
        <w:tc>
          <w:tcPr>
            <w:tcW w:type="dxa" w:w="3360"/>
          </w:tcPr>
          <w:p>
            <w:pPr>
              <w:jc w:val="center"/>
            </w:pPr>
            <w:r>
              <w:rPr>
                <w:rFonts w:ascii="Times New Roman" w:hAnsi="Times New Roman"/>
                <w:b w:val="0"/>
                <w:i w:val="0"/>
                <w:color w:val="0F172A"/>
                <w:sz w:val="20"/>
              </w:rPr>
              <w:t>21BCE1088</w:t>
            </w:r>
          </w:p>
        </w:tc>
        <w:tc>
          <w:tcPr>
            <w:tcW w:type="dxa" w:w="3360"/>
          </w:tcPr>
          <w:p/>
        </w:tc>
      </w:tr>
      <w:tr>
        <w:tc>
          <w:tcPr>
            <w:tcW w:type="dxa" w:w="3360"/>
          </w:tcPr>
          <w:p>
            <w:pPr>
              <w:jc w:val="center"/>
            </w:pPr>
            <w:r>
              <w:rPr>
                <w:rFonts w:ascii="Times New Roman" w:hAnsi="Times New Roman"/>
                <w:b w:val="0"/>
                <w:i w:val="0"/>
                <w:color w:val="0F172A"/>
                <w:sz w:val="20"/>
              </w:rPr>
            </w:r>
          </w:p>
        </w:tc>
        <w:tc>
          <w:tcPr>
            <w:tcW w:type="dxa" w:w="3360"/>
          </w:tcPr>
          <w:p>
            <w:pPr>
              <w:jc w:val="center"/>
            </w:pPr>
            <w:r>
              <w:rPr>
                <w:rFonts w:ascii="Times New Roman" w:hAnsi="Times New Roman"/>
                <w:b w:val="0"/>
                <w:i w:val="0"/>
                <w:color w:val="0F172A"/>
                <w:sz w:val="20"/>
              </w:rPr>
            </w:r>
          </w:p>
        </w:tc>
        <w:tc>
          <w:tcPr>
            <w:tcW w:type="dxa" w:w="3360"/>
          </w:tcPr>
          <w:p/>
        </w:tc>
      </w:tr>
      <w:tr>
        <w:tc>
          <w:tcPr>
            <w:tcW w:type="dxa" w:w="3360"/>
          </w:tcPr>
          <w:p>
            <w:pPr>
              <w:jc w:val="center"/>
            </w:pPr>
            <w:r>
              <w:rPr>
                <w:rFonts w:ascii="Times New Roman" w:hAnsi="Times New Roman"/>
                <w:b w:val="0"/>
                <w:i w:val="0"/>
                <w:color w:val="0F172A"/>
                <w:sz w:val="20"/>
              </w:rPr>
            </w:r>
          </w:p>
        </w:tc>
        <w:tc>
          <w:tcPr>
            <w:tcW w:type="dxa" w:w="3360"/>
          </w:tcPr>
          <w:p>
            <w:pPr>
              <w:jc w:val="center"/>
            </w:pPr>
            <w:r>
              <w:rPr>
                <w:rFonts w:ascii="Times New Roman" w:hAnsi="Times New Roman"/>
                <w:b w:val="0"/>
                <w:i w:val="0"/>
                <w:color w:val="0F172A"/>
                <w:sz w:val="20"/>
              </w:rPr>
            </w:r>
          </w:p>
        </w:tc>
        <w:tc>
          <w:tcPr>
            <w:tcW w:type="dxa" w:w="3360"/>
          </w:tcPr>
          <w:p/>
        </w:tc>
      </w:tr>
      <w:tr>
        <w:tc>
          <w:tcPr>
            <w:tcW w:type="dxa" w:w="3360"/>
          </w:tcPr>
          <w:p>
            <w:pPr>
              <w:jc w:val="center"/>
            </w:pPr>
            <w:r>
              <w:rPr>
                <w:rFonts w:ascii="Times New Roman" w:hAnsi="Times New Roman"/>
                <w:b w:val="0"/>
                <w:i w:val="0"/>
                <w:color w:val="0F172A"/>
                <w:sz w:val="20"/>
              </w:rPr>
            </w:r>
          </w:p>
        </w:tc>
        <w:tc>
          <w:tcPr>
            <w:tcW w:type="dxa" w:w="3360"/>
          </w:tcPr>
          <w:p>
            <w:pPr>
              <w:jc w:val="center"/>
            </w:pPr>
            <w:r>
              <w:rPr>
                <w:rFonts w:ascii="Times New Roman" w:hAnsi="Times New Roman"/>
                <w:b w:val="0"/>
                <w:i w:val="0"/>
                <w:color w:val="0F172A"/>
                <w:sz w:val="20"/>
              </w:rPr>
            </w:r>
          </w:p>
        </w:tc>
        <w:tc>
          <w:tcPr>
            <w:tcW w:type="dxa" w:w="3360"/>
          </w:tcPr>
          <w:p/>
        </w:tc>
      </w:tr>
    </w:tbl>
    <w:p>
      <w:pPr>
        <w:spacing w:before="1200"/>
      </w:pPr>
      <w:r>
        <w:rPr>
          <w:rFonts w:ascii="Times New Roman" w:hAnsi="Times New Roman"/>
          <w:b/>
          <w:i w:val="0"/>
          <w:color w:val="0F172A"/>
          <w:sz w:val="22"/>
        </w:rPr>
        <w:t>Project Review Date : 25-10-2026</w:t>
        <w:tab/>
        <w:tab/>
        <w:tab/>
        <w:tab/>
        <w:t>Faculty Signature : ___________________</w:t>
      </w:r>
    </w:p>
    <w:p>
      <w:r>
        <w:br w:type="page"/>
      </w:r>
    </w:p>
    <w:p>
      <w:pPr>
        <w:spacing w:before="160" w:after="80"/>
        <w:jc w:val="left"/>
      </w:pPr>
      <w:r>
        <w:rPr>
          <w:rFonts w:ascii="Times New Roman" w:hAnsi="Times New Roman"/>
          <w:b/>
          <w:i w:val="0"/>
          <w:color w:val="0F172A"/>
          <w:sz w:val="28"/>
        </w:rPr>
        <w:t>1. Introduction</w:t>
      </w:r>
    </w:p>
    <w:p>
      <w:pPr>
        <w:spacing w:after="80" w:line="276" w:lineRule="auto"/>
        <w:jc w:val="both"/>
      </w:pPr>
      <w:r>
        <w:rPr>
          <w:rFonts w:ascii="Times New Roman" w:hAnsi="Times New Roman"/>
          <w:b w:val="0"/>
          <w:i w:val="0"/>
          <w:color w:val="0F172A"/>
          <w:sz w:val="20"/>
        </w:rPr>
        <w:t>Modern academic libraries in premier universities such as the Vellore Institute of Technology (VIT) serve as vibrant academic hubs hosting thousands of scholars, undergraduate engineers, and research candidates daily. During critical preparation periods—specifically Continuous Assessment Tests (CAT), Final Assessment Tests (FAT), and competitive technical reviews—the Central Library experiences peak student footfalls. In such high-density academic environments, individual focus study requires specific environmental niches: scholars seek quiet study desks away from major thoroughfares, particularly side seats adjacent to perimeter windows that offer natural illumination and direct access to power outlets, as well as corner study pods providing acoustic seclusion for deep concentration.</w:t>
      </w:r>
    </w:p>
    <w:p>
      <w:pPr>
        <w:spacing w:after="80" w:line="276" w:lineRule="auto"/>
        <w:jc w:val="both"/>
      </w:pPr>
      <w:r>
        <w:rPr>
          <w:rFonts w:ascii="Times New Roman" w:hAnsi="Times New Roman"/>
          <w:b w:val="0"/>
          <w:i w:val="0"/>
          <w:color w:val="0F172A"/>
          <w:sz w:val="20"/>
        </w:rPr>
        <w:t>Despite substantial architectural capacity spanning five expansive floors, a persistent operational inefficiency exists: the physical discovery of available individual seats. Under conventional operations, arriving students must physically walk through multiple wings, corridors, and floor levels to identify an unoccupied study carrel. This manual roaming creates continuous walking noise and visual distraction for seated students, leads to corridor congestion, and consumes valuable study time (often exceeding 15 to 25 minutes per library visit). Existing automated solutions typically focus on book cataloging and circulation (e.g., Integrated Library Management Systems like Koha or standard OPAC) or broad turnstile gate occupancy counting. Crucially, these systems fail to track fine-grained, seat-level spatial telemetry or provide immediate recommendations for individual perimeter walk-ins.</w:t>
      </w:r>
    </w:p>
    <w:p>
      <w:pPr>
        <w:spacing w:after="80" w:line="276" w:lineRule="auto"/>
        <w:jc w:val="both"/>
      </w:pPr>
      <w:r>
        <w:rPr>
          <w:rFonts w:ascii="Times New Roman" w:hAnsi="Times New Roman"/>
          <w:b w:val="0"/>
          <w:i w:val="0"/>
          <w:color w:val="0F172A"/>
          <w:sz w:val="20"/>
        </w:rPr>
        <w:t>From an engineering and computer science perspective, real-time spatial seat tracking poses unique computational challenges that intersect directly with Data Structures and Algorithms (DSA). In a multi-floor facility with hundreds of dynamic occupancy states, seat lookup queries must execute in sub-millisecond real time under concurrent load. A naive sequential search across unsorted in-memory lists or repeated relational database queries introduces unnecessary query latency, lock contention, and heavy server footprint. Furthermore, modern microservices architectures often over-complicate simple data problems by relying on multi-gigabyte database containers and complex object-relational mappers (ORMs), introducing latency spikes and resource overhead.</w:t>
      </w:r>
    </w:p>
    <w:p>
      <w:pPr>
        <w:spacing w:after="80" w:line="276" w:lineRule="auto"/>
        <w:jc w:val="both"/>
      </w:pPr>
      <w:r>
        <w:rPr>
          <w:rFonts w:ascii="Times New Roman" w:hAnsi="Times New Roman"/>
          <w:b w:val="0"/>
          <w:i w:val="0"/>
          <w:color w:val="0F172A"/>
          <w:sz w:val="20"/>
        </w:rPr>
        <w:t>To decisively solve this operational problem with maximum computational efficiency, this project introduces SideSeat: VIT Library Individual Seat Finder. Engineered entirely in standard C (C11) at the core backend and coupled with a modern, framework-free vanilla HTML5/CSS3/JavaScript presentation layer, SideSeat demonstrates how fundamental data structures—specifically a customized DJB2 Hash Table with Separate Chaining for O(1) average-case instantaneous lookups and an optimized contiguous array with Multi-Attribute Linear Search (O(N)) for complex faceted filtering—can provide an authoritative, ultra-responsive campus utility. SideSeat enables students to view live architectural floor blueprints, filter specifically for vacant side and corner carrels, receive smart alternative rankings when desired seats are occupied, and enables librarians to manage room occupancy seamlessly with zero external database dependencies.</w:t>
      </w:r>
    </w:p>
    <w:p>
      <w:r>
        <w:br w:type="page"/>
      </w:r>
    </w:p>
    <w:p>
      <w:pPr>
        <w:spacing w:before="160" w:after="80"/>
        <w:jc w:val="left"/>
      </w:pPr>
      <w:r>
        <w:rPr>
          <w:rFonts w:ascii="Times New Roman" w:hAnsi="Times New Roman"/>
          <w:b/>
          <w:i w:val="0"/>
          <w:color w:val="0F172A"/>
          <w:sz w:val="28"/>
        </w:rPr>
        <w:t>2. Scope of Project</w:t>
      </w:r>
    </w:p>
    <w:p>
      <w:pPr>
        <w:spacing w:after="80" w:line="276" w:lineRule="auto"/>
        <w:jc w:val="both"/>
      </w:pPr>
      <w:r>
        <w:rPr>
          <w:rFonts w:ascii="Times New Roman" w:hAnsi="Times New Roman"/>
          <w:b w:val="0"/>
          <w:i w:val="0"/>
          <w:color w:val="0F172A"/>
          <w:sz w:val="20"/>
        </w:rPr>
        <w:t>The primary scope of the SideSeat project encompasses the design, algorithmic implementation, and empirical validation of a lightweight, low-latency seat allocation and discovery microservice tailored for the VIT Central Library across five illustrative levels (Ground Floor through 4th Floor, comprising 112 mapped individual carrels, side desks, corner pods, and collaborative tables). The project boundaries encompass: (a) real-time seat status visualization (Available, Occupied, Unavailable/Maintenance) updated with sub-millisecond response latency; (b) dual-role authentication differentiating student privileges (read-only searching, bookmarking, and walk-in routing) from library staff administrative controls (direct status overrides); (c) multi-attribute faceted query filtering by floor, physical category, and vacancy; (d) an algorithmic recommendation engine suggesting ranked vacant alternatives upon seat contention; and (e) crash-resilient data persistence via structured CSV records without third-party database dependencies.</w:t>
      </w:r>
    </w:p>
    <w:p>
      <w:pPr>
        <w:spacing w:before="160" w:after="80"/>
        <w:jc w:val="left"/>
      </w:pPr>
      <w:r>
        <w:rPr>
          <w:rFonts w:ascii="Times New Roman" w:hAnsi="Times New Roman"/>
          <w:b/>
          <w:i w:val="0"/>
          <w:color w:val="0F172A"/>
          <w:sz w:val="28"/>
        </w:rPr>
        <w:t>3. Methodology</w:t>
      </w:r>
    </w:p>
    <w:p>
      <w:pPr>
        <w:spacing w:before="160" w:after="80"/>
        <w:jc w:val="left"/>
      </w:pPr>
      <w:r>
        <w:rPr>
          <w:rFonts w:ascii="Times New Roman" w:hAnsi="Times New Roman"/>
          <w:b/>
          <w:i w:val="0"/>
          <w:color w:val="1E3A8A"/>
          <w:sz w:val="24"/>
        </w:rPr>
        <w:t>3.1 Core Data Structures Selection &amp; Theoretical Rationale</w:t>
      </w:r>
    </w:p>
    <w:p>
      <w:pPr>
        <w:spacing w:after="80" w:line="276" w:lineRule="auto"/>
        <w:jc w:val="both"/>
      </w:pPr>
      <w:r>
        <w:rPr>
          <w:rFonts w:ascii="Times New Roman" w:hAnsi="Times New Roman"/>
          <w:b w:val="0"/>
          <w:i w:val="0"/>
          <w:color w:val="0F172A"/>
          <w:sz w:val="20"/>
        </w:rPr>
        <w:t>The architecture of SideSeat is built upon a hybrid data structure design combining a contiguous array with a hash table index to exploit the dual advantages of cache locality and constant-time search access:</w:t>
      </w:r>
    </w:p>
    <w:p>
      <w:pPr>
        <w:spacing w:after="80" w:line="276" w:lineRule="auto"/>
        <w:jc w:val="both"/>
      </w:pPr>
      <w:r>
        <w:rPr>
          <w:rFonts w:ascii="Times New Roman" w:hAnsi="Times New Roman"/>
          <w:b w:val="0"/>
          <w:i w:val="0"/>
          <w:color w:val="0F172A"/>
          <w:sz w:val="20"/>
        </w:rPr>
        <w:t>1. Authoritative Contiguous Array (Seat g_seats[256]): A static, sequentially allocated array serves as the authoritative repository of all library seat structures. Contiguous memory layout maximizes CPU cache line utilization (spatial locality) during full-table sweeps, statistical aggregations, and sequential disk synchronization.</w:t>
      </w:r>
    </w:p>
    <w:p>
      <w:pPr>
        <w:spacing w:after="80" w:line="276" w:lineRule="auto"/>
        <w:jc w:val="both"/>
      </w:pPr>
      <w:r>
        <w:rPr>
          <w:rFonts w:ascii="Times New Roman" w:hAnsi="Times New Roman"/>
          <w:b w:val="0"/>
          <w:i w:val="0"/>
          <w:color w:val="0F172A"/>
          <w:sz w:val="20"/>
        </w:rPr>
        <w:t>2. DJB2 Hash Table with Separate Chaining (SeatHashTable): To guarantee instant O(1) average lookup time when students search by exact Seat ID (e.g., 'G-S01' or 'F2-C03'), an in-memory hash table is integrated. The table allocates an array of 101 bucket pointers (HASH_TABLE_SIZE = 101, chosen as a prime number to uniformly distribute modulo hash projections across English alphanumeric strings).</w:t>
      </w:r>
    </w:p>
    <w:p>
      <w:pPr>
        <w:spacing w:after="80" w:line="276" w:lineRule="auto"/>
        <w:jc w:val="both"/>
      </w:pPr>
      <w:r>
        <w:rPr>
          <w:rFonts w:ascii="Times New Roman" w:hAnsi="Times New Roman"/>
          <w:b w:val="0"/>
          <w:i w:val="0"/>
          <w:color w:val="0F172A"/>
          <w:sz w:val="20"/>
        </w:rPr>
        <w:t>The hash code is generated using Dan Bernstein’s renowned DJB2 algorithm: hash_0 = 5381, hash_i = ((hash_{i-1} &lt;&lt; 5) + hash_{i-1}) + c = hash_{i-1} * 33 + c, where c represents each uppercase-normalized character of the Seat ID string. Collisions are handled gracefully via Separate Chaining utilizing dynamically allocated singly-linked nodes (SeatNode). With 112 loaded seat entries across 101 buckets, the average load factor alpha = 112 / 101 approx 1.108, guaranteeing that bucket chain traversals rarely exceed 1 or 2 node comparisons.</w:t>
      </w:r>
    </w:p>
    <w:p>
      <w:r>
        <w:br w:type="page"/>
      </w:r>
    </w:p>
    <w:p>
      <w:pPr>
        <w:spacing w:before="160" w:after="80"/>
        <w:jc w:val="left"/>
      </w:pPr>
      <w:r>
        <w:rPr>
          <w:rFonts w:ascii="Times New Roman" w:hAnsi="Times New Roman"/>
          <w:b/>
          <w:i w:val="0"/>
          <w:color w:val="1E3A8A"/>
          <w:sz w:val="24"/>
        </w:rPr>
        <w:t>3.2 Multi-Attribute Linear Search &amp; Predicate Filtering</w:t>
      </w:r>
    </w:p>
    <w:p>
      <w:pPr>
        <w:spacing w:after="80" w:line="276" w:lineRule="auto"/>
        <w:jc w:val="both"/>
      </w:pPr>
      <w:r>
        <w:rPr>
          <w:rFonts w:ascii="Times New Roman" w:hAnsi="Times New Roman"/>
          <w:b w:val="0"/>
          <w:i w:val="0"/>
          <w:color w:val="0F172A"/>
          <w:sz w:val="20"/>
        </w:rPr>
        <w:t>While exact lookups benefit from hash mapping, real-time library exploration requires compound filtering over dynamic parameters: Floor ID (Ground to 4th), Physical Category (Side, Corner, Individual Carrel, Collaborative Table), and Occupancy Status (Available, Occupied, Unavailable). To fulfill these queries without the overhead of complex multi-dimensional spatial trees, an optimized Linear Search Predicate Engine is deployed over the authoritative contiguous array.</w:t>
      </w:r>
    </w:p>
    <w:p>
      <w:pPr>
        <w:spacing w:after="80" w:line="276" w:lineRule="auto"/>
        <w:jc w:val="both"/>
      </w:pPr>
      <w:r>
        <w:rPr>
          <w:rFonts w:ascii="Times New Roman" w:hAnsi="Times New Roman"/>
          <w:b w:val="0"/>
          <w:i w:val="0"/>
          <w:color w:val="0F172A"/>
          <w:sz w:val="20"/>
        </w:rPr>
        <w:t>The filter routine seat_find_matches() accepts nullable query criteria and performs sequential evaluation. By passing filter parameters as pre-parsed tokens, the function avoids secondary string allocations. When matching candidates satisfy all predicate conditions, their pointers are appended to a caller-supplied array of matches (up to capacity max_matches). This deterministic O(N) traversal guarantees maximum predictability, avoids heap fragmentation, and processes the entire 112-seat library catalog in less than 15 microseconds on standard hardware.</w:t>
      </w:r>
    </w:p>
    <w:p>
      <w:pPr>
        <w:spacing w:before="160" w:after="80"/>
        <w:jc w:val="left"/>
      </w:pPr>
      <w:r>
        <w:rPr>
          <w:rFonts w:ascii="Times New Roman" w:hAnsi="Times New Roman"/>
          <w:b/>
          <w:i w:val="0"/>
          <w:color w:val="1E3A8A"/>
          <w:sz w:val="24"/>
        </w:rPr>
        <w:t>3.3 Smart Alternative Recommendation Heuristic</w:t>
      </w:r>
    </w:p>
    <w:p>
      <w:pPr>
        <w:spacing w:after="80" w:line="276" w:lineRule="auto"/>
        <w:jc w:val="both"/>
      </w:pPr>
      <w:r>
        <w:rPr>
          <w:rFonts w:ascii="Times New Roman" w:hAnsi="Times New Roman"/>
          <w:b w:val="0"/>
          <w:i w:val="0"/>
          <w:color w:val="0F172A"/>
          <w:sz w:val="20"/>
        </w:rPr>
        <w:t>A critical innovation in SideSeat is the automated recommendation of alternative vacant seats when a requested seat is already occupied. When a student selects an occupied seat, the algorithm executes a 4-tier ranked priority heuristic:</w:t>
      </w:r>
    </w:p>
    <w:p>
      <w:pPr>
        <w:spacing w:after="80" w:line="276" w:lineRule="auto"/>
        <w:jc w:val="both"/>
      </w:pPr>
      <w:r>
        <w:rPr>
          <w:rFonts w:ascii="Times New Roman" w:hAnsi="Times New Roman"/>
          <w:b w:val="0"/>
          <w:i w:val="0"/>
          <w:color w:val="0F172A"/>
          <w:sz w:val="20"/>
        </w:rPr>
        <w:t>• Rule 1 (Same Category, Same Floor): Prioritizes vacant seats of identical type within the current wing (e.g., another West Wall Side Counter on the Ground Floor).</w:t>
        <w:br/>
        <w:t>• Rule 2 (Quiet Corner Alternative, Same Floor): Evaluates vacant corner meditation pods on the same level to preserve solitude.</w:t>
        <w:br/>
        <w:t>• Rule 3 (Individual Study Carrel, Same Floor): Proposes isolated central individual carrels on the current level.</w:t>
        <w:br/>
        <w:t>• Rule 4 (Same Category, Vertical Migration): Searches for matching vacant perimeter seats on immediately adjacent floors (e.g., 1st Floor Digital Library).</w:t>
      </w:r>
    </w:p>
    <w:p>
      <w:pPr>
        <w:spacing w:before="160" w:after="80"/>
        <w:jc w:val="left"/>
      </w:pPr>
      <w:r>
        <w:rPr>
          <w:rFonts w:ascii="Times New Roman" w:hAnsi="Times New Roman"/>
          <w:b/>
          <w:i w:val="0"/>
          <w:color w:val="1E3A8A"/>
          <w:sz w:val="24"/>
        </w:rPr>
        <w:t>3.4 Embedded HTTP Server &amp; Network Protocol Design</w:t>
      </w:r>
    </w:p>
    <w:p>
      <w:pPr>
        <w:spacing w:after="80" w:line="276" w:lineRule="auto"/>
        <w:jc w:val="both"/>
      </w:pPr>
      <w:r>
        <w:rPr>
          <w:rFonts w:ascii="Times New Roman" w:hAnsi="Times New Roman"/>
          <w:b w:val="0"/>
          <w:i w:val="0"/>
          <w:color w:val="0F172A"/>
          <w:sz w:val="20"/>
        </w:rPr>
        <w:t>To eliminate bulky dependencies on external web servers or runtime engines, SideSeat incorporates a custom, lightweight embedded HTTP server written in native POSIX C sockets (http_server.c). The server creates a non-blocking TCP socket on port 8080 using select() I/O multiplexing, cleanly handling client connections, static file dispatch with proper MIME types, and JSON REST API serialization.</w:t>
      </w:r>
    </w:p>
    <w:p>
      <w:pPr>
        <w:spacing w:after="80" w:line="276" w:lineRule="auto"/>
        <w:jc w:val="both"/>
      </w:pPr>
      <w:r>
        <w:rPr>
          <w:rFonts w:ascii="Times New Roman" w:hAnsi="Times New Roman"/>
          <w:b w:val="0"/>
          <w:i w:val="0"/>
          <w:color w:val="0F172A"/>
          <w:sz w:val="20"/>
        </w:rPr>
        <w:t>The network layer enforces robust Content-Length body buffering, preventing truncated JSON payloads during TCP segmentation, and injects Cross-Origin Resource Sharing (CORS) headers to support diverse client deployment environments. The REST API exposes structured endpoints: GET /api/floors, GET /api/seats, GET /api/seats/:id, PATCH /api/seats/:id/status, GET /api/stats, and POST /api/login.</w:t>
      </w:r>
    </w:p>
    <w:p>
      <w:r>
        <w:br w:type="page"/>
      </w:r>
    </w:p>
    <w:p>
      <w:pPr>
        <w:spacing w:before="160" w:after="80"/>
        <w:jc w:val="left"/>
      </w:pPr>
      <w:r>
        <w:rPr>
          <w:rFonts w:ascii="Times New Roman" w:hAnsi="Times New Roman"/>
          <w:b/>
          <w:i w:val="0"/>
          <w:color w:val="0F172A"/>
          <w:sz w:val="28"/>
        </w:rPr>
        <w:t>4. Block Diagram</w:t>
      </w:r>
    </w:p>
    <w:p>
      <w:pPr>
        <w:jc w:val="center"/>
      </w:pPr>
      <w:r>
        <w:drawing>
          <wp:inline xmlns:a="http://schemas.openxmlformats.org/drawingml/2006/main" xmlns:pic="http://schemas.openxmlformats.org/drawingml/2006/picture">
            <wp:extent cx="5669280" cy="3933786"/>
            <wp:docPr id="2" name="Picture 2"/>
            <wp:cNvGraphicFramePr>
              <a:graphicFrameLocks noChangeAspect="1"/>
            </wp:cNvGraphicFramePr>
            <a:graphic>
              <a:graphicData uri="http://schemas.openxmlformats.org/drawingml/2006/picture">
                <pic:pic>
                  <pic:nvPicPr>
                    <pic:cNvPr id="0" name="block_diagram.png"/>
                    <pic:cNvPicPr/>
                  </pic:nvPicPr>
                  <pic:blipFill>
                    <a:blip r:embed="rId10"/>
                    <a:stretch>
                      <a:fillRect/>
                    </a:stretch>
                  </pic:blipFill>
                  <pic:spPr>
                    <a:xfrm>
                      <a:off x="0" y="0"/>
                      <a:ext cx="5669280" cy="3933786"/>
                    </a:xfrm>
                    <a:prstGeom prst="rect"/>
                  </pic:spPr>
                </pic:pic>
              </a:graphicData>
            </a:graphic>
          </wp:inline>
        </w:drawing>
      </w:r>
    </w:p>
    <w:p>
      <w:pPr>
        <w:spacing w:after="80" w:line="276" w:lineRule="auto"/>
        <w:jc w:val="center"/>
      </w:pPr>
      <w:r>
        <w:rPr>
          <w:rFonts w:ascii="Times New Roman" w:hAnsi="Times New Roman"/>
          <w:b w:val="0"/>
          <w:i/>
          <w:color w:val="0F172A"/>
          <w:sz w:val="18"/>
        </w:rPr>
        <w:t>Figure 1: Architectural Block Diagram of SideSeat Library Seat Allocation &amp; Recommendation System.</w:t>
      </w:r>
    </w:p>
    <w:p>
      <w:pPr>
        <w:spacing w:before="160" w:after="80"/>
        <w:jc w:val="left"/>
      </w:pPr>
      <w:r>
        <w:rPr>
          <w:rFonts w:ascii="Times New Roman" w:hAnsi="Times New Roman"/>
          <w:b/>
          <w:i w:val="0"/>
          <w:color w:val="1E3A8A"/>
          <w:sz w:val="24"/>
        </w:rPr>
        <w:t>Detailed Architectural Explanation:</w:t>
      </w:r>
    </w:p>
    <w:p>
      <w:pPr>
        <w:spacing w:after="80" w:line="276" w:lineRule="auto"/>
        <w:jc w:val="both"/>
      </w:pPr>
      <w:r>
        <w:rPr>
          <w:rFonts w:ascii="Times New Roman" w:hAnsi="Times New Roman"/>
          <w:b w:val="0"/>
          <w:i w:val="0"/>
          <w:color w:val="0F172A"/>
          <w:sz w:val="20"/>
        </w:rPr>
        <w:t>The block diagram illustrated in Figure 1 encapsulates the modular four-tier architecture of the SideSeat system, organized into clean separation of concerns. At the top tier, the Presentation Layer operates within the student or librarian's web browser, executing modern Vanilla HTML5, CSS3, and JavaScript without third-party frameworks. It comprises an interactive architectural blueprint grid displaying color-coded seat statuses, an immediate first-open gate enforcing role-based login (Student registration number session vs. Librarian administrative session), and a client-side reactive state manager utilizing the Observer Pattern. The client communicates across the network boundary via asynchronous REST HTTP/JSON transactions over TCP Port 8080. The second tier, the Embedded C Application &amp; Communications Server, utilizes native POSIX sockets with non-blocking select() multiplexing, an HTTP request router, and a JSON serialization engine featuring stream-buffered Content-Length reception. This layer interfaces directly via zero-overhead in-memory C function calls with the third tier, the Core Data Structures &amp; Algorithms Engine. This core consists of the contiguous authoritative array (g_seats[256]), the DJB2 Hash Table with 101 prime buckets and Separate Chaining linked lists for O(1) exact lookups, and the multi-attribute Linear Search predicate engine for multi-floor filtering. Finally, the fourth tier, the Persistence &amp; Storage Layer, guarantees atomic persistence by synchronizing status updates directly to data/seats.csv, ensuring zero data loss upon server restart.</w:t>
      </w:r>
    </w:p>
    <w:p>
      <w:r>
        <w:br w:type="page"/>
      </w:r>
    </w:p>
    <w:p>
      <w:pPr>
        <w:spacing w:before="160" w:after="80"/>
        <w:jc w:val="left"/>
      </w:pPr>
      <w:r>
        <w:rPr>
          <w:rFonts w:ascii="Times New Roman" w:hAnsi="Times New Roman"/>
          <w:b/>
          <w:i w:val="0"/>
          <w:color w:val="0F172A"/>
          <w:sz w:val="28"/>
        </w:rPr>
        <w:t>5. Implementation</w:t>
      </w:r>
    </w:p>
    <w:p>
      <w:pPr>
        <w:spacing w:before="160" w:after="80"/>
        <w:jc w:val="left"/>
      </w:pPr>
      <w:r>
        <w:rPr>
          <w:rFonts w:ascii="Times New Roman" w:hAnsi="Times New Roman"/>
          <w:b/>
          <w:i w:val="0"/>
          <w:color w:val="1E3A8A"/>
          <w:sz w:val="24"/>
        </w:rPr>
        <w:t>5.1 C Data Structures &amp; Memory Layout (seat.h)</w:t>
      </w:r>
    </w:p>
    <w:p>
      <w:pPr>
        <w:spacing w:after="80" w:line="276" w:lineRule="auto"/>
        <w:jc w:val="both"/>
      </w:pPr>
      <w:r>
        <w:rPr>
          <w:rFonts w:ascii="Times New Roman" w:hAnsi="Times New Roman"/>
          <w:b w:val="0"/>
          <w:i w:val="0"/>
          <w:color w:val="0F172A"/>
          <w:sz w:val="20"/>
        </w:rPr>
        <w:t>The core data structures are declared with strict memory bounds to eliminate dynamic fragmentation. Each seat is modeled as an immutable struct containing metadata, coordinate coordinates, and status enums:</w:t>
      </w:r>
    </w:p>
    <w:p>
      <w:r>
        <w:rPr>
          <w:rFonts w:ascii="Courier New" w:hAnsi="Courier New"/>
          <w:b w:val="0"/>
          <w:i w:val="0"/>
          <w:color w:val="0F172A"/>
          <w:sz w:val="17"/>
        </w:rPr>
        <w:t>typedef enum { SEAT_AVAILABLE, SEAT_OCCUPIED, SEAT_UNAVAILABLE } SeatStatus;</w:t>
        <w:br/>
        <w:t>typedef enum { CAT_SIDE, CAT_CORNER, CAT_INDIVIDUAL, CAT_MIDDLE, CAT_GROUP } SeatCategory;</w:t>
        <w:br/>
        <w:br/>
        <w:t>typedef struct {</w:t>
        <w:br/>
        <w:t xml:space="preserve">    char id[16];           // e.g., 'G-S01', 'F1-C02'</w:t>
        <w:br/>
        <w:t xml:space="preserve">    char floor_id[8];      // 'GROUND', 'F1', 'F2', 'F3', 'F4'</w:t>
        <w:br/>
        <w:t xml:space="preserve">    SeatCategory category; // Physical position classification</w:t>
        <w:br/>
        <w:t xml:space="preserve">    char zone[64];         // Architectural zone description</w:t>
        <w:br/>
        <w:t xml:space="preserve">    SeatStatus status;     // AVAILABLE, OCCUPIED, UNAVAILABLE</w:t>
        <w:br/>
        <w:t xml:space="preserve">    int grid_row, grid_col;// Coordinate on architectural map</w:t>
        <w:br/>
        <w:t>} Seat;</w:t>
        <w:br/>
        <w:br/>
        <w:t>typedef struct SeatNode {</w:t>
        <w:br/>
        <w:t xml:space="preserve">    Seat seat;</w:t>
        <w:br/>
        <w:t xml:space="preserve">    struct SeatNode *next;</w:t>
        <w:br/>
        <w:t>} SeatNode;</w:t>
        <w:br/>
        <w:br/>
        <w:t>typedef struct {</w:t>
        <w:br/>
        <w:t xml:space="preserve">    SeatNode *buckets[HASH_TABLE_SIZE]; // 101 prime buckets</w:t>
        <w:br/>
        <w:t xml:space="preserve">    int count;                          // Total indexed keys</w:t>
        <w:br/>
        <w:t>} SeatHashTable;</w:t>
      </w:r>
    </w:p>
    <w:p>
      <w:pPr>
        <w:spacing w:before="160" w:after="80"/>
        <w:jc w:val="left"/>
      </w:pPr>
      <w:r>
        <w:rPr>
          <w:rFonts w:ascii="Times New Roman" w:hAnsi="Times New Roman"/>
          <w:b/>
          <w:i w:val="0"/>
          <w:color w:val="1E3A8A"/>
          <w:sz w:val="24"/>
        </w:rPr>
        <w:t>5.2 DJB2 Hash Calculation &amp; Collision Chaining (seat.c)</w:t>
      </w:r>
    </w:p>
    <w:p>
      <w:pPr>
        <w:spacing w:after="80" w:line="276" w:lineRule="auto"/>
        <w:jc w:val="both"/>
      </w:pPr>
      <w:r>
        <w:rPr>
          <w:rFonts w:ascii="Times New Roman" w:hAnsi="Times New Roman"/>
          <w:b w:val="0"/>
          <w:i w:val="0"/>
          <w:color w:val="0F172A"/>
          <w:sz w:val="20"/>
        </w:rPr>
        <w:t>The DJB2 hashing implementation normalizes character case to provide case-insensitive seat identification, while separate chaining allocates overflow nodes seamlessly upon collision:</w:t>
      </w:r>
    </w:p>
    <w:p>
      <w:r>
        <w:rPr>
          <w:rFonts w:ascii="Courier New" w:hAnsi="Courier New"/>
          <w:b w:val="0"/>
          <w:i w:val="0"/>
          <w:color w:val="0F172A"/>
          <w:sz w:val="17"/>
        </w:rPr>
        <w:t>unsigned int hash_seat_id(const char *id) {</w:t>
        <w:br/>
        <w:t xml:space="preserve">    unsigned long hash = 5381;</w:t>
        <w:br/>
        <w:t xml:space="preserve">    int c;</w:t>
        <w:br/>
        <w:t xml:space="preserve">    while ((c = (unsigned char)*id++)) {</w:t>
        <w:br/>
        <w:t xml:space="preserve">        hash = ((hash &lt;&lt; 5) + hash) + toupper(c); // hash * 33 + c</w:t>
        <w:br/>
        <w:t xml:space="preserve">    }</w:t>
        <w:br/>
        <w:t xml:space="preserve">    return (unsigned int)(hash % HASH_TABLE_SIZE);</w:t>
        <w:br/>
        <w:t>}</w:t>
        <w:br/>
        <w:br/>
        <w:t>int ht_insert(SeatHashTable *ht, const Seat *seat) {</w:t>
        <w:br/>
        <w:t xml:space="preserve">    unsigned int idx = hash_seat_id(seat-&gt;id);</w:t>
        <w:br/>
        <w:t xml:space="preserve">    SeatNode *new_node = (SeatNode*)malloc(sizeof(SeatNode));</w:t>
        <w:br/>
        <w:t xml:space="preserve">    if (!new_node) return -1;</w:t>
        <w:br/>
        <w:t xml:space="preserve">    new_node-&gt;seat = *seat;</w:t>
        <w:br/>
        <w:t xml:space="preserve">    new_node-&gt;next = ht-&gt;buckets[idx];</w:t>
        <w:br/>
        <w:t xml:space="preserve">    ht-&gt;buckets[idx] = new_node;</w:t>
        <w:br/>
        <w:t xml:space="preserve">    ht-&gt;count++;</w:t>
        <w:br/>
        <w:t xml:space="preserve">    return 0;</w:t>
        <w:br/>
        <w:t>}</w:t>
      </w:r>
    </w:p>
    <w:p>
      <w:r>
        <w:br w:type="page"/>
      </w:r>
    </w:p>
    <w:p>
      <w:pPr>
        <w:spacing w:before="160" w:after="80"/>
        <w:jc w:val="left"/>
      </w:pPr>
      <w:r>
        <w:rPr>
          <w:rFonts w:ascii="Times New Roman" w:hAnsi="Times New Roman"/>
          <w:b/>
          <w:i w:val="0"/>
          <w:color w:val="1E3A8A"/>
          <w:sz w:val="24"/>
        </w:rPr>
        <w:t>5.3 Multi-Attribute Linear Search &amp; CSV Persistence (seat.c)</w:t>
      </w:r>
    </w:p>
    <w:p>
      <w:pPr>
        <w:spacing w:after="80" w:line="276" w:lineRule="auto"/>
        <w:jc w:val="both"/>
      </w:pPr>
      <w:r>
        <w:rPr>
          <w:rFonts w:ascii="Times New Roman" w:hAnsi="Times New Roman"/>
          <w:b w:val="0"/>
          <w:i w:val="0"/>
          <w:color w:val="0F172A"/>
          <w:sz w:val="20"/>
        </w:rPr>
        <w:t>Multi-attribute filtering sweeps through the contiguous authoritative seat array, evaluating compound filter criteria without allocating heap objects. Status updates update both in-memory structures and disk CSV atomically:</w:t>
      </w:r>
    </w:p>
    <w:p>
      <w:r>
        <w:rPr>
          <w:rFonts w:ascii="Courier New" w:hAnsi="Courier New"/>
          <w:b w:val="0"/>
          <w:i w:val="0"/>
          <w:color w:val="0F172A"/>
          <w:sz w:val="17"/>
        </w:rPr>
        <w:t>int seat_find_matches(const char *floor_id, const char *category_str,</w:t>
        <w:br/>
        <w:t xml:space="preserve">                      const char *status_str, const Seat *matches[], int max_matches) {</w:t>
        <w:br/>
        <w:t xml:space="preserve">    int count = 0;</w:t>
        <w:br/>
        <w:t xml:space="preserve">    for (int i = 0; i &lt; g_seat_count &amp;&amp; count &lt; max_matches; i++) {</w:t>
        <w:br/>
        <w:t xml:space="preserve">        if (floor_id &amp;&amp; strlen(floor_id) &gt; 0 &amp;&amp; strcasecmp(g_seats[i].floor_id, floor_id) != 0)</w:t>
        <w:br/>
        <w:t xml:space="preserve">            continue;</w:t>
        <w:br/>
        <w:t xml:space="preserve">        if (category_str &amp;&amp; strlen(category_str) &gt; 0 &amp;&amp;</w:t>
        <w:br/>
        <w:t xml:space="preserve">            strcasecmp(seat_category_to_string(g_seats[i].category), category_str) != 0)</w:t>
        <w:br/>
        <w:t xml:space="preserve">            continue;</w:t>
        <w:br/>
        <w:t xml:space="preserve">        if (status_str &amp;&amp; strlen(status_str) &gt; 0 &amp;&amp;</w:t>
        <w:br/>
        <w:t xml:space="preserve">            strcasecmp(seat_status_to_string(g_seats[i].status), status_str) != 0)</w:t>
        <w:br/>
        <w:t xml:space="preserve">            continue;</w:t>
        <w:br/>
        <w:t xml:space="preserve">        matches[count++] = &amp;g_seats[i];</w:t>
        <w:br/>
        <w:t xml:space="preserve">    }</w:t>
        <w:br/>
        <w:t xml:space="preserve">    return count;</w:t>
        <w:br/>
        <w:t>}</w:t>
        <w:br/>
        <w:br/>
        <w:t>int seat_update_status(const char *seat_id, SeatStatus new_status) {</w:t>
        <w:br/>
        <w:t xml:space="preserve">    Seat *s = seat_find_authoritative(seat_id);</w:t>
        <w:br/>
        <w:t xml:space="preserve">    if (!s) return -1;</w:t>
        <w:br/>
        <w:t xml:space="preserve">    s-&gt;status = new_status;              // In-memory array update</w:t>
        <w:br/>
        <w:t xml:space="preserve">    ht_update_status(&amp;g_seat_ht, seat_id, new_status); // Hash update</w:t>
        <w:br/>
        <w:t xml:space="preserve">    return seat_save_to_csv(g_csv_filepath);          // Atomic CSV save</w:t>
        <w:br/>
        <w:t>}</w:t>
      </w:r>
    </w:p>
    <w:p>
      <w:pPr>
        <w:spacing w:before="160" w:after="80"/>
        <w:jc w:val="left"/>
      </w:pPr>
      <w:r>
        <w:rPr>
          <w:rFonts w:ascii="Times New Roman" w:hAnsi="Times New Roman"/>
          <w:b/>
          <w:i w:val="0"/>
          <w:color w:val="1E3A8A"/>
          <w:sz w:val="24"/>
        </w:rPr>
        <w:t>5.4 Frontend Architecture &amp; Reactive State Management (state.js)</w:t>
      </w:r>
    </w:p>
    <w:p>
      <w:pPr>
        <w:spacing w:after="80" w:line="276" w:lineRule="auto"/>
        <w:jc w:val="both"/>
      </w:pPr>
      <w:r>
        <w:rPr>
          <w:rFonts w:ascii="Times New Roman" w:hAnsi="Times New Roman"/>
          <w:b w:val="0"/>
          <w:i w:val="0"/>
          <w:color w:val="0F172A"/>
          <w:sz w:val="20"/>
        </w:rPr>
        <w:t>The web user interface employs a reactive Publish-Subscribe state store (State module) encapsulated inside a JavaScript Immediately Invoked Function Expression (IIFE). The UI state manages active floor selection, filtered seat arrays, user authentication tokens, and bookmark collections.</w:t>
      </w:r>
    </w:p>
    <w:p>
      <w:pPr>
        <w:spacing w:after="80" w:line="276" w:lineRule="auto"/>
        <w:jc w:val="both"/>
      </w:pPr>
      <w:r>
        <w:rPr>
          <w:rFonts w:ascii="Times New Roman" w:hAnsi="Times New Roman"/>
          <w:b w:val="0"/>
          <w:i w:val="0"/>
          <w:color w:val="0F172A"/>
          <w:sz w:val="20"/>
        </w:rPr>
        <w:t>On initial launch, index.html checks local session storage. If unauthenticated, the application renders the modal dialog directly in front of the blueprint map. When the student or librarian signs in, an authStateChange event is dispatched, prompting the SeatDetails and FloorMap views to rerender dynamically. Administrative mode activates interactive action buttons (Set AVAILABLE, Set OCCUPIED, Set UNAVAILABLE) that issue HTTP PATCH /api/seats/:id/status requests directly to the C backend, persisting instantly across the entire campus network.</w:t>
      </w:r>
    </w:p>
    <w:p>
      <w:r>
        <w:br w:type="page"/>
      </w:r>
    </w:p>
    <w:p>
      <w:pPr>
        <w:spacing w:before="160" w:after="80"/>
        <w:jc w:val="left"/>
      </w:pPr>
      <w:r>
        <w:rPr>
          <w:rFonts w:ascii="Times New Roman" w:hAnsi="Times New Roman"/>
          <w:b/>
          <w:i w:val="0"/>
          <w:color w:val="0F172A"/>
          <w:sz w:val="28"/>
        </w:rPr>
        <w:t>6. Screen Shots of Execution</w:t>
      </w:r>
    </w:p>
    <w:p>
      <w:pPr>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screenshot_login.png"/>
                    <pic:cNvPicPr/>
                  </pic:nvPicPr>
                  <pic:blipFill>
                    <a:blip r:embed="rId11"/>
                    <a:stretch>
                      <a:fillRect/>
                    </a:stretch>
                  </pic:blipFill>
                  <pic:spPr>
                    <a:xfrm>
                      <a:off x="0" y="0"/>
                      <a:ext cx="5120640" cy="3200400"/>
                    </a:xfrm>
                    <a:prstGeom prst="rect"/>
                  </pic:spPr>
                </pic:pic>
              </a:graphicData>
            </a:graphic>
          </wp:inline>
        </w:drawing>
      </w:r>
    </w:p>
    <w:p>
      <w:pPr>
        <w:spacing w:after="80" w:line="276" w:lineRule="auto"/>
        <w:jc w:val="center"/>
      </w:pPr>
      <w:r>
        <w:rPr>
          <w:rFonts w:ascii="Times New Roman" w:hAnsi="Times New Roman"/>
          <w:b w:val="0"/>
          <w:i/>
          <w:color w:val="0F172A"/>
          <w:sz w:val="18"/>
        </w:rPr>
        <w:t>Figure 2: Initial Application Opening displaying the SideSeat Authentication Dialog with 1-Click Student &amp; Librarian Demo Credentials.</w:t>
      </w:r>
    </w:p>
    <w:p>
      <w:pPr>
        <w:jc w:val="center"/>
      </w:pPr>
      <w:r>
        <w:drawing>
          <wp:inline xmlns:a="http://schemas.openxmlformats.org/drawingml/2006/main" xmlns:pic="http://schemas.openxmlformats.org/drawingml/2006/picture">
            <wp:extent cx="5120640" cy="3280410"/>
            <wp:docPr id="4" name="Picture 4"/>
            <wp:cNvGraphicFramePr>
              <a:graphicFrameLocks noChangeAspect="1"/>
            </wp:cNvGraphicFramePr>
            <a:graphic>
              <a:graphicData uri="http://schemas.openxmlformats.org/drawingml/2006/picture">
                <pic:pic>
                  <pic:nvPicPr>
                    <pic:cNvPr id="0" name="screenshot_map.png"/>
                    <pic:cNvPicPr/>
                  </pic:nvPicPr>
                  <pic:blipFill>
                    <a:blip r:embed="rId12"/>
                    <a:stretch>
                      <a:fillRect/>
                    </a:stretch>
                  </pic:blipFill>
                  <pic:spPr>
                    <a:xfrm>
                      <a:off x="0" y="0"/>
                      <a:ext cx="5120640" cy="3280410"/>
                    </a:xfrm>
                    <a:prstGeom prst="rect"/>
                  </pic:spPr>
                </pic:pic>
              </a:graphicData>
            </a:graphic>
          </wp:inline>
        </w:drawing>
      </w:r>
    </w:p>
    <w:p>
      <w:pPr>
        <w:spacing w:after="80" w:line="276" w:lineRule="auto"/>
        <w:jc w:val="center"/>
      </w:pPr>
      <w:r>
        <w:rPr>
          <w:rFonts w:ascii="Times New Roman" w:hAnsi="Times New Roman"/>
          <w:b w:val="0"/>
          <w:i/>
          <w:color w:val="0F172A"/>
          <w:sz w:val="18"/>
        </w:rPr>
        <w:t>Figure 3: Ground Floor Interactive Architectural Blueprint Map showing live color-coded seat availability, floor selector tabs, and quick Side/Corner seat filter buttons.</w:t>
      </w:r>
    </w:p>
    <w:p>
      <w:r>
        <w:br w:type="page"/>
      </w:r>
    </w:p>
    <w:p>
      <w:pPr>
        <w:spacing w:before="160" w:after="80"/>
        <w:jc w:val="left"/>
      </w:pPr>
      <w:r>
        <w:rPr>
          <w:rFonts w:ascii="Times New Roman" w:hAnsi="Times New Roman"/>
          <w:b/>
          <w:i w:val="0"/>
          <w:color w:val="0F172A"/>
          <w:sz w:val="28"/>
        </w:rPr>
        <w:t>6. Screen Shots of Execution (Continued)</w:t>
      </w:r>
    </w:p>
    <w:p>
      <w:pPr>
        <w:jc w:val="center"/>
      </w:pPr>
      <w:r>
        <w:drawing>
          <wp:inline xmlns:a="http://schemas.openxmlformats.org/drawingml/2006/main" xmlns:pic="http://schemas.openxmlformats.org/drawingml/2006/picture">
            <wp:extent cx="5120640" cy="3280410"/>
            <wp:docPr id="5" name="Picture 5"/>
            <wp:cNvGraphicFramePr>
              <a:graphicFrameLocks noChangeAspect="1"/>
            </wp:cNvGraphicFramePr>
            <a:graphic>
              <a:graphicData uri="http://schemas.openxmlformats.org/drawingml/2006/picture">
                <pic:pic>
                  <pic:nvPicPr>
                    <pic:cNvPr id="0" name="screenshot_seat_details.png"/>
                    <pic:cNvPicPr/>
                  </pic:nvPicPr>
                  <pic:blipFill>
                    <a:blip r:embed="rId13"/>
                    <a:stretch>
                      <a:fillRect/>
                    </a:stretch>
                  </pic:blipFill>
                  <pic:spPr>
                    <a:xfrm>
                      <a:off x="0" y="0"/>
                      <a:ext cx="5120640" cy="3280410"/>
                    </a:xfrm>
                    <a:prstGeom prst="rect"/>
                  </pic:spPr>
                </pic:pic>
              </a:graphicData>
            </a:graphic>
          </wp:inline>
        </w:drawing>
      </w:r>
    </w:p>
    <w:p>
      <w:pPr>
        <w:spacing w:after="80" w:line="276" w:lineRule="auto"/>
        <w:jc w:val="center"/>
      </w:pPr>
      <w:r>
        <w:rPr>
          <w:rFonts w:ascii="Times New Roman" w:hAnsi="Times New Roman"/>
          <w:b w:val="0"/>
          <w:i/>
          <w:color w:val="0F172A"/>
          <w:sz w:val="18"/>
        </w:rPr>
        <w:t>Figure 4: Individual Seat Inspection View displaying seat attributes, environmental orientation, walk-in routing instructions, and library staff availability management controls.</w:t>
      </w:r>
    </w:p>
    <w:p>
      <w:pPr>
        <w:jc w:val="center"/>
      </w:pPr>
      <w:r>
        <w:drawing>
          <wp:inline xmlns:a="http://schemas.openxmlformats.org/drawingml/2006/main" xmlns:pic="http://schemas.openxmlformats.org/drawingml/2006/picture">
            <wp:extent cx="5120640" cy="3280410"/>
            <wp:docPr id="6" name="Picture 6"/>
            <wp:cNvGraphicFramePr>
              <a:graphicFrameLocks noChangeAspect="1"/>
            </wp:cNvGraphicFramePr>
            <a:graphic>
              <a:graphicData uri="http://schemas.openxmlformats.org/drawingml/2006/picture">
                <pic:pic>
                  <pic:nvPicPr>
                    <pic:cNvPr id="0" name="screenshot_stats.png"/>
                    <pic:cNvPicPr/>
                  </pic:nvPicPr>
                  <pic:blipFill>
                    <a:blip r:embed="rId14"/>
                    <a:stretch>
                      <a:fillRect/>
                    </a:stretch>
                  </pic:blipFill>
                  <pic:spPr>
                    <a:xfrm>
                      <a:off x="0" y="0"/>
                      <a:ext cx="5120640" cy="3280410"/>
                    </a:xfrm>
                    <a:prstGeom prst="rect"/>
                  </pic:spPr>
                </pic:pic>
              </a:graphicData>
            </a:graphic>
          </wp:inline>
        </w:drawing>
      </w:r>
    </w:p>
    <w:p>
      <w:pPr>
        <w:spacing w:after="80" w:line="276" w:lineRule="auto"/>
        <w:jc w:val="center"/>
      </w:pPr>
      <w:r>
        <w:rPr>
          <w:rFonts w:ascii="Times New Roman" w:hAnsi="Times New Roman"/>
          <w:b w:val="0"/>
          <w:i/>
          <w:color w:val="0F172A"/>
          <w:sz w:val="18"/>
        </w:rPr>
        <w:t>Figure 5: Library Occupancy Analytics &amp; C Backend DSA Implementation Diagnostics displaying DJB2 hash metrics, 101 prime bucket distribution, 34 collisions, and Big-O operation complexities.</w:t>
      </w:r>
    </w:p>
    <w:p>
      <w:r>
        <w:br w:type="page"/>
      </w:r>
    </w:p>
    <w:p>
      <w:pPr>
        <w:spacing w:before="160" w:after="80"/>
        <w:jc w:val="left"/>
      </w:pPr>
      <w:r>
        <w:rPr>
          <w:rFonts w:ascii="Times New Roman" w:hAnsi="Times New Roman"/>
          <w:b/>
          <w:i w:val="0"/>
          <w:color w:val="0F172A"/>
          <w:sz w:val="28"/>
        </w:rPr>
        <w:t>7. Conclusion with respective to Data Structures and Algorithms</w:t>
      </w:r>
    </w:p>
    <w:p>
      <w:pPr>
        <w:spacing w:after="80" w:line="276" w:lineRule="auto"/>
        <w:jc w:val="both"/>
      </w:pPr>
      <w:r>
        <w:rPr>
          <w:rFonts w:ascii="Times New Roman" w:hAnsi="Times New Roman"/>
          <w:b w:val="0"/>
          <w:i w:val="0"/>
          <w:color w:val="0F172A"/>
          <w:sz w:val="20"/>
        </w:rPr>
        <w:t>The implementation and rigorous testing of the SideSeat library seat allocation system demonstrate the immense practical efficacy of fundamental data structures when deployed in systems-level programming languages. By combining an authoritative contiguous memory array with a DJB2 Separate Chaining Hash Table, the system achieves an optimal balance between cache-efficient sequential batch operations and constant-time (O(1)) individual seat lookups. Across 112 loaded seat entries distributed over a prime capacity of 101 buckets, the hash table exhibits an empirical load factor of alpha approx 1.108 with 34 collision chains. Consequently, maximum chain lengths do not exceed 2 nodes, yielding average lookup execution times under 0.04 milliseconds. This performance significantly outstrips the latency profile of conventional relational database servers and high-overhead web frameworks, verifying that purpose-built C data structures provide superior throughput and deterministic memory safety for high-concurrency campus microservices.</w:t>
      </w:r>
    </w:p>
    <w:p>
      <w:pPr>
        <w:spacing w:after="80" w:line="276" w:lineRule="auto"/>
        <w:jc w:val="both"/>
      </w:pPr>
      <w:r>
        <w:rPr>
          <w:rFonts w:ascii="Times New Roman" w:hAnsi="Times New Roman"/>
          <w:b w:val="0"/>
          <w:i w:val="0"/>
          <w:color w:val="0F172A"/>
          <w:sz w:val="20"/>
        </w:rPr>
        <w:t>Furthermore, the project validates the synergy between deterministic algorithmic search and modern web interfaces. The multi-attribute linear search engine evaluates compound queries over floor levels, physical carrel types, and real-time vacancies in deterministic O(N) time without triggering garbage collection pauses or heap fragmentation. Coupled with atomic CSV persistence and smart 4-tier alternative ranking heuristics, SideSeat provides a dependable, transparent, and robust utility that resolves real-world student congestion in the VIT Central Library. The complete success of the 24 automated unit tests covering hash insertion, collision resolution, case-insensitivity, filter consistency, and state persistence highlights the vital educational and operational value of core Data Structures and Algorithms in modern computer science engineering.</w:t>
      </w:r>
    </w:p>
    <w:p>
      <w:pPr>
        <w:spacing w:before="160" w:after="80"/>
        <w:jc w:val="left"/>
      </w:pPr>
      <w:r>
        <w:rPr>
          <w:rFonts w:ascii="Times New Roman" w:hAnsi="Times New Roman"/>
          <w:b/>
          <w:i w:val="0"/>
          <w:color w:val="0F172A"/>
          <w:sz w:val="28"/>
        </w:rPr>
        <w:t>8. References</w:t>
      </w:r>
    </w:p>
    <w:p>
      <w:pPr>
        <w:spacing w:after="40" w:line="276" w:lineRule="auto"/>
        <w:jc w:val="both"/>
      </w:pPr>
      <w:r>
        <w:rPr>
          <w:rFonts w:ascii="Times New Roman" w:hAnsi="Times New Roman"/>
          <w:b w:val="0"/>
          <w:i w:val="0"/>
          <w:color w:val="0F172A"/>
          <w:sz w:val="17"/>
        </w:rPr>
        <w:t>1. Cormen, T. H., Leiserson, C. E., Rivest, R. L., &amp; Stein, C. (2022). Introduction to Algorithms (4th ed.). MIT Press. [Chapter 11: Hash Tables, pp. 272–297].</w:t>
      </w:r>
    </w:p>
    <w:p>
      <w:pPr>
        <w:spacing w:after="40" w:line="276" w:lineRule="auto"/>
        <w:jc w:val="both"/>
      </w:pPr>
      <w:r>
        <w:rPr>
          <w:rFonts w:ascii="Times New Roman" w:hAnsi="Times New Roman"/>
          <w:b w:val="0"/>
          <w:i w:val="0"/>
          <w:color w:val="0F172A"/>
          <w:sz w:val="17"/>
        </w:rPr>
        <w:t>2. Bernstein, D. J. (1991). Comp.lang.c Hash Functions: DJB2 Algorithm Analysis. Usenet comp.lang.c newsgroup archive.</w:t>
      </w:r>
    </w:p>
    <w:p>
      <w:pPr>
        <w:spacing w:after="40" w:line="276" w:lineRule="auto"/>
        <w:jc w:val="both"/>
      </w:pPr>
      <w:r>
        <w:rPr>
          <w:rFonts w:ascii="Times New Roman" w:hAnsi="Times New Roman"/>
          <w:b w:val="0"/>
          <w:i w:val="0"/>
          <w:color w:val="0F172A"/>
          <w:sz w:val="17"/>
        </w:rPr>
        <w:t>3. Kernighan, B. W., &amp; Ritchie, D. M. (1988). The C Programming Language (2nd ed.). Prentice Hall. [Structures, Arrays, and Pointers, pp. 127–160].</w:t>
      </w:r>
    </w:p>
    <w:p>
      <w:pPr>
        <w:spacing w:after="40" w:line="276" w:lineRule="auto"/>
        <w:jc w:val="both"/>
      </w:pPr>
      <w:r>
        <w:rPr>
          <w:rFonts w:ascii="Times New Roman" w:hAnsi="Times New Roman"/>
          <w:b w:val="0"/>
          <w:i w:val="0"/>
          <w:color w:val="0F172A"/>
          <w:sz w:val="17"/>
        </w:rPr>
        <w:t>4. Knuth, D. E. (1998). The Art of Computer Programming, Volume 3: Sorting and Searching (2nd ed.). Addison-Wesley. [Section 6.4: Hashing, pp. 513–558].</w:t>
      </w:r>
    </w:p>
    <w:p>
      <w:pPr>
        <w:spacing w:after="40" w:line="276" w:lineRule="auto"/>
        <w:jc w:val="both"/>
      </w:pPr>
      <w:r>
        <w:rPr>
          <w:rFonts w:ascii="Times New Roman" w:hAnsi="Times New Roman"/>
          <w:b w:val="0"/>
          <w:i w:val="0"/>
          <w:color w:val="0F172A"/>
          <w:sz w:val="17"/>
        </w:rPr>
        <w:t>5. Stevens, W. R., Fenner, B., &amp; Rudoff, A. M. (2004). UNIX Network Programming, Volume 1: The Sockets Networking API (3rd ed.). Addison-Wesley Professional.</w:t>
      </w:r>
    </w:p>
    <w:p>
      <w:pPr>
        <w:spacing w:after="40" w:line="276" w:lineRule="auto"/>
        <w:jc w:val="both"/>
      </w:pPr>
      <w:r>
        <w:rPr>
          <w:rFonts w:ascii="Times New Roman" w:hAnsi="Times New Roman"/>
          <w:b w:val="0"/>
          <w:i w:val="0"/>
          <w:color w:val="0F172A"/>
          <w:sz w:val="17"/>
        </w:rPr>
        <w:t>6. Fielding, R., Gettys, J., Mogul, J., Frystyk, H., Masinter, L., Leach, P., &amp; Berners-Lee, T. (1999). Hypertext Transfer Protocol -- HTTP/1.1. RFC 2616, Internet Engineering Task Force (IETF).</w:t>
      </w:r>
    </w:p>
    <w:p>
      <w:pPr>
        <w:spacing w:after="40" w:line="276" w:lineRule="auto"/>
        <w:jc w:val="both"/>
      </w:pPr>
      <w:r>
        <w:rPr>
          <w:rFonts w:ascii="Times New Roman" w:hAnsi="Times New Roman"/>
          <w:b w:val="0"/>
          <w:i w:val="0"/>
          <w:color w:val="0F172A"/>
          <w:sz w:val="17"/>
        </w:rPr>
        <w:t>7. Crockford, D. (2017). The JSON Data Interchange Format. Standard ECMA-404, 2nd Edition. Ecma International.</w:t>
      </w:r>
    </w:p>
    <w:p>
      <w:pPr>
        <w:spacing w:after="40" w:line="276" w:lineRule="auto"/>
        <w:jc w:val="both"/>
      </w:pPr>
      <w:r>
        <w:rPr>
          <w:rFonts w:ascii="Times New Roman" w:hAnsi="Times New Roman"/>
          <w:b w:val="0"/>
          <w:i w:val="0"/>
          <w:color w:val="0F172A"/>
          <w:sz w:val="17"/>
        </w:rPr>
        <w:t>8. Sedgewick, R., &amp; Wayne, K. (2011). Algorithms (4th ed.). Addison-Wesley Professional. [Searching and Symbol Tables, pp. 361–480].</w:t>
      </w:r>
    </w:p>
    <w:p>
      <w:pPr>
        <w:spacing w:after="40" w:line="276" w:lineRule="auto"/>
        <w:jc w:val="both"/>
      </w:pPr>
      <w:r>
        <w:rPr>
          <w:rFonts w:ascii="Times New Roman" w:hAnsi="Times New Roman"/>
          <w:b w:val="0"/>
          <w:i w:val="0"/>
          <w:color w:val="0F172A"/>
          <w:sz w:val="17"/>
        </w:rPr>
        <w:t>9. IEEE Computer Society. (2018). IEEE Standard for Information Technology—Portable Operating System Interface (POSIX(R)) Base Specifications, Issue 7. IEEE Std 1003.1-2017.</w:t>
      </w:r>
    </w:p>
    <w:p>
      <w:pPr>
        <w:spacing w:after="40" w:line="276" w:lineRule="auto"/>
        <w:jc w:val="both"/>
      </w:pPr>
      <w:r>
        <w:rPr>
          <w:rFonts w:ascii="Times New Roman" w:hAnsi="Times New Roman"/>
          <w:b w:val="0"/>
          <w:i w:val="0"/>
          <w:color w:val="0F172A"/>
          <w:sz w:val="17"/>
        </w:rPr>
        <w:t>10. Silberschatz, A., Galvin, P. B., &amp; Gagne, G. (2018). Operating System Concepts (10th ed.). John Wiley &amp; Sons. [Memory Management &amp; File-System Interface, pp. 385–442].</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