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Acme Corp — Selected Risk Factors (FICTIONAL SAMPLE)</w:t>
      </w:r>
    </w:p>
    <w:p>
      <w:r>
        <w:t>The following risk factors are fictional and are included solely to exercise the Deal Room AI summary and risk analysis flow. They do not describe a real company.</w:t>
      </w:r>
    </w:p>
    <w:p>
      <w:r>
        <w:t>Customer concentration. While no single customer accounted for more than 5% of ARR at the end of Q1 2026, the top ten customers represent roughly 22% of ARR. Loss of several of these customers in a short period could materially impact revenue and cash flow.</w:t>
      </w:r>
    </w:p>
    <w:p>
      <w:r>
        <w:t>Renewal risk with BlueHarbor Industrials. In February 2026, BlueHarbor placed its annual renewal on hold pending an internal platform migration decision. The associated $420K of ARR is considered at risk until a decision is reached.</w:t>
      </w:r>
    </w:p>
    <w:p>
      <w:r>
        <w:t>Litigation. Acme is a defendant in a commercial dispute with a former supplier alleging approximately $1.2M in unpaid services. The company has recorded no accrual and intends to defend the claim vigorously, but an adverse outcome could have a material impact in the quarter it occurs.</w:t>
      </w:r>
    </w:p>
    <w:p>
      <w:r>
        <w:t>Key person risk. The company depends heavily on its CTO and VP of Engineering for architectural decisions and the AcmeClose product roadmap. The company has not yet implemented formal succession plans for these roles.</w:t>
      </w:r>
    </w:p>
    <w:p>
      <w:r>
        <w:t>Cyber and data protection. AcmeClose processes sensitive financial reporting data. A breach, ransomware event, or extended service disruption could trigger customer contract penalties, reputational harm, and regulatory attention. The company increased its cyber insurance coverage in Q1 2026 from $5M to $10M.</w:t>
      </w:r>
    </w:p>
    <w:p>
      <w:r>
        <w:t>Macroeconomic exposure. Prolonged weakness in the mid-market public company segment, or renewed pressure on software budgets, could slow new ARR and weaken gross retention below the 94% observed in Q1 2026.</w:t>
      </w:r>
    </w:p>
    <w:p>
      <w:r>
        <w:t>Going concern. Management does not believe there is substantial doubt about the company's ability to continue as a going concern. Cash and equivalents at the end of Q1 2026 were $12.4M with no outstanding debt.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