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Fonts w:ascii="Times New Roman" w:hAnsi="Times New Roman"/>
          <w:b w:val="1"/>
          <w:bCs w:val="1"/>
          <w:sz w:val="20"/>
          <w:szCs w:val="20"/>
          <w:rtl w:val="0"/>
          <w:lang w:val="en-US"/>
        </w:rPr>
        <w:t>FLOWLENS DEMO DOCUMENT</w:t>
      </w:r>
    </w:p>
    <w:p>
      <w:pPr>
        <w:pStyle w:val="Heading"/>
      </w:pPr>
      <w:r>
        <w:rPr>
          <w:rtl w:val="0"/>
          <w:lang w:val="en-US"/>
        </w:rPr>
        <w:t>Procurement purchase requisition SOP</w:t>
      </w:r>
    </w:p>
    <w:p>
      <w:pPr>
        <w:pStyle w:val="Heading"/>
      </w:pPr>
      <w:r>
        <w:rPr>
          <w:rtl w:val="0"/>
          <w:lang w:val="de-DE"/>
        </w:rPr>
        <w:t>Organisation: Northstar Retail</w:t>
      </w:r>
    </w:p>
    <w:p>
      <w:pPr>
        <w:pStyle w:val="Heading"/>
      </w:pPr>
      <w:r>
        <w:rPr>
          <w:rtl w:val="0"/>
          <w:lang w:val="de-DE"/>
        </w:rPr>
        <w:t>SOP ID: PROC-PR-001 | Version: 1.0 | Effective date: 2026-07-01</w:t>
      </w:r>
    </w:p>
    <w:p>
      <w:pPr>
        <w:pStyle w:val="Heading"/>
      </w:pPr>
      <w:r>
        <w:rPr>
          <w:rtl w:val="0"/>
          <w:lang w:val="en-US"/>
        </w:rPr>
        <w:t>Owner: Head of Procurement | Review cadence: annual</w:t>
      </w:r>
    </w:p>
    <w:p>
      <w:pPr>
        <w:pStyle w:val="Heading 2"/>
      </w:pPr>
      <w:r>
        <w:rPr>
          <w:rtl w:val="0"/>
          <w:lang w:val="en-US"/>
        </w:rPr>
        <w:t>Purpose</w:t>
      </w:r>
    </w:p>
    <w:p>
      <w:pPr>
        <w:pStyle w:val="Heading 2"/>
      </w:pPr>
      <w:r>
        <w:rPr>
          <w:rtl w:val="0"/>
          <w:lang w:val="en-US"/>
        </w:rPr>
        <w:t>Ensure that purchases are necessary, properly approved, competitively sourced where required, and supported by an auditable purchase order before supplier commitment.</w:t>
      </w:r>
    </w:p>
    <w:p>
      <w:pPr>
        <w:pStyle w:val="Heading 2"/>
      </w:pPr>
      <w:r>
        <w:rPr>
          <w:rtl w:val="0"/>
          <w:lang w:val="en-US"/>
        </w:rPr>
        <w:t>Roles and systems</w:t>
      </w:r>
    </w:p>
    <w:p>
      <w:pPr>
        <w:pStyle w:val="Heading 2"/>
      </w:pPr>
      <w:r>
        <w:rPr>
          <w:rtl w:val="0"/>
          <w:lang w:val="en-US"/>
        </w:rPr>
        <w:t>Requestor creates the request and confirms delivery. Budget Owner confirms budget. Procurement Specialist conducts sourcing and supplier checks. Finance Controller approves high-value requests. Accounts Payable uses the purchase order and goods receipt for invoice matching. Coupa is the purchasing workflow and NetSuite is the finance ledger.</w:t>
      </w:r>
    </w:p>
    <w:p>
      <w:pPr>
        <w:pStyle w:val="Heading 2"/>
      </w:pPr>
      <w:r>
        <w:rPr>
          <w:rtl w:val="0"/>
          <w:lang w:val="it-IT"/>
        </w:rPr>
        <w:t>Procedure</w:t>
      </w:r>
    </w:p>
    <w:p>
      <w:pPr>
        <w:pStyle w:val="List Paragraph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>A requestor creates a purchase requisition in Coupa with business justification, cost centre, category, supplier suggestion, expected value, and required-by date.</w:t>
      </w:r>
    </w:p>
    <w:p>
      <w:pPr>
        <w:pStyle w:val="List Paragraph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>The requestor attaches at least one supplier quote for purchases over 5,000 EUR. Requests without a quote are returned for completion unless a documented sole-source exemption applies.</w:t>
      </w:r>
    </w:p>
    <w:p>
      <w:pPr>
        <w:pStyle w:val="List Paragraph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>Coupa routes the requisition to the Budget Owner. The Budget Owner confirms available budget and approves or rejects within two business days.</w:t>
      </w:r>
    </w:p>
    <w:p>
      <w:pPr>
        <w:pStyle w:val="List Paragraph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>A requisition above 25,000 EUR routes to the Procurement Specialist for sourcing review. A requisition above 100,000 EUR also routes to the Finance Controller.</w:t>
      </w:r>
    </w:p>
    <w:p>
      <w:pPr>
        <w:pStyle w:val="List Paragraph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>The Procurement Specialist checks the supplier record, conflict-of-interest declaration, contract coverage, and quote comparison. The specialist records the selected supplier and reason in Coupa.</w:t>
      </w:r>
    </w:p>
    <w:p>
      <w:pPr>
        <w:pStyle w:val="List Paragraph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>After approvals, Procurement converts the requisition into a purchase order in Coupa. Coupa sends the purchase order to the supplier and posts the commitment to NetSuite overnight.</w:t>
      </w:r>
    </w:p>
    <w:p>
      <w:pPr>
        <w:pStyle w:val="List Paragraph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>The requestor confirms delivery in Coupa within two business days of receipt. Accounts Payable may not pay an invoice without a valid purchase order and goods receipt, except through the urgent-payment exception process.</w:t>
      </w:r>
    </w:p>
    <w:p>
      <w:pPr>
        <w:pStyle w:val="List Paragraph"/>
        <w:numPr>
          <w:ilvl w:val="0"/>
          <w:numId w:val="2"/>
        </w:numPr>
        <w:spacing w:after="80"/>
        <w:rPr>
          <w:lang w:val="en-US"/>
        </w:rPr>
      </w:pPr>
      <w:r>
        <w:rPr>
          <w:rtl w:val="0"/>
          <w:lang w:val="en-US"/>
        </w:rPr>
        <w:t>Procurement retains the requisition, approvals, quotes, exemption evidence, purchase order, and receipt confirmation in Coupa for seven years.</w:t>
      </w:r>
    </w:p>
    <w:p>
      <w:pPr>
        <w:pStyle w:val="Heading 2"/>
      </w:pPr>
      <w:r>
        <w:rPr>
          <w:rtl w:val="0"/>
          <w:lang w:val="en-US"/>
        </w:rPr>
        <w:t>Risks and controls</w:t>
      </w:r>
    </w:p>
    <w:p>
      <w:pPr>
        <w:pStyle w:val="Heading 2"/>
      </w:pPr>
      <w:r>
        <w:rPr>
          <w:rtl w:val="0"/>
          <w:lang w:val="en-US"/>
        </w:rPr>
        <w:t>Risk: employees commit spend before approval. Control: suppliers receive purchase orders only from Coupa. Risk: purchases bypass competitive sourcing. Control: quote and exemption evidence is required above 5,000 EUR. Risk: invoices are paid without proof of delivery. Control: Accounts Payable requires a three-way match between invoice, purchase order, and goods receipt.</w:t>
      </w:r>
    </w:p>
    <w:p>
      <w:pPr>
        <w:pStyle w:val="Heading 2"/>
      </w:pPr>
      <w:r>
        <w:rPr>
          <w:rtl w:val="0"/>
          <w:lang w:val="en-US"/>
        </w:rPr>
        <w:t>Known issues</w:t>
      </w:r>
    </w:p>
    <w:p>
      <w:pPr>
        <w:pStyle w:val="Heading 2"/>
      </w:pPr>
      <w:r>
        <w:rPr>
          <w:rtl w:val="0"/>
          <w:lang w:val="en-US"/>
        </w:rPr>
        <w:t>Requestors frequently submit incomplete business justification. Budget Owners approve from email but do not always complete the Coupa task. Coupa commitments reach NetSuite overnight, so finance teams cannot see same-day committed spend. Procurement tracks expiring sole-source exemptions in a spreadsheet.</w:t>
      </w:r>
    </w:p>
    <w:sectPr>
      <w:headerReference w:type="default" r:id="rId4"/>
      <w:footerReference w:type="default" r:id="rId5"/>
      <w:pgSz w:w="12240" w:h="15840" w:orient="portrait"/>
      <w:pgMar w:top="840" w:right="900" w:bottom="840" w:left="90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00" w:after="120" w:line="24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40" w:after="80" w:line="240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