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6EE0097">
      <w:pPr>
        <w:pStyle w:val="style0"/>
        <w:jc w:val="center"/>
        <w:rPr/>
      </w:pPr>
      <w:r>
        <w:rPr>
          <w:b/>
          <w:color w:val="1f4e79"/>
          <w:sz w:val="56"/>
        </w:rPr>
        <w:t>WEEK 4 DATA SCIENCE REPORT&amp;PRESENTATION PLAN</w:t>
      </w:r>
    </w:p>
    <w:p w14:paraId="2B73E6DE">
      <w:pPr>
        <w:pStyle w:val="style0"/>
        <w:jc w:val="center"/>
        <w:rPr/>
      </w:pPr>
      <w:r>
        <w:rPr>
          <w:b/>
          <w:sz w:val="42"/>
        </w:rPr>
        <w:t>Comprehensive Data Science Report and Insights Presentation Plan</w:t>
      </w:r>
    </w:p>
    <w:p w14:paraId="BB0123F8">
      <w:pPr>
        <w:pStyle w:val="style0"/>
        <w:jc w:val="center"/>
        <w:rPr/>
      </w:pPr>
      <w:r>
        <w:rPr>
          <w:i/>
          <w:color w:val="595959"/>
          <w:sz w:val="26"/>
        </w:rPr>
        <w:t xml:space="preserve">Data Science Strategy &amp; </w:t>
      </w:r>
      <w:bookmarkStart w:id="0" w:name="_GoBack"/>
      <w:bookmarkEnd w:id="0"/>
      <w:r>
        <w:rPr>
          <w:i/>
          <w:color w:val="595959"/>
          <w:sz w:val="26"/>
        </w:rPr>
        <w:t>Executive Communication Design</w:t>
      </w:r>
    </w:p>
    <w:p w14:paraId="0F0BCC84">
      <w:pPr>
        <w:pStyle w:val="style0"/>
        <w:rPr/>
      </w:pPr>
    </w:p>
    <w:tbl>
      <w:tblPr>
        <w:tblW w:w="10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273"/>
        <w:gridCol w:w="5273"/>
      </w:tblGrid>
      <w:tr w14:paraId="788DAD24">
        <w:trPr>
          <w:trHeight w:val="619" w:hRule="atLeast"/>
          <w:jc w:val="center"/>
        </w:trPr>
        <w:tc>
          <w:tcPr>
            <w:tcW w:w="5273" w:type="dxa"/>
            <w:tcBorders/>
            <w:shd w:val="clear" w:color="auto" w:fill="1f4e78"/>
            <w:tcMar>
              <w:top w:w="80" w:type="dxa"/>
              <w:bottom w:w="80" w:type="dxa"/>
            </w:tcMar>
            <w:vAlign w:val="center"/>
          </w:tcPr>
          <w:p w14:paraId="D63A6F6B">
            <w:pPr>
              <w:pStyle w:val="style0"/>
              <w:rPr/>
            </w:pPr>
            <w:r>
              <w:rPr>
                <w:b/>
                <w:color w:val="ffffff"/>
                <w:sz w:val="20"/>
              </w:rPr>
              <w:t>Project Domain</w:t>
            </w:r>
          </w:p>
        </w:tc>
        <w:tc>
          <w:tcPr>
            <w:tcW w:w="5273" w:type="dxa"/>
            <w:tcBorders/>
            <w:tcMar>
              <w:top w:w="80" w:type="dxa"/>
              <w:bottom w:w="80" w:type="dxa"/>
            </w:tcMar>
            <w:vAlign w:val="center"/>
          </w:tcPr>
          <w:p w14:paraId="0E4DC455">
            <w:pPr>
              <w:pStyle w:val="style0"/>
              <w:rPr/>
            </w:pPr>
            <w:r>
              <w:rPr>
                <w:b w:val="false"/>
                <w:color w:val="000000"/>
                <w:sz w:val="20"/>
              </w:rPr>
              <w:t>Environment/ Data Science/ Machine Learning</w:t>
            </w:r>
          </w:p>
        </w:tc>
      </w:tr>
      <w:tr w14:paraId="79CD1A15">
        <w:tblPrEx/>
        <w:trPr>
          <w:trHeight w:val="619" w:hRule="atLeast"/>
          <w:jc w:val="center"/>
        </w:trPr>
        <w:tc>
          <w:tcPr>
            <w:tcW w:w="5273" w:type="dxa"/>
            <w:tcBorders/>
            <w:shd w:val="clear" w:color="auto" w:fill="1f4e78"/>
            <w:tcMar>
              <w:top w:w="80" w:type="dxa"/>
              <w:bottom w:w="80" w:type="dxa"/>
            </w:tcMar>
            <w:vAlign w:val="center"/>
          </w:tcPr>
          <w:p w14:paraId="723FDDE6">
            <w:pPr>
              <w:pStyle w:val="style0"/>
              <w:rPr/>
            </w:pPr>
            <w:r>
              <w:rPr>
                <w:b/>
                <w:color w:val="ffffff"/>
                <w:sz w:val="20"/>
              </w:rPr>
              <w:t>Task Focus</w:t>
            </w:r>
          </w:p>
        </w:tc>
        <w:tc>
          <w:tcPr>
            <w:tcW w:w="5273" w:type="dxa"/>
            <w:tcBorders/>
            <w:tcMar>
              <w:top w:w="80" w:type="dxa"/>
              <w:bottom w:w="80" w:type="dxa"/>
            </w:tcMar>
            <w:vAlign w:val="center"/>
          </w:tcPr>
          <w:p w14:paraId="CE66A646">
            <w:pPr>
              <w:pStyle w:val="style0"/>
              <w:rPr/>
            </w:pPr>
            <w:r>
              <w:rPr>
                <w:b w:val="false"/>
                <w:color w:val="000000"/>
                <w:sz w:val="20"/>
              </w:rPr>
              <w:t>Executive Report&amp;Insights Presentation Strategy</w:t>
            </w:r>
          </w:p>
        </w:tc>
      </w:tr>
      <w:tr w14:paraId="3BBF3DAF">
        <w:tblPrEx/>
        <w:trPr>
          <w:trHeight w:val="619" w:hRule="atLeast"/>
          <w:jc w:val="center"/>
        </w:trPr>
        <w:tc>
          <w:tcPr>
            <w:tcW w:w="5273" w:type="dxa"/>
            <w:tcBorders/>
            <w:shd w:val="clear" w:color="auto" w:fill="1f4e78"/>
            <w:tcMar>
              <w:top w:w="80" w:type="dxa"/>
              <w:bottom w:w="80" w:type="dxa"/>
            </w:tcMar>
            <w:vAlign w:val="center"/>
          </w:tcPr>
          <w:p w14:paraId="9ED44B1C">
            <w:pPr>
              <w:pStyle w:val="style0"/>
              <w:rPr/>
            </w:pPr>
            <w:r>
              <w:rPr>
                <w:b/>
                <w:color w:val="ffffff"/>
                <w:sz w:val="20"/>
              </w:rPr>
              <w:t>Deliverable</w:t>
            </w:r>
          </w:p>
        </w:tc>
        <w:tc>
          <w:tcPr>
            <w:tcW w:w="5273" w:type="dxa"/>
            <w:tcBorders/>
            <w:tcMar>
              <w:top w:w="80" w:type="dxa"/>
              <w:bottom w:w="80" w:type="dxa"/>
            </w:tcMar>
            <w:vAlign w:val="center"/>
          </w:tcPr>
          <w:p w14:paraId="37582CCA">
            <w:pPr>
              <w:pStyle w:val="style0"/>
              <w:rPr/>
            </w:pPr>
            <w:r>
              <w:rPr>
                <w:b w:val="false"/>
                <w:color w:val="000000"/>
                <w:sz w:val="20"/>
              </w:rPr>
              <w:t>Comprehensive DOC Report&amp;Strategic Communication Plan</w:t>
            </w:r>
          </w:p>
        </w:tc>
      </w:tr>
      <w:tr w14:paraId="1E036210">
        <w:tblPrEx/>
        <w:trPr>
          <w:trHeight w:val="619" w:hRule="atLeast"/>
          <w:jc w:val="center"/>
        </w:trPr>
        <w:tc>
          <w:tcPr>
            <w:tcW w:w="5273" w:type="dxa"/>
            <w:tcBorders/>
            <w:shd w:val="clear" w:color="auto" w:fill="1f4e78"/>
            <w:tcMar>
              <w:top w:w="80" w:type="dxa"/>
              <w:bottom w:w="80" w:type="dxa"/>
            </w:tcMar>
            <w:vAlign w:val="center"/>
          </w:tcPr>
          <w:p w14:paraId="0D4DCC05">
            <w:pPr>
              <w:pStyle w:val="style0"/>
              <w:rPr/>
            </w:pPr>
            <w:r>
              <w:rPr>
                <w:b/>
                <w:color w:val="ffffff"/>
                <w:sz w:val="20"/>
              </w:rPr>
              <w:t>Planned Effort</w:t>
            </w:r>
          </w:p>
        </w:tc>
        <w:tc>
          <w:tcPr>
            <w:tcW w:w="5273" w:type="dxa"/>
            <w:tcBorders/>
            <w:tcMar>
              <w:top w:w="80" w:type="dxa"/>
              <w:bottom w:w="80" w:type="dxa"/>
            </w:tcMar>
            <w:vAlign w:val="center"/>
          </w:tcPr>
          <w:p w14:paraId="541782DC">
            <w:pPr>
              <w:pStyle w:val="style0"/>
              <w:rPr/>
            </w:pPr>
            <w:r>
              <w:rPr>
                <w:b w:val="false"/>
                <w:color w:val="000000"/>
                <w:sz w:val="20"/>
              </w:rPr>
              <w:t>33 hours</w:t>
            </w:r>
          </w:p>
        </w:tc>
      </w:tr>
      <w:tr w14:paraId="8EBB6068">
        <w:tblPrEx/>
        <w:trPr>
          <w:trHeight w:val="619" w:hRule="atLeast"/>
          <w:jc w:val="center"/>
        </w:trPr>
        <w:tc>
          <w:tcPr>
            <w:tcW w:w="5273" w:type="dxa"/>
            <w:tcBorders/>
            <w:shd w:val="clear" w:color="auto" w:fill="1f4e78"/>
            <w:tcMar>
              <w:top w:w="80" w:type="dxa"/>
              <w:bottom w:w="80" w:type="dxa"/>
            </w:tcMar>
            <w:vAlign w:val="center"/>
          </w:tcPr>
          <w:p w14:paraId="F76A6B31">
            <w:pPr>
              <w:pStyle w:val="style0"/>
              <w:rPr/>
            </w:pPr>
            <w:r>
              <w:rPr>
                <w:b/>
                <w:color w:val="ffffff"/>
                <w:sz w:val="20"/>
              </w:rPr>
              <w:t>Project Stage</w:t>
            </w:r>
          </w:p>
        </w:tc>
        <w:tc>
          <w:tcPr>
            <w:tcW w:w="5273" w:type="dxa"/>
            <w:tcBorders/>
            <w:tcMar>
              <w:top w:w="80" w:type="dxa"/>
              <w:bottom w:w="80" w:type="dxa"/>
            </w:tcMar>
            <w:vAlign w:val="center"/>
          </w:tcPr>
          <w:p w14:paraId="9BFE8BA5">
            <w:pPr>
              <w:pStyle w:val="style0"/>
              <w:rPr/>
            </w:pPr>
            <w:r>
              <w:rPr>
                <w:b w:val="false"/>
                <w:color w:val="000000"/>
                <w:sz w:val="20"/>
              </w:rPr>
              <w:t>Final Report&amp;Presentation — Week 4</w:t>
            </w:r>
          </w:p>
        </w:tc>
      </w:tr>
      <w:tr w14:paraId="04733157">
        <w:tblPrEx/>
        <w:trPr>
          <w:trHeight w:val="619" w:hRule="atLeast"/>
          <w:jc w:val="center"/>
        </w:trPr>
        <w:tc>
          <w:tcPr>
            <w:tcW w:w="5273" w:type="dxa"/>
            <w:tcBorders/>
            <w:shd w:val="clear" w:color="auto" w:fill="1f4e78"/>
            <w:tcMar>
              <w:top w:w="80" w:type="dxa"/>
              <w:bottom w:w="80" w:type="dxa"/>
            </w:tcMar>
            <w:vAlign w:val="center"/>
          </w:tcPr>
          <w:p w14:paraId="4B6BB7D7">
            <w:pPr>
              <w:pStyle w:val="style0"/>
              <w:rPr/>
            </w:pPr>
            <w:r>
              <w:rPr>
                <w:b/>
                <w:color w:val="ffffff"/>
                <w:sz w:val="20"/>
              </w:rPr>
              <w:t>Target Audience</w:t>
            </w:r>
          </w:p>
        </w:tc>
        <w:tc>
          <w:tcPr>
            <w:tcW w:w="5273" w:type="dxa"/>
            <w:tcBorders/>
            <w:tcMar>
              <w:top w:w="80" w:type="dxa"/>
              <w:bottom w:w="80" w:type="dxa"/>
            </w:tcMar>
            <w:vAlign w:val="center"/>
          </w:tcPr>
          <w:p w14:paraId="2DE96847">
            <w:pPr>
              <w:pStyle w:val="style0"/>
              <w:rPr/>
            </w:pPr>
            <w:r>
              <w:rPr>
                <w:b w:val="false"/>
                <w:color w:val="000000"/>
                <w:sz w:val="20"/>
              </w:rPr>
              <w:t>Technical Reviewers&amp;Executive Non-Technical Stakeholders</w:t>
            </w:r>
          </w:p>
        </w:tc>
      </w:tr>
    </w:tbl>
    <w:p w14:paraId="3C45B945">
      <w:pPr>
        <w:pStyle w:val="style0"/>
        <w:rPr/>
      </w:pPr>
    </w:p>
    <w:p w14:paraId="EFBD8414">
      <w:pPr>
        <w:pStyle w:val="style0"/>
        <w:rPr/>
      </w:pPr>
      <w:r>
        <w:br w:type="page"/>
      </w:r>
    </w:p>
    <w:p w14:paraId="7F8283F6">
      <w:pPr>
        <w:pStyle w:val="style1"/>
        <w:spacing w:before="200" w:after="100"/>
        <w:rPr/>
      </w:pPr>
      <w:r>
        <w:t>1. Executive Summary</w:t>
      </w:r>
    </w:p>
    <w:p w14:paraId="F119C474">
      <w:pPr>
        <w:pStyle w:val="style0"/>
        <w:rPr/>
      </w:pPr>
      <w:r>
        <w:t>This document represents the Week 4 final deliverable: a comprehensive Data Science Report and Insights Presentation Plan. Building upon the data processing frameworks established in Week 1, the exploratory data analysis in Week 2, and the machine learning model selection and evaluation strategy created in Week 3, this final week consolidates analytical rigor into an executive-ready report and strategic presentation narrative.</w:t>
      </w:r>
    </w:p>
    <w:p w14:paraId="32FC126E">
      <w:pPr>
        <w:pStyle w:val="style0"/>
        <w:rPr/>
      </w:pPr>
      <w:r>
        <w:t>The primary objective is to design an integrated communication framework that translates complex technical findings—such as multi-class classification metrics, feature importance rankings, and risk boundary analyses—into clear, persuasive, and actionable insights. The report outlines a structured presentation plan, mock-up visual aids, narrative storytelling strategies for non-technical leadership, and a strategic 33-hour work allocation.</w:t>
      </w:r>
    </w:p>
    <w:p w14:paraId="F24FCEA2">
      <w:pPr>
        <w:pStyle w:val="style2"/>
        <w:spacing w:before="120" w:after="100"/>
        <w:rPr/>
      </w:pPr>
      <w:r>
        <w:t>Plan-at-a-Glance</w:t>
      </w:r>
    </w:p>
    <w:tbl>
      <w:tblPr>
        <w:tblW w:w="10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74"/>
        <w:gridCol w:w="7301"/>
      </w:tblGrid>
      <w:tr w14:paraId="0EE5E874">
        <w:trPr>
          <w:cantSplit/>
          <w:trHeight w:val="675" w:hRule="atLeast"/>
          <w:tblHeader/>
          <w:jc w:val="center"/>
        </w:trPr>
        <w:tc>
          <w:tcPr>
            <w:tcW w:w="3174" w:type="dxa"/>
            <w:tcBorders/>
            <w:shd w:val="clear" w:color="auto" w:fill="1f4e78"/>
            <w:tcMar>
              <w:top w:w="80" w:type="dxa"/>
              <w:bottom w:w="80" w:type="dxa"/>
            </w:tcMar>
            <w:vAlign w:val="center"/>
          </w:tcPr>
          <w:p w14:paraId="2298D1F6">
            <w:pPr>
              <w:pStyle w:val="style0"/>
              <w:keepNext/>
              <w:rPr/>
            </w:pPr>
            <w:r>
              <w:rPr>
                <w:b/>
                <w:color w:val="ffffff"/>
                <w:sz w:val="18"/>
              </w:rPr>
              <w:t>Item</w:t>
            </w:r>
          </w:p>
        </w:tc>
        <w:tc>
          <w:tcPr>
            <w:tcW w:w="7301" w:type="dxa"/>
            <w:tcBorders/>
            <w:shd w:val="clear" w:color="auto" w:fill="1f4e78"/>
            <w:tcMar>
              <w:top w:w="80" w:type="dxa"/>
              <w:bottom w:w="80" w:type="dxa"/>
            </w:tcMar>
            <w:vAlign w:val="center"/>
          </w:tcPr>
          <w:p w14:paraId="1A4BD76B">
            <w:pPr>
              <w:pStyle w:val="style0"/>
              <w:keepNext/>
              <w:rPr/>
            </w:pPr>
            <w:r>
              <w:rPr>
                <w:b/>
                <w:color w:val="ffffff"/>
                <w:sz w:val="18"/>
              </w:rPr>
              <w:t>Planned Decision</w:t>
            </w:r>
          </w:p>
        </w:tc>
      </w:tr>
      <w:tr w14:paraId="F6C15FF7">
        <w:tblPrEx/>
        <w:trPr>
          <w:cantSplit/>
          <w:trHeight w:val="665" w:hRule="atLeast"/>
          <w:jc w:val="center"/>
        </w:trPr>
        <w:tc>
          <w:tcPr>
            <w:tcW w:w="3174" w:type="dxa"/>
            <w:tcBorders/>
            <w:tcMar>
              <w:top w:w="80" w:type="dxa"/>
              <w:bottom w:w="80" w:type="dxa"/>
            </w:tcMar>
            <w:vAlign w:val="center"/>
          </w:tcPr>
          <w:p w14:paraId="AFD7B47C">
            <w:pPr>
              <w:pStyle w:val="style0"/>
              <w:keepNext/>
              <w:rPr/>
            </w:pPr>
            <w:r>
              <w:rPr>
                <w:b w:val="false"/>
                <w:color w:val="000000"/>
                <w:sz w:val="17"/>
              </w:rPr>
              <w:t>Executive Objective</w:t>
            </w:r>
          </w:p>
        </w:tc>
        <w:tc>
          <w:tcPr>
            <w:tcW w:w="7301" w:type="dxa"/>
            <w:tcBorders/>
            <w:tcMar>
              <w:top w:w="80" w:type="dxa"/>
              <w:bottom w:w="80" w:type="dxa"/>
            </w:tcMar>
            <w:vAlign w:val="center"/>
          </w:tcPr>
          <w:p w14:paraId="E3D321E4">
            <w:pPr>
              <w:pStyle w:val="style0"/>
              <w:keepNext/>
              <w:rPr/>
            </w:pPr>
            <w:r>
              <w:rPr>
                <w:b w:val="false"/>
                <w:color w:val="000000"/>
                <w:sz w:val="17"/>
              </w:rPr>
              <w:t>Consolidate end-to-end ML findings into a clear, non-technical business report.</w:t>
            </w:r>
          </w:p>
        </w:tc>
      </w:tr>
      <w:tr w14:paraId="55A2F13B">
        <w:tblPrEx/>
        <w:trPr>
          <w:cantSplit/>
          <w:trHeight w:val="665" w:hRule="atLeast"/>
          <w:jc w:val="center"/>
        </w:trPr>
        <w:tc>
          <w:tcPr>
            <w:tcW w:w="3174" w:type="dxa"/>
            <w:tcBorders/>
            <w:tcMar>
              <w:top w:w="80" w:type="dxa"/>
              <w:bottom w:w="80" w:type="dxa"/>
            </w:tcMar>
            <w:vAlign w:val="center"/>
          </w:tcPr>
          <w:p w14:paraId="F5474952">
            <w:pPr>
              <w:pStyle w:val="style0"/>
              <w:keepNext/>
              <w:rPr/>
            </w:pPr>
            <w:r>
              <w:rPr>
                <w:b w:val="false"/>
                <w:color w:val="000000"/>
                <w:sz w:val="17"/>
              </w:rPr>
              <w:t>Target Audience</w:t>
            </w:r>
          </w:p>
        </w:tc>
        <w:tc>
          <w:tcPr>
            <w:tcW w:w="7301" w:type="dxa"/>
            <w:tcBorders/>
            <w:tcMar>
              <w:top w:w="80" w:type="dxa"/>
              <w:bottom w:w="80" w:type="dxa"/>
            </w:tcMar>
            <w:vAlign w:val="center"/>
          </w:tcPr>
          <w:p w14:paraId="F5843695">
            <w:pPr>
              <w:pStyle w:val="style0"/>
              <w:keepNext/>
              <w:rPr/>
            </w:pPr>
            <w:r>
              <w:rPr>
                <w:b w:val="false"/>
                <w:color w:val="000000"/>
                <w:sz w:val="17"/>
              </w:rPr>
              <w:t>Executive Leadership, Regional Environmental Authorities, and Non-Technical Stakeholders.</w:t>
            </w:r>
          </w:p>
        </w:tc>
      </w:tr>
      <w:tr w14:paraId="805F3062">
        <w:tblPrEx/>
        <w:trPr>
          <w:cantSplit/>
          <w:trHeight w:val="665" w:hRule="atLeast"/>
          <w:jc w:val="center"/>
        </w:trPr>
        <w:tc>
          <w:tcPr>
            <w:tcW w:w="3174" w:type="dxa"/>
            <w:tcBorders/>
            <w:tcMar>
              <w:top w:w="80" w:type="dxa"/>
              <w:bottom w:w="80" w:type="dxa"/>
            </w:tcMar>
            <w:vAlign w:val="center"/>
          </w:tcPr>
          <w:p w14:paraId="6694FC9A">
            <w:pPr>
              <w:pStyle w:val="style0"/>
              <w:keepNext/>
              <w:rPr/>
            </w:pPr>
            <w:r>
              <w:rPr>
                <w:b w:val="false"/>
                <w:color w:val="000000"/>
                <w:sz w:val="17"/>
              </w:rPr>
              <w:t>Core Visual Aids</w:t>
            </w:r>
          </w:p>
        </w:tc>
        <w:tc>
          <w:tcPr>
            <w:tcW w:w="7301" w:type="dxa"/>
            <w:tcBorders/>
            <w:tcMar>
              <w:top w:w="80" w:type="dxa"/>
              <w:bottom w:w="80" w:type="dxa"/>
            </w:tcMar>
            <w:vAlign w:val="center"/>
          </w:tcPr>
          <w:p w14:paraId="26C8DE7D">
            <w:pPr>
              <w:pStyle w:val="style0"/>
              <w:keepNext/>
              <w:rPr/>
            </w:pPr>
            <w:r>
              <w:rPr>
                <w:b w:val="false"/>
                <w:color w:val="000000"/>
                <w:sz w:val="17"/>
              </w:rPr>
              <w:t>Interactive Metric Dashboards, SHAP Feature Importance, Confusion Matrix, and Trend Charts.</w:t>
            </w:r>
          </w:p>
        </w:tc>
      </w:tr>
      <w:tr w14:paraId="FB09214F">
        <w:tblPrEx/>
        <w:trPr>
          <w:cantSplit/>
          <w:trHeight w:val="665" w:hRule="atLeast"/>
          <w:jc w:val="center"/>
        </w:trPr>
        <w:tc>
          <w:tcPr>
            <w:tcW w:w="3174" w:type="dxa"/>
            <w:tcBorders/>
            <w:tcMar>
              <w:top w:w="80" w:type="dxa"/>
              <w:bottom w:w="80" w:type="dxa"/>
            </w:tcMar>
            <w:vAlign w:val="center"/>
          </w:tcPr>
          <w:p w14:paraId="1D9DE4A8">
            <w:pPr>
              <w:pStyle w:val="style0"/>
              <w:keepNext/>
              <w:rPr/>
            </w:pPr>
            <w:r>
              <w:rPr>
                <w:b w:val="false"/>
                <w:color w:val="000000"/>
                <w:sz w:val="17"/>
              </w:rPr>
              <w:t>Narrative Framework</w:t>
            </w:r>
          </w:p>
        </w:tc>
        <w:tc>
          <w:tcPr>
            <w:tcW w:w="7301" w:type="dxa"/>
            <w:tcBorders/>
            <w:tcMar>
              <w:top w:w="80" w:type="dxa"/>
              <w:bottom w:w="80" w:type="dxa"/>
            </w:tcMar>
            <w:vAlign w:val="center"/>
          </w:tcPr>
          <w:p w14:paraId="8932543F">
            <w:pPr>
              <w:pStyle w:val="style0"/>
              <w:keepNext/>
              <w:rPr/>
            </w:pPr>
            <w:r>
              <w:rPr>
                <w:b w:val="false"/>
                <w:color w:val="000000"/>
                <w:sz w:val="17"/>
              </w:rPr>
              <w:t>Data Storytelling using the Situation-Complication-Resolution (SCR) methodology.</w:t>
            </w:r>
          </w:p>
        </w:tc>
      </w:tr>
      <w:tr w14:paraId="F80BD3C4">
        <w:tblPrEx/>
        <w:trPr>
          <w:cantSplit/>
          <w:trHeight w:val="665" w:hRule="atLeast"/>
          <w:jc w:val="center"/>
        </w:trPr>
        <w:tc>
          <w:tcPr>
            <w:tcW w:w="3174" w:type="dxa"/>
            <w:tcBorders/>
            <w:tcMar>
              <w:top w:w="80" w:type="dxa"/>
              <w:bottom w:w="80" w:type="dxa"/>
            </w:tcMar>
            <w:vAlign w:val="center"/>
          </w:tcPr>
          <w:p w14:paraId="0FE31D76">
            <w:pPr>
              <w:pStyle w:val="style0"/>
              <w:rPr/>
            </w:pPr>
            <w:r>
              <w:rPr>
                <w:b w:val="false"/>
                <w:color w:val="000000"/>
                <w:sz w:val="17"/>
              </w:rPr>
              <w:t>Resource Allocation</w:t>
            </w:r>
          </w:p>
        </w:tc>
        <w:tc>
          <w:tcPr>
            <w:tcW w:w="7301" w:type="dxa"/>
            <w:tcBorders/>
            <w:tcMar>
              <w:top w:w="80" w:type="dxa"/>
              <w:bottom w:w="80" w:type="dxa"/>
            </w:tcMar>
            <w:vAlign w:val="center"/>
          </w:tcPr>
          <w:p w14:paraId="E517FF32">
            <w:pPr>
              <w:pStyle w:val="style0"/>
              <w:rPr/>
            </w:pPr>
            <w:r>
              <w:rPr>
                <w:b w:val="false"/>
                <w:color w:val="000000"/>
                <w:sz w:val="17"/>
              </w:rPr>
              <w:t>33 Hours across 7 core phases of synthesis, visualization design, and documentation.</w:t>
            </w:r>
          </w:p>
        </w:tc>
      </w:tr>
    </w:tbl>
    <w:p w14:paraId="420C25AF">
      <w:pPr>
        <w:pStyle w:val="style0"/>
        <w:rPr/>
      </w:pPr>
    </w:p>
    <w:p w14:paraId="FD55CB98">
      <w:pPr>
        <w:pStyle w:val="style1"/>
        <w:spacing w:before="200" w:after="100"/>
        <w:rPr/>
      </w:pPr>
      <w:r>
        <w:t>2. Methodology Review&amp;Analytical Framework</w:t>
      </w:r>
    </w:p>
    <w:p w14:paraId="B3EBF620">
      <w:pPr>
        <w:pStyle w:val="style0"/>
        <w:rPr/>
      </w:pPr>
      <w:r>
        <w:t>To establish context for decision-makers without re-explaining granular execution steps, the report synthesizes the end-to-end data science strategy employed across the project lifecycle. The hypothetical framework follows a rigorous pipeline designed to prevent data leakage and ensure model robustness:</w:t>
      </w:r>
    </w:p>
    <w:p w14:paraId="337192DF">
      <w:pPr>
        <w:pStyle w:val="style48"/>
        <w:keepNext/>
        <w:spacing w:after="60"/>
        <w:rPr/>
      </w:pPr>
      <w:r>
        <w:rPr>
          <w:b/>
        </w:rPr>
        <w:t xml:space="preserve">Data Quality &amp; Cleaning Pipeline: </w:t>
      </w:r>
      <w:r>
        <w:t>Systematic audit of 5,000 observations across 10 environmental variables. Outliers were managed via IQR thresholding, missing values imputed via median strategies, and data types verified before pipeline splitting.</w:t>
      </w:r>
    </w:p>
    <w:p w14:paraId="5185B86F">
      <w:pPr>
        <w:pStyle w:val="style48"/>
        <w:keepNext/>
        <w:spacing w:after="60"/>
        <w:rPr/>
      </w:pPr>
      <w:r>
        <w:rPr>
          <w:b/>
        </w:rPr>
        <w:t xml:space="preserve">Feature Engineering &amp; Selection: </w:t>
      </w:r>
      <w:r>
        <w:t>Creation of domain-specific aggregate indicators (e.g., PM_Total = PM2.5 + PM10, Pollution_Gas_Total = NO2 + SO2 + CO) and cyclical encodings to enhance model interpretability and predictive signal.</w:t>
      </w:r>
    </w:p>
    <w:p w14:paraId="03F8D6C3">
      <w:pPr>
        <w:pStyle w:val="style48"/>
        <w:keepNext/>
        <w:spacing w:after="60"/>
        <w:rPr/>
      </w:pPr>
      <w:r>
        <w:rPr>
          <w:b/>
        </w:rPr>
        <w:t xml:space="preserve">Model Selection &amp; Cross-Validation: </w:t>
      </w:r>
      <w:r>
        <w:t>Comparison of multiple multi-class classifiers (Logistic Regression baseline, K-Nearest Neighbors, Decision Trees, and Random Forest ensemble) evaluated using 5-fold Stratified Cross-Validation.</w:t>
      </w:r>
    </w:p>
    <w:p w14:paraId="4C9F6A53">
      <w:pPr>
        <w:pStyle w:val="style48"/>
        <w:spacing w:after="60"/>
        <w:rPr/>
      </w:pPr>
      <w:r>
        <w:rPr>
          <w:b/>
        </w:rPr>
        <w:t xml:space="preserve">Evaluation Metrics: </w:t>
      </w:r>
      <w:r>
        <w:t>Prioritization of Macro F1-Score alongside per-class Precision, Recall, and Confusion Matrices to ensure balanced performance across all air quality tiers (Good, Moderate, Unhealthy, Hazardous).</w:t>
      </w:r>
    </w:p>
    <w:p w14:paraId="1382DCA0">
      <w:pPr>
        <w:pStyle w:val="style1"/>
        <w:spacing w:before="200" w:after="100"/>
        <w:rPr/>
      </w:pPr>
    </w:p>
    <w:p w14:paraId="C9AE298D">
      <w:pPr>
        <w:pStyle w:val="style0"/>
        <w:numPr>
          <w:ilvl w:val="0"/>
          <w:numId w:val="0"/>
        </w:numPr>
        <w:spacing w:before="200" w:after="100"/>
        <w:rPr/>
      </w:pPr>
    </w:p>
    <w:p w14:paraId="F32089B4">
      <w:pPr>
        <w:pStyle w:val="style0"/>
        <w:numPr>
          <w:ilvl w:val="0"/>
          <w:numId w:val="0"/>
        </w:numPr>
        <w:spacing w:before="200" w:after="100"/>
        <w:rPr/>
      </w:pPr>
    </w:p>
    <w:p w14:paraId="7D532C18">
      <w:pPr>
        <w:pStyle w:val="style1"/>
        <w:spacing w:before="200" w:after="100"/>
        <w:rPr/>
      </w:pPr>
      <w:r>
        <w:t>3. Key Findings &amp; Actionable Business Insights</w:t>
      </w:r>
    </w:p>
    <w:p w14:paraId="6BEE9B3E">
      <w:pPr>
        <w:pStyle w:val="style0"/>
        <w:rPr/>
      </w:pPr>
      <w:r>
        <w:t xml:space="preserve">The analysis yielded several key insights regarding the primary drivers of urban pollution and model predictive </w:t>
      </w:r>
    </w:p>
    <w:p w14:paraId="230AA47B">
      <w:pPr>
        <w:pStyle w:val="style0"/>
        <w:rPr/>
      </w:pPr>
      <w:r>
        <w:t>performance:</w:t>
      </w:r>
    </w:p>
    <w:p w14:paraId="2BC0E3BC">
      <w:pPr>
        <w:pStyle w:val="style2"/>
        <w:spacing w:before="120" w:after="100"/>
        <w:rPr/>
      </w:pPr>
      <w:r>
        <w:t>3.1 Core Findings from Data Analysis</w:t>
      </w:r>
    </w:p>
    <w:p w14:paraId="92B19164">
      <w:pPr>
        <w:pStyle w:val="style48"/>
        <w:keepNext/>
        <w:spacing w:after="60"/>
        <w:rPr/>
      </w:pPr>
      <w:r>
        <w:rPr>
          <w:b/>
        </w:rPr>
        <w:t xml:space="preserve">Particulate Matter Dominance: </w:t>
      </w:r>
      <w:r>
        <w:t>PM2.5 and PM10 measurements exhibited the strongest correlation with severe air quality downgrades (Hazardous tier), serving as the primary lead indicators in classification trees.</w:t>
      </w:r>
    </w:p>
    <w:p w14:paraId="66129D2C">
      <w:pPr>
        <w:pStyle w:val="style48"/>
        <w:keepNext/>
        <w:spacing w:after="60"/>
        <w:rPr/>
      </w:pPr>
      <w:r>
        <w:rPr>
          <w:b/>
        </w:rPr>
        <w:t xml:space="preserve">Combined Gas Burden Synergy: </w:t>
      </w:r>
      <w:r>
        <w:t>Gaseous pollutants (NO2, SO2, CO) demonstrated non-linear compound effectsduring high-temperature and high-humidity periods, significantly increasing the probability of Unhealthy classifications.</w:t>
      </w:r>
    </w:p>
    <w:p w14:paraId="940E2DE2">
      <w:pPr>
        <w:pStyle w:val="style48"/>
        <w:spacing w:after="60"/>
        <w:rPr/>
      </w:pPr>
      <w:r>
        <w:rPr>
          <w:b/>
        </w:rPr>
        <w:t xml:space="preserve">Model Benchmark Performance: </w:t>
      </w:r>
      <w:r>
        <w:t>The Random Forest classifier achieved the highest overall Macro F1-Score (0.89), demonstrating superior stability across minority classes compared to linear baselines (Logistic Regression F1: 0.74).</w:t>
      </w:r>
    </w:p>
    <w:p w14:paraId="7563FCF2">
      <w:pPr>
        <w:pStyle w:val="style2"/>
        <w:spacing w:before="120" w:after="100"/>
        <w:rPr/>
      </w:pPr>
      <w:r>
        <w:t>3.2 Actionable Recommendations</w:t>
      </w:r>
    </w:p>
    <w:p w14:paraId="01351FC4">
      <w:pPr>
        <w:pStyle w:val="style0"/>
        <w:rPr/>
      </w:pPr>
      <w:r>
        <w:t>Based on these findings, three immediate policy and operational interventions are recommended:</w:t>
      </w:r>
    </w:p>
    <w:p w14:paraId="F1324BCE">
      <w:pPr>
        <w:pStyle w:val="style48"/>
        <w:keepNext/>
        <w:spacing w:after="60"/>
        <w:rPr/>
      </w:pPr>
      <w:r>
        <w:rPr>
          <w:b/>
        </w:rPr>
        <w:t xml:space="preserve">Targeted Industrial Emissions Capping: </w:t>
      </w:r>
      <w:r>
        <w:t>Deploy real-time automated alerts when PM_Total exceeds critical regional thresholds, enabling proactive traffic restrictions and industrial dampening.</w:t>
      </w:r>
    </w:p>
    <w:p w14:paraId="CA7CD97A">
      <w:pPr>
        <w:pStyle w:val="style48"/>
        <w:keepNext/>
        <w:spacing w:after="60"/>
        <w:rPr/>
      </w:pPr>
      <w:r>
        <w:rPr>
          <w:b/>
        </w:rPr>
        <w:t xml:space="preserve">Seasonal Advisory Protocols: </w:t>
      </w:r>
      <w:r>
        <w:t>Initiate public health warnings when weather forecasting indicates combined high humidity and elevated gaseous pollutant accumulation.</w:t>
      </w:r>
    </w:p>
    <w:p w14:paraId="69EC8185">
      <w:pPr>
        <w:pStyle w:val="style48"/>
        <w:spacing w:after="60"/>
        <w:rPr/>
      </w:pPr>
      <w:r>
        <w:rPr>
          <w:b/>
        </w:rPr>
        <w:t xml:space="preserve">Low-Cost Sensor Deployment: </w:t>
      </w:r>
      <w:r>
        <w:t>Focus future monitoring infrastructure expansion on high-density urban corridors with missing wind vector measurements to improve localized category prediction accuracy.</w:t>
      </w:r>
    </w:p>
    <w:p w14:paraId="13281474">
      <w:pPr>
        <w:pStyle w:val="style1"/>
        <w:spacing w:before="200" w:after="100"/>
        <w:rPr/>
      </w:pPr>
      <w:r>
        <w:t>4. Integrated Mock-Up Visualizations Plan</w:t>
      </w:r>
    </w:p>
    <w:p w14:paraId="CB41EB60">
      <w:pPr>
        <w:pStyle w:val="style0"/>
        <w:rPr/>
      </w:pPr>
      <w:r>
        <w:t>Visual aids are structured to guide non-technical audiences from high-level summaries down to granular decision drivers. The table below outlines the planned visual suite embedded within the report:</w:t>
      </w:r>
    </w:p>
    <w:tbl>
      <w:tblPr>
        <w:tblW w:w="10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21"/>
        <w:gridCol w:w="4177"/>
        <w:gridCol w:w="4177"/>
      </w:tblGrid>
      <w:tr w14:paraId="4790E549">
        <w:trPr>
          <w:cantSplit/>
          <w:trHeight w:val="772" w:hRule="atLeast"/>
          <w:tblHeader/>
          <w:jc w:val="center"/>
        </w:trPr>
        <w:tc>
          <w:tcPr>
            <w:tcW w:w="2321" w:type="dxa"/>
            <w:tcBorders/>
            <w:shd w:val="clear" w:color="auto" w:fill="1f4e78"/>
            <w:tcMar>
              <w:top w:w="80" w:type="dxa"/>
              <w:bottom w:w="80" w:type="dxa"/>
            </w:tcMar>
            <w:vAlign w:val="center"/>
          </w:tcPr>
          <w:p w14:paraId="FA65E103">
            <w:pPr>
              <w:pStyle w:val="style0"/>
              <w:keepNext/>
              <w:rPr/>
            </w:pPr>
            <w:r>
              <w:rPr>
                <w:b/>
                <w:color w:val="ffffff"/>
                <w:sz w:val="18"/>
              </w:rPr>
              <w:t>Visual Chart Type</w:t>
            </w:r>
          </w:p>
        </w:tc>
        <w:tc>
          <w:tcPr>
            <w:tcW w:w="4177" w:type="dxa"/>
            <w:tcBorders/>
            <w:shd w:val="clear" w:color="auto" w:fill="1f4e78"/>
            <w:tcMar>
              <w:top w:w="80" w:type="dxa"/>
              <w:bottom w:w="80" w:type="dxa"/>
            </w:tcMar>
            <w:vAlign w:val="center"/>
          </w:tcPr>
          <w:p w14:paraId="50B50BBB">
            <w:pPr>
              <w:pStyle w:val="style0"/>
              <w:keepNext/>
              <w:rPr/>
            </w:pPr>
            <w:r>
              <w:rPr>
                <w:b/>
                <w:color w:val="ffffff"/>
                <w:sz w:val="18"/>
              </w:rPr>
              <w:t>Target Insight / Data Represented</w:t>
            </w:r>
          </w:p>
        </w:tc>
        <w:tc>
          <w:tcPr>
            <w:tcW w:w="4177" w:type="dxa"/>
            <w:tcBorders/>
            <w:shd w:val="clear" w:color="auto" w:fill="1f4e78"/>
            <w:tcMar>
              <w:top w:w="80" w:type="dxa"/>
              <w:bottom w:w="80" w:type="dxa"/>
            </w:tcMar>
            <w:vAlign w:val="center"/>
          </w:tcPr>
          <w:p w14:paraId="D27D7785">
            <w:pPr>
              <w:pStyle w:val="style0"/>
              <w:keepNext/>
              <w:rPr/>
            </w:pPr>
            <w:r>
              <w:rPr>
                <w:b/>
                <w:color w:val="ffffff"/>
                <w:sz w:val="18"/>
              </w:rPr>
              <w:t>Design Rationale&amp;Non-Technical Utility</w:t>
            </w:r>
          </w:p>
        </w:tc>
      </w:tr>
      <w:tr w14:paraId="D40CFB9A">
        <w:tblPrEx/>
        <w:trPr>
          <w:cantSplit/>
          <w:trHeight w:val="1146" w:hRule="atLeast"/>
          <w:jc w:val="center"/>
        </w:trPr>
        <w:tc>
          <w:tcPr>
            <w:tcW w:w="2321" w:type="dxa"/>
            <w:tcBorders/>
            <w:tcMar>
              <w:top w:w="80" w:type="dxa"/>
              <w:bottom w:w="80" w:type="dxa"/>
            </w:tcMar>
            <w:vAlign w:val="center"/>
          </w:tcPr>
          <w:p w14:paraId="8A9F8B2F">
            <w:pPr>
              <w:pStyle w:val="style0"/>
              <w:keepNext/>
              <w:rPr/>
            </w:pPr>
            <w:r>
              <w:rPr>
                <w:b w:val="false"/>
                <w:color w:val="000000"/>
                <w:sz w:val="17"/>
              </w:rPr>
              <w:t>Model Performance Comparison Bar Chart</w:t>
            </w:r>
          </w:p>
        </w:tc>
        <w:tc>
          <w:tcPr>
            <w:tcW w:w="4177" w:type="dxa"/>
            <w:tcBorders/>
            <w:tcMar>
              <w:top w:w="80" w:type="dxa"/>
              <w:bottom w:w="80" w:type="dxa"/>
            </w:tcMar>
            <w:vAlign w:val="center"/>
          </w:tcPr>
          <w:p w14:paraId="6B5C59EA">
            <w:pPr>
              <w:pStyle w:val="style0"/>
              <w:keepNext/>
              <w:rPr/>
            </w:pPr>
            <w:r>
              <w:rPr>
                <w:b w:val="false"/>
                <w:color w:val="000000"/>
                <w:sz w:val="17"/>
              </w:rPr>
              <w:t>Macro F1, Precision, and Recall scores across baseline and candidate models.</w:t>
            </w:r>
          </w:p>
        </w:tc>
        <w:tc>
          <w:tcPr>
            <w:tcW w:w="4177" w:type="dxa"/>
            <w:tcBorders/>
            <w:tcMar>
              <w:top w:w="80" w:type="dxa"/>
              <w:bottom w:w="80" w:type="dxa"/>
            </w:tcMar>
            <w:vAlign w:val="center"/>
          </w:tcPr>
          <w:p w14:paraId="1929A8A2">
            <w:pPr>
              <w:pStyle w:val="style0"/>
              <w:keepNext/>
              <w:rPr/>
            </w:pPr>
            <w:r>
              <w:rPr>
                <w:b w:val="false"/>
                <w:color w:val="000000"/>
                <w:sz w:val="17"/>
              </w:rPr>
              <w:t>Provides immediate visual proof of why the Random Forest model was selected over simple linear baselines.</w:t>
            </w:r>
          </w:p>
        </w:tc>
      </w:tr>
      <w:tr w14:paraId="592B7F08">
        <w:tblPrEx/>
        <w:trPr>
          <w:cantSplit/>
          <w:trHeight w:val="1146" w:hRule="atLeast"/>
          <w:jc w:val="center"/>
        </w:trPr>
        <w:tc>
          <w:tcPr>
            <w:tcW w:w="2321" w:type="dxa"/>
            <w:tcBorders/>
            <w:tcMar>
              <w:top w:w="80" w:type="dxa"/>
              <w:bottom w:w="80" w:type="dxa"/>
            </w:tcMar>
            <w:vAlign w:val="center"/>
          </w:tcPr>
          <w:p w14:paraId="BFCE4ACA">
            <w:pPr>
              <w:pStyle w:val="style0"/>
              <w:keepNext/>
              <w:rPr/>
            </w:pPr>
            <w:r>
              <w:rPr>
                <w:b w:val="false"/>
                <w:color w:val="000000"/>
                <w:sz w:val="17"/>
              </w:rPr>
              <w:t>Air Quality Confusion Matrix</w:t>
            </w:r>
          </w:p>
        </w:tc>
        <w:tc>
          <w:tcPr>
            <w:tcW w:w="4177" w:type="dxa"/>
            <w:tcBorders/>
            <w:tcMar>
              <w:top w:w="80" w:type="dxa"/>
              <w:bottom w:w="80" w:type="dxa"/>
            </w:tcMar>
            <w:vAlign w:val="center"/>
          </w:tcPr>
          <w:p w14:paraId="46A00804">
            <w:pPr>
              <w:pStyle w:val="style0"/>
              <w:keepNext/>
              <w:rPr/>
            </w:pPr>
            <w:r>
              <w:rPr>
                <w:b w:val="false"/>
                <w:color w:val="000000"/>
                <w:sz w:val="17"/>
              </w:rPr>
              <w:t>Actual vs. Predicted class counts across Good, Moderate, Unhealthy, and Hazardous categories.</w:t>
            </w:r>
          </w:p>
        </w:tc>
        <w:tc>
          <w:tcPr>
            <w:tcW w:w="4177" w:type="dxa"/>
            <w:tcBorders/>
            <w:tcMar>
              <w:top w:w="80" w:type="dxa"/>
              <w:bottom w:w="80" w:type="dxa"/>
            </w:tcMar>
            <w:vAlign w:val="center"/>
          </w:tcPr>
          <w:p w14:paraId="E0C8B1C5">
            <w:pPr>
              <w:pStyle w:val="style0"/>
              <w:keepNext/>
              <w:rPr/>
            </w:pPr>
            <w:r>
              <w:rPr>
                <w:b w:val="false"/>
                <w:color w:val="000000"/>
                <w:sz w:val="17"/>
              </w:rPr>
              <w:t>Highlights specific misclassification patterns, reassuring leadership that dangerous false negatives are minimized.</w:t>
            </w:r>
          </w:p>
        </w:tc>
      </w:tr>
      <w:tr w14:paraId="48D74497">
        <w:tblPrEx/>
        <w:trPr>
          <w:cantSplit/>
          <w:trHeight w:val="862" w:hRule="atLeast"/>
          <w:jc w:val="center"/>
        </w:trPr>
        <w:tc>
          <w:tcPr>
            <w:tcW w:w="2321" w:type="dxa"/>
            <w:tcBorders/>
            <w:tcMar>
              <w:top w:w="80" w:type="dxa"/>
              <w:bottom w:w="80" w:type="dxa"/>
            </w:tcMar>
            <w:vAlign w:val="center"/>
          </w:tcPr>
          <w:p w14:paraId="F9F6CF77">
            <w:pPr>
              <w:pStyle w:val="style0"/>
              <w:keepNext/>
              <w:rPr/>
            </w:pPr>
            <w:r>
              <w:rPr>
                <w:b w:val="false"/>
                <w:color w:val="000000"/>
                <w:sz w:val="17"/>
              </w:rPr>
              <w:t>SHAP Feature Importance Plot</w:t>
            </w:r>
          </w:p>
        </w:tc>
        <w:tc>
          <w:tcPr>
            <w:tcW w:w="4177" w:type="dxa"/>
            <w:tcBorders/>
            <w:tcMar>
              <w:top w:w="80" w:type="dxa"/>
              <w:bottom w:w="80" w:type="dxa"/>
            </w:tcMar>
            <w:vAlign w:val="center"/>
          </w:tcPr>
          <w:p w14:paraId="0EA998B9">
            <w:pPr>
              <w:pStyle w:val="style0"/>
              <w:keepNext/>
              <w:rPr/>
            </w:pPr>
            <w:r>
              <w:rPr>
                <w:b w:val="false"/>
                <w:color w:val="000000"/>
                <w:sz w:val="17"/>
              </w:rPr>
              <w:t>Global impact rankings of pollutants (PM_Total, Gas_Total, Temp, Humidity).</w:t>
            </w:r>
          </w:p>
        </w:tc>
        <w:tc>
          <w:tcPr>
            <w:tcW w:w="4177" w:type="dxa"/>
            <w:tcBorders/>
            <w:tcMar>
              <w:top w:w="80" w:type="dxa"/>
              <w:bottom w:w="80" w:type="dxa"/>
            </w:tcMar>
            <w:vAlign w:val="center"/>
          </w:tcPr>
          <w:p w14:paraId="C2E0C303">
            <w:pPr>
              <w:pStyle w:val="style0"/>
              <w:keepNext/>
              <w:rPr/>
            </w:pPr>
            <w:r>
              <w:rPr>
                <w:b w:val="false"/>
                <w:color w:val="000000"/>
                <w:sz w:val="17"/>
              </w:rPr>
              <w:t>Translates black-box ML decisions into intuitive factor rankings for policy makers.</w:t>
            </w:r>
          </w:p>
        </w:tc>
      </w:tr>
      <w:tr w14:paraId="67985763">
        <w:tblPrEx/>
        <w:trPr>
          <w:cantSplit/>
          <w:trHeight w:val="862" w:hRule="atLeast"/>
          <w:jc w:val="center"/>
        </w:trPr>
        <w:tc>
          <w:tcPr>
            <w:tcW w:w="2321" w:type="dxa"/>
            <w:tcBorders/>
            <w:tcMar>
              <w:top w:w="80" w:type="dxa"/>
              <w:bottom w:w="80" w:type="dxa"/>
            </w:tcMar>
            <w:vAlign w:val="center"/>
          </w:tcPr>
          <w:p w14:paraId="4774CD2B">
            <w:pPr>
              <w:pStyle w:val="style0"/>
              <w:rPr/>
            </w:pPr>
            <w:r>
              <w:rPr>
                <w:b w:val="false"/>
                <w:color w:val="000000"/>
                <w:sz w:val="17"/>
              </w:rPr>
              <w:t>Predictive Risk Category Map</w:t>
            </w:r>
          </w:p>
        </w:tc>
        <w:tc>
          <w:tcPr>
            <w:tcW w:w="4177" w:type="dxa"/>
            <w:tcBorders/>
            <w:tcMar>
              <w:top w:w="80" w:type="dxa"/>
              <w:bottom w:w="80" w:type="dxa"/>
            </w:tcMar>
            <w:vAlign w:val="center"/>
          </w:tcPr>
          <w:p w14:paraId="5324042E">
            <w:pPr>
              <w:pStyle w:val="style0"/>
              <w:rPr/>
            </w:pPr>
            <w:r>
              <w:rPr>
                <w:b w:val="false"/>
                <w:color w:val="000000"/>
                <w:sz w:val="17"/>
              </w:rPr>
              <w:t>Geographic and temporal heatmaps of predicted air quality categories.</w:t>
            </w:r>
          </w:p>
        </w:tc>
        <w:tc>
          <w:tcPr>
            <w:tcW w:w="4177" w:type="dxa"/>
            <w:tcBorders/>
            <w:tcMar>
              <w:top w:w="80" w:type="dxa"/>
              <w:bottom w:w="80" w:type="dxa"/>
            </w:tcMar>
            <w:vAlign w:val="center"/>
          </w:tcPr>
          <w:p w14:paraId="AB265829">
            <w:pPr>
              <w:pStyle w:val="style0"/>
              <w:rPr/>
            </w:pPr>
            <w:r>
              <w:rPr>
                <w:b w:val="false"/>
                <w:color w:val="000000"/>
                <w:sz w:val="17"/>
              </w:rPr>
              <w:t>Offers intuitive, color-coded spatial awareness for municipal resource allocation.</w:t>
            </w:r>
          </w:p>
        </w:tc>
      </w:tr>
    </w:tbl>
    <w:p w14:paraId="AA3258A8">
      <w:pPr>
        <w:pStyle w:val="style1"/>
        <w:spacing w:before="200" w:after="100"/>
        <w:rPr/>
      </w:pPr>
    </w:p>
    <w:p w14:paraId="5DE62420">
      <w:pPr>
        <w:pStyle w:val="style0"/>
        <w:numPr>
          <w:ilvl w:val="0"/>
          <w:numId w:val="0"/>
        </w:numPr>
        <w:spacing w:before="200" w:after="100"/>
        <w:rPr/>
      </w:pPr>
    </w:p>
    <w:p w14:paraId="CBD02E3B">
      <w:pPr>
        <w:pStyle w:val="style1"/>
        <w:spacing w:before="200" w:after="100"/>
        <w:rPr/>
      </w:pPr>
      <w:r>
        <w:t>5. Executive Presentation&amp;Communication Strategy</w:t>
      </w:r>
    </w:p>
    <w:p w14:paraId="1841ED1C">
      <w:pPr>
        <w:pStyle w:val="style0"/>
        <w:rPr/>
      </w:pPr>
      <w:r>
        <w:t>Communicating technical data science findings to executive stakeholders requires shifting from methodological detail to strategic narrative. The presentation relies on a structured storytelling approach:</w:t>
      </w:r>
    </w:p>
    <w:p w14:paraId="2DCDBD7F">
      <w:pPr>
        <w:pStyle w:val="style2"/>
        <w:spacing w:before="120" w:after="100"/>
        <w:rPr/>
      </w:pPr>
      <w:r>
        <w:t>5.1 Storytelling Framework: Situation - Complication - Resolution</w:t>
      </w:r>
    </w:p>
    <w:p w14:paraId="6D338609">
      <w:pPr>
        <w:pStyle w:val="style48"/>
        <w:keepNext/>
        <w:spacing w:after="60"/>
        <w:rPr/>
      </w:pPr>
      <w:r>
        <w:rPr>
          <w:b/>
        </w:rPr>
        <w:t xml:space="preserve">Situation: </w:t>
      </w:r>
      <w:r>
        <w:t>Establish the common baseline—urban air quality monitoring is essential for public health and city planning, but raw sensor data is overwhelming.</w:t>
      </w:r>
    </w:p>
    <w:p w14:paraId="B2254180">
      <w:pPr>
        <w:pStyle w:val="style48"/>
        <w:keepNext/>
        <w:spacing w:after="60"/>
        <w:rPr/>
      </w:pPr>
      <w:r>
        <w:rPr>
          <w:b/>
        </w:rPr>
        <w:t xml:space="preserve">Complication: </w:t>
      </w:r>
      <w:r>
        <w:t>Traditional static rule thresholds struggle with complex, multi-pollutant interactions, leading to delayed advisories and false alarms.</w:t>
      </w:r>
    </w:p>
    <w:p w14:paraId="ED3B91A3">
      <w:pPr>
        <w:pStyle w:val="style48"/>
        <w:spacing w:after="60"/>
        <w:rPr/>
      </w:pPr>
      <w:r>
        <w:rPr>
          <w:b/>
        </w:rPr>
        <w:t xml:space="preserve">Resolution: </w:t>
      </w:r>
      <w:r>
        <w:t>Demonstrate how our validated Machine Learning solution accurately forecasts air quality categories, providing an automated early-warning system.</w:t>
      </w:r>
    </w:p>
    <w:p w14:paraId="05789B1E">
      <w:pPr>
        <w:pStyle w:val="style2"/>
        <w:spacing w:before="120" w:after="100"/>
        <w:rPr/>
      </w:pPr>
      <w:r>
        <w:t>5.2 Translating Technical Jargon</w:t>
      </w:r>
    </w:p>
    <w:tbl>
      <w:tblPr>
        <w:tblW w:w="10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21"/>
        <w:gridCol w:w="8511"/>
      </w:tblGrid>
      <w:tr w14:paraId="645C30B7">
        <w:trPr>
          <w:cantSplit/>
          <w:trHeight w:val="930" w:hRule="atLeast"/>
          <w:tblHeader/>
          <w:jc w:val="center"/>
        </w:trPr>
        <w:tc>
          <w:tcPr>
            <w:tcW w:w="2321" w:type="dxa"/>
            <w:tcBorders/>
            <w:shd w:val="clear" w:color="auto" w:fill="1f4e78"/>
            <w:tcMar>
              <w:top w:w="80" w:type="dxa"/>
              <w:bottom w:w="80" w:type="dxa"/>
            </w:tcMar>
            <w:vAlign w:val="center"/>
          </w:tcPr>
          <w:p w14:paraId="62632EF8">
            <w:pPr>
              <w:pStyle w:val="style0"/>
              <w:keepNext/>
              <w:rPr/>
            </w:pPr>
            <w:r>
              <w:rPr>
                <w:b/>
                <w:color w:val="ffffff"/>
                <w:sz w:val="18"/>
              </w:rPr>
              <w:t>Technical Terminology</w:t>
            </w:r>
          </w:p>
        </w:tc>
        <w:tc>
          <w:tcPr>
            <w:tcW w:w="8511" w:type="dxa"/>
            <w:tcBorders/>
            <w:shd w:val="clear" w:color="auto" w:fill="1f4e78"/>
            <w:tcMar>
              <w:top w:w="80" w:type="dxa"/>
              <w:bottom w:w="80" w:type="dxa"/>
            </w:tcMar>
            <w:vAlign w:val="center"/>
          </w:tcPr>
          <w:p w14:paraId="983BFCAC">
            <w:pPr>
              <w:pStyle w:val="style0"/>
              <w:keepNext/>
              <w:rPr/>
            </w:pPr>
            <w:r>
              <w:rPr>
                <w:b/>
                <w:color w:val="ffffff"/>
                <w:sz w:val="18"/>
              </w:rPr>
              <w:t>Executive Translation</w:t>
            </w:r>
          </w:p>
        </w:tc>
      </w:tr>
      <w:tr w14:paraId="C2F15665">
        <w:tblPrEx/>
        <w:trPr>
          <w:cantSplit/>
          <w:trHeight w:val="925" w:hRule="atLeast"/>
          <w:jc w:val="center"/>
        </w:trPr>
        <w:tc>
          <w:tcPr>
            <w:tcW w:w="2321" w:type="dxa"/>
            <w:tcBorders/>
            <w:tcMar>
              <w:top w:w="80" w:type="dxa"/>
              <w:bottom w:w="80" w:type="dxa"/>
            </w:tcMar>
            <w:vAlign w:val="center"/>
          </w:tcPr>
          <w:p w14:paraId="3D9D0D09">
            <w:pPr>
              <w:pStyle w:val="style0"/>
              <w:keepNext/>
              <w:rPr/>
            </w:pPr>
            <w:r>
              <w:rPr>
                <w:b w:val="false"/>
                <w:color w:val="000000"/>
                <w:sz w:val="17"/>
              </w:rPr>
              <w:t>Macro F1-Score of 0.89</w:t>
            </w:r>
          </w:p>
        </w:tc>
        <w:tc>
          <w:tcPr>
            <w:tcW w:w="8511" w:type="dxa"/>
            <w:tcBorders/>
            <w:tcMar>
              <w:top w:w="80" w:type="dxa"/>
              <w:bottom w:w="80" w:type="dxa"/>
            </w:tcMar>
            <w:vAlign w:val="center"/>
          </w:tcPr>
          <w:p w14:paraId="76790072">
            <w:pPr>
              <w:pStyle w:val="style0"/>
              <w:keepNext/>
              <w:rPr/>
            </w:pPr>
            <w:r>
              <w:rPr>
                <w:b w:val="false"/>
                <w:color w:val="000000"/>
                <w:sz w:val="17"/>
              </w:rPr>
              <w:t>High balanced accuracy across all pollution categories, ensuring rare hazardous events are not missed.</w:t>
            </w:r>
          </w:p>
        </w:tc>
      </w:tr>
      <w:tr w14:paraId="577F0408">
        <w:tblPrEx/>
        <w:trPr>
          <w:cantSplit/>
          <w:trHeight w:val="925" w:hRule="atLeast"/>
          <w:jc w:val="center"/>
        </w:trPr>
        <w:tc>
          <w:tcPr>
            <w:tcW w:w="2321" w:type="dxa"/>
            <w:tcBorders/>
            <w:tcMar>
              <w:top w:w="80" w:type="dxa"/>
              <w:bottom w:w="80" w:type="dxa"/>
            </w:tcMar>
            <w:vAlign w:val="center"/>
          </w:tcPr>
          <w:p w14:paraId="F3CE2646">
            <w:pPr>
              <w:pStyle w:val="style0"/>
              <w:keepNext/>
              <w:rPr/>
            </w:pPr>
            <w:r>
              <w:rPr>
                <w:b w:val="false"/>
                <w:color w:val="000000"/>
                <w:sz w:val="17"/>
              </w:rPr>
              <w:t>Stratified Cross-Validation</w:t>
            </w:r>
          </w:p>
        </w:tc>
        <w:tc>
          <w:tcPr>
            <w:tcW w:w="8511" w:type="dxa"/>
            <w:tcBorders/>
            <w:tcMar>
              <w:top w:w="80" w:type="dxa"/>
              <w:bottom w:w="80" w:type="dxa"/>
            </w:tcMar>
            <w:vAlign w:val="center"/>
          </w:tcPr>
          <w:p w14:paraId="67ED6981">
            <w:pPr>
              <w:pStyle w:val="style0"/>
              <w:keepNext/>
              <w:rPr/>
            </w:pPr>
            <w:r>
              <w:rPr>
                <w:b w:val="false"/>
                <w:color w:val="000000"/>
                <w:sz w:val="17"/>
              </w:rPr>
              <w:t>Rigorous historical testing across multiple seasonal subsets to guarantee model consistency.</w:t>
            </w:r>
          </w:p>
        </w:tc>
      </w:tr>
      <w:tr w14:paraId="13AA8D9A">
        <w:tblPrEx/>
        <w:trPr>
          <w:cantSplit/>
          <w:trHeight w:val="925" w:hRule="atLeast"/>
          <w:jc w:val="center"/>
        </w:trPr>
        <w:tc>
          <w:tcPr>
            <w:tcW w:w="2321" w:type="dxa"/>
            <w:tcBorders/>
            <w:tcMar>
              <w:top w:w="80" w:type="dxa"/>
              <w:bottom w:w="80" w:type="dxa"/>
            </w:tcMar>
            <w:vAlign w:val="center"/>
          </w:tcPr>
          <w:p w14:paraId="CB7761EA">
            <w:pPr>
              <w:pStyle w:val="style0"/>
              <w:rPr/>
            </w:pPr>
            <w:r>
              <w:rPr>
                <w:b w:val="false"/>
                <w:color w:val="000000"/>
                <w:sz w:val="17"/>
              </w:rPr>
              <w:t>SHAP Value Contributions</w:t>
            </w:r>
          </w:p>
        </w:tc>
        <w:tc>
          <w:tcPr>
            <w:tcW w:w="8511" w:type="dxa"/>
            <w:tcBorders/>
            <w:tcMar>
              <w:top w:w="80" w:type="dxa"/>
              <w:bottom w:w="80" w:type="dxa"/>
            </w:tcMar>
            <w:vAlign w:val="center"/>
          </w:tcPr>
          <w:p w14:paraId="0522CC56">
            <w:pPr>
              <w:pStyle w:val="style0"/>
              <w:rPr/>
            </w:pPr>
            <w:r>
              <w:rPr>
                <w:b w:val="false"/>
                <w:color w:val="000000"/>
                <w:sz w:val="17"/>
              </w:rPr>
              <w:t>Clear factor rankings showing exactly which pollutants drive each category prediction.</w:t>
            </w:r>
          </w:p>
        </w:tc>
      </w:tr>
    </w:tbl>
    <w:p w14:paraId="732886CB">
      <w:pPr>
        <w:pStyle w:val="style0"/>
        <w:rPr/>
      </w:pPr>
    </w:p>
    <w:p w14:paraId="4ABFF394">
      <w:pPr>
        <w:pStyle w:val="style1"/>
        <w:spacing w:before="200" w:after="100"/>
        <w:rPr/>
      </w:pPr>
      <w:r>
        <w:t>6. Future Work&amp;Strategic Roadmap</w:t>
      </w:r>
    </w:p>
    <w:p w14:paraId="2341D82C">
      <w:pPr>
        <w:pStyle w:val="style0"/>
        <w:rPr/>
      </w:pPr>
      <w:r>
        <w:t>To advance this educational prototype into a production-grade forecasting platform, the following strategic enhancements are recommended:</w:t>
      </w:r>
    </w:p>
    <w:p w14:paraId="4988199A">
      <w:pPr>
        <w:pStyle w:val="style48"/>
        <w:keepNext/>
        <w:spacing w:after="60"/>
        <w:rPr/>
      </w:pPr>
      <w:r>
        <w:rPr>
          <w:b/>
        </w:rPr>
        <w:t xml:space="preserve">Integration of Meteorological Wind Vectors: </w:t>
      </w:r>
      <w:r>
        <w:t>Incorporate wind speed and direction data to model pollutant dispersion dynamic patterns across urban sectors.</w:t>
      </w:r>
    </w:p>
    <w:p w14:paraId="D286D1CD">
      <w:pPr>
        <w:pStyle w:val="style48"/>
        <w:keepNext/>
        <w:spacing w:after="60"/>
        <w:rPr/>
      </w:pPr>
      <w:r>
        <w:rPr>
          <w:b/>
        </w:rPr>
        <w:t xml:space="preserve">Probability Calibration &amp; Alert Thresholding: </w:t>
      </w:r>
      <w:r>
        <w:t>Apply Platt Scaling or Isotonic Regression to calibrate raw model probabilities, allowing custom risk tolerance tuning for public advisories.</w:t>
      </w:r>
    </w:p>
    <w:p w14:paraId="78A72691">
      <w:pPr>
        <w:pStyle w:val="style48"/>
        <w:spacing w:after="60"/>
        <w:rPr/>
      </w:pPr>
      <w:r>
        <w:rPr>
          <w:b/>
        </w:rPr>
        <w:t xml:space="preserve">Automated Continuous Retraining Pipeline: </w:t>
      </w:r>
      <w:r>
        <w:t>Establish continuous monitoring for data and concept drift, automatically triggering retraining when environmental patterns shift.</w:t>
      </w:r>
    </w:p>
    <w:p w14:paraId="D88A6144">
      <w:pPr>
        <w:pStyle w:val="style1"/>
        <w:spacing w:before="200" w:after="100"/>
        <w:rPr/>
      </w:pPr>
    </w:p>
    <w:p w14:paraId="D4B556FD">
      <w:pPr>
        <w:pStyle w:val="style1"/>
        <w:spacing w:before="200" w:after="100"/>
        <w:rPr/>
      </w:pPr>
    </w:p>
    <w:p w14:paraId="F4015067">
      <w:pPr>
        <w:pStyle w:val="style0"/>
        <w:numPr>
          <w:ilvl w:val="0"/>
          <w:numId w:val="0"/>
        </w:numPr>
        <w:spacing w:before="200" w:after="100"/>
        <w:rPr/>
      </w:pPr>
    </w:p>
    <w:p w14:paraId="A3B45E5F">
      <w:pPr>
        <w:pStyle w:val="style0"/>
        <w:numPr>
          <w:ilvl w:val="0"/>
          <w:numId w:val="0"/>
        </w:numPr>
        <w:spacing w:before="200" w:after="100"/>
        <w:rPr/>
      </w:pPr>
    </w:p>
    <w:p w14:paraId="8447C583">
      <w:pPr>
        <w:pStyle w:val="style0"/>
        <w:numPr>
          <w:ilvl w:val="0"/>
          <w:numId w:val="0"/>
        </w:numPr>
        <w:spacing w:before="200" w:after="100"/>
        <w:rPr/>
      </w:pPr>
    </w:p>
    <w:p w14:paraId="7CF45745">
      <w:pPr>
        <w:pStyle w:val="style0"/>
        <w:numPr>
          <w:ilvl w:val="0"/>
          <w:numId w:val="0"/>
        </w:numPr>
        <w:spacing w:before="200" w:after="100"/>
        <w:rPr/>
      </w:pPr>
    </w:p>
    <w:p w14:paraId="BA5A5803">
      <w:pPr>
        <w:pStyle w:val="style1"/>
        <w:spacing w:before="200" w:after="100"/>
        <w:rPr/>
      </w:pPr>
      <w:r>
        <w:t>7. 33-Hour Planned Effort Allocation</w:t>
      </w:r>
    </w:p>
    <w:p w14:paraId="C5FC50F4">
      <w:pPr>
        <w:pStyle w:val="style0"/>
        <w:rPr/>
      </w:pPr>
      <w:r>
        <w:t>The 33-hour work plan for Week 4 ensures balanced attention between technical synthesis, visual asset creation, and executive communication refinement:</w:t>
      </w:r>
    </w:p>
    <w:tbl>
      <w:tblPr>
        <w:tblW w:w="10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5"/>
        <w:gridCol w:w="2805"/>
        <w:gridCol w:w="5400"/>
        <w:gridCol w:w="1334"/>
      </w:tblGrid>
      <w:tr w14:paraId="2223AF36">
        <w:trPr>
          <w:cantSplit/>
          <w:trHeight w:val="482" w:hRule="atLeast"/>
          <w:tblHeader/>
          <w:jc w:val="center"/>
        </w:trPr>
        <w:tc>
          <w:tcPr>
            <w:tcW w:w="935" w:type="dxa"/>
            <w:tcBorders/>
            <w:shd w:val="clear" w:color="auto" w:fill="1f4e78"/>
            <w:tcMar>
              <w:top w:w="80" w:type="dxa"/>
              <w:bottom w:w="80" w:type="dxa"/>
            </w:tcMar>
            <w:vAlign w:val="center"/>
          </w:tcPr>
          <w:p w14:paraId="AB34BF6A">
            <w:pPr>
              <w:pStyle w:val="style0"/>
              <w:keepNext/>
              <w:rPr/>
            </w:pPr>
            <w:r>
              <w:rPr>
                <w:b/>
                <w:color w:val="ffffff"/>
                <w:sz w:val="18"/>
              </w:rPr>
              <w:t>Phase</w:t>
            </w:r>
          </w:p>
        </w:tc>
        <w:tc>
          <w:tcPr>
            <w:tcW w:w="2805" w:type="dxa"/>
            <w:tcBorders/>
            <w:shd w:val="clear" w:color="auto" w:fill="1f4e78"/>
            <w:tcMar>
              <w:top w:w="80" w:type="dxa"/>
              <w:bottom w:w="80" w:type="dxa"/>
            </w:tcMar>
            <w:vAlign w:val="center"/>
          </w:tcPr>
          <w:p w14:paraId="6E3C4B87">
            <w:pPr>
              <w:pStyle w:val="style0"/>
              <w:keepNext/>
              <w:rPr/>
            </w:pPr>
            <w:r>
              <w:rPr>
                <w:b/>
                <w:color w:val="ffffff"/>
                <w:sz w:val="18"/>
              </w:rPr>
              <w:t>Work Package</w:t>
            </w:r>
          </w:p>
        </w:tc>
        <w:tc>
          <w:tcPr>
            <w:tcW w:w="5400" w:type="dxa"/>
            <w:tcBorders/>
            <w:shd w:val="clear" w:color="auto" w:fill="1f4e78"/>
            <w:tcMar>
              <w:top w:w="80" w:type="dxa"/>
              <w:bottom w:w="80" w:type="dxa"/>
            </w:tcMar>
            <w:vAlign w:val="center"/>
          </w:tcPr>
          <w:p w14:paraId="BD36E5A9">
            <w:pPr>
              <w:pStyle w:val="style0"/>
              <w:keepNext/>
              <w:rPr/>
            </w:pPr>
            <w:r>
              <w:rPr>
                <w:b/>
                <w:color w:val="ffffff"/>
                <w:sz w:val="18"/>
              </w:rPr>
              <w:t>Key Activities&amp;Outputs</w:t>
            </w:r>
          </w:p>
        </w:tc>
        <w:tc>
          <w:tcPr>
            <w:tcW w:w="1334" w:type="dxa"/>
            <w:tcBorders/>
            <w:shd w:val="clear" w:color="auto" w:fill="1f4e78"/>
            <w:tcMar>
              <w:top w:w="80" w:type="dxa"/>
              <w:bottom w:w="80" w:type="dxa"/>
            </w:tcMar>
            <w:vAlign w:val="center"/>
          </w:tcPr>
          <w:p w14:paraId="8220CC2D">
            <w:pPr>
              <w:pStyle w:val="style0"/>
              <w:keepNext/>
              <w:rPr/>
            </w:pPr>
            <w:r>
              <w:rPr>
                <w:b/>
                <w:color w:val="ffffff"/>
                <w:sz w:val="18"/>
              </w:rPr>
              <w:t>Planned Hours</w:t>
            </w:r>
          </w:p>
        </w:tc>
      </w:tr>
      <w:tr w14:paraId="FDA74EE5">
        <w:tblPrEx/>
        <w:trPr>
          <w:cantSplit/>
          <w:trHeight w:val="471" w:hRule="atLeast"/>
          <w:jc w:val="center"/>
        </w:trPr>
        <w:tc>
          <w:tcPr>
            <w:tcW w:w="935" w:type="dxa"/>
            <w:tcBorders/>
            <w:tcMar>
              <w:top w:w="80" w:type="dxa"/>
              <w:bottom w:w="80" w:type="dxa"/>
            </w:tcMar>
            <w:vAlign w:val="center"/>
          </w:tcPr>
          <w:p w14:paraId="EE03B1B8">
            <w:pPr>
              <w:pStyle w:val="style0"/>
              <w:keepNext/>
              <w:rPr/>
            </w:pPr>
            <w:r>
              <w:rPr>
                <w:b w:val="false"/>
                <w:color w:val="000000"/>
                <w:sz w:val="17"/>
              </w:rPr>
              <w:t>1</w:t>
            </w:r>
          </w:p>
        </w:tc>
        <w:tc>
          <w:tcPr>
            <w:tcW w:w="2805" w:type="dxa"/>
            <w:tcBorders/>
            <w:tcMar>
              <w:top w:w="80" w:type="dxa"/>
              <w:bottom w:w="80" w:type="dxa"/>
            </w:tcMar>
            <w:vAlign w:val="center"/>
          </w:tcPr>
          <w:p w14:paraId="D3FF9A53">
            <w:pPr>
              <w:pStyle w:val="style0"/>
              <w:keepNext/>
              <w:rPr/>
            </w:pPr>
            <w:r>
              <w:rPr>
                <w:b w:val="false"/>
                <w:color w:val="000000"/>
                <w:sz w:val="17"/>
              </w:rPr>
              <w:t>Executive Synthesis</w:t>
            </w:r>
          </w:p>
        </w:tc>
        <w:tc>
          <w:tcPr>
            <w:tcW w:w="5400" w:type="dxa"/>
            <w:tcBorders/>
            <w:tcMar>
              <w:top w:w="80" w:type="dxa"/>
              <w:bottom w:w="80" w:type="dxa"/>
            </w:tcMar>
            <w:vAlign w:val="center"/>
          </w:tcPr>
          <w:p w14:paraId="EF3FDA6F">
            <w:pPr>
              <w:pStyle w:val="style0"/>
              <w:keepNext/>
              <w:rPr/>
            </w:pPr>
            <w:r>
              <w:rPr>
                <w:b w:val="false"/>
                <w:color w:val="000000"/>
                <w:sz w:val="17"/>
              </w:rPr>
              <w:t>Consolidate findings from Weeks 1-3 into core messaging.</w:t>
            </w:r>
          </w:p>
        </w:tc>
        <w:tc>
          <w:tcPr>
            <w:tcW w:w="1334" w:type="dxa"/>
            <w:tcBorders/>
            <w:tcMar>
              <w:top w:w="80" w:type="dxa"/>
              <w:bottom w:w="80" w:type="dxa"/>
            </w:tcMar>
            <w:vAlign w:val="center"/>
          </w:tcPr>
          <w:p w14:paraId="0021DEB3">
            <w:pPr>
              <w:pStyle w:val="style0"/>
              <w:keepNext/>
              <w:rPr/>
            </w:pPr>
            <w:r>
              <w:rPr>
                <w:b w:val="false"/>
                <w:color w:val="000000"/>
                <w:sz w:val="17"/>
              </w:rPr>
              <w:t>4 hrs</w:t>
            </w:r>
          </w:p>
        </w:tc>
      </w:tr>
      <w:tr w14:paraId="7BCBF5E8">
        <w:tblPrEx/>
        <w:trPr>
          <w:cantSplit/>
          <w:trHeight w:val="471" w:hRule="atLeast"/>
          <w:jc w:val="center"/>
        </w:trPr>
        <w:tc>
          <w:tcPr>
            <w:tcW w:w="935" w:type="dxa"/>
            <w:tcBorders/>
            <w:tcMar>
              <w:top w:w="80" w:type="dxa"/>
              <w:bottom w:w="80" w:type="dxa"/>
            </w:tcMar>
            <w:vAlign w:val="center"/>
          </w:tcPr>
          <w:p w14:paraId="83BA0B07">
            <w:pPr>
              <w:pStyle w:val="style0"/>
              <w:keepNext/>
              <w:rPr/>
            </w:pPr>
            <w:r>
              <w:rPr>
                <w:b w:val="false"/>
                <w:color w:val="000000"/>
                <w:sz w:val="17"/>
              </w:rPr>
              <w:t>2</w:t>
            </w:r>
          </w:p>
        </w:tc>
        <w:tc>
          <w:tcPr>
            <w:tcW w:w="2805" w:type="dxa"/>
            <w:tcBorders/>
            <w:tcMar>
              <w:top w:w="80" w:type="dxa"/>
              <w:bottom w:w="80" w:type="dxa"/>
            </w:tcMar>
            <w:vAlign w:val="center"/>
          </w:tcPr>
          <w:p w14:paraId="5A32A3F3">
            <w:pPr>
              <w:pStyle w:val="style0"/>
              <w:keepNext/>
              <w:rPr/>
            </w:pPr>
            <w:r>
              <w:rPr>
                <w:b w:val="false"/>
                <w:color w:val="000000"/>
                <w:sz w:val="17"/>
              </w:rPr>
              <w:t>Methodology Review</w:t>
            </w:r>
          </w:p>
        </w:tc>
        <w:tc>
          <w:tcPr>
            <w:tcW w:w="5400" w:type="dxa"/>
            <w:tcBorders/>
            <w:tcMar>
              <w:top w:w="80" w:type="dxa"/>
              <w:bottom w:w="80" w:type="dxa"/>
            </w:tcMar>
            <w:vAlign w:val="center"/>
          </w:tcPr>
          <w:p w14:paraId="F779397E">
            <w:pPr>
              <w:pStyle w:val="style0"/>
              <w:keepNext/>
              <w:rPr/>
            </w:pPr>
            <w:r>
              <w:rPr>
                <w:b w:val="false"/>
                <w:color w:val="000000"/>
                <w:sz w:val="17"/>
              </w:rPr>
              <w:t>Summarize data cleaning, ML models, and validation strategy.</w:t>
            </w:r>
          </w:p>
        </w:tc>
        <w:tc>
          <w:tcPr>
            <w:tcW w:w="1334" w:type="dxa"/>
            <w:tcBorders/>
            <w:tcMar>
              <w:top w:w="80" w:type="dxa"/>
              <w:bottom w:w="80" w:type="dxa"/>
            </w:tcMar>
            <w:vAlign w:val="center"/>
          </w:tcPr>
          <w:p w14:paraId="C008A7AE">
            <w:pPr>
              <w:pStyle w:val="style0"/>
              <w:keepNext/>
              <w:rPr/>
            </w:pPr>
            <w:r>
              <w:rPr>
                <w:b w:val="false"/>
                <w:color w:val="000000"/>
                <w:sz w:val="17"/>
              </w:rPr>
              <w:t>5 hrs</w:t>
            </w:r>
          </w:p>
        </w:tc>
      </w:tr>
      <w:tr w14:paraId="DB83E3A7">
        <w:tblPrEx/>
        <w:trPr>
          <w:cantSplit/>
          <w:trHeight w:val="471" w:hRule="atLeast"/>
          <w:jc w:val="center"/>
        </w:trPr>
        <w:tc>
          <w:tcPr>
            <w:tcW w:w="935" w:type="dxa"/>
            <w:tcBorders/>
            <w:tcMar>
              <w:top w:w="80" w:type="dxa"/>
              <w:bottom w:w="80" w:type="dxa"/>
            </w:tcMar>
            <w:vAlign w:val="center"/>
          </w:tcPr>
          <w:p w14:paraId="1C2859F4">
            <w:pPr>
              <w:pStyle w:val="style0"/>
              <w:keepNext/>
              <w:rPr/>
            </w:pPr>
            <w:r>
              <w:rPr>
                <w:b w:val="false"/>
                <w:color w:val="000000"/>
                <w:sz w:val="17"/>
              </w:rPr>
              <w:t>3</w:t>
            </w:r>
          </w:p>
        </w:tc>
        <w:tc>
          <w:tcPr>
            <w:tcW w:w="2805" w:type="dxa"/>
            <w:tcBorders/>
            <w:tcMar>
              <w:top w:w="80" w:type="dxa"/>
              <w:bottom w:w="80" w:type="dxa"/>
            </w:tcMar>
            <w:vAlign w:val="center"/>
          </w:tcPr>
          <w:p w14:paraId="3E1E44BE">
            <w:pPr>
              <w:pStyle w:val="style0"/>
              <w:keepNext/>
              <w:rPr/>
            </w:pPr>
            <w:r>
              <w:rPr>
                <w:b w:val="false"/>
                <w:color w:val="000000"/>
                <w:sz w:val="17"/>
              </w:rPr>
              <w:t>Insights&amp;Analysis</w:t>
            </w:r>
          </w:p>
        </w:tc>
        <w:tc>
          <w:tcPr>
            <w:tcW w:w="5400" w:type="dxa"/>
            <w:tcBorders/>
            <w:tcMar>
              <w:top w:w="80" w:type="dxa"/>
              <w:bottom w:w="80" w:type="dxa"/>
            </w:tcMar>
            <w:vAlign w:val="center"/>
          </w:tcPr>
          <w:p w14:paraId="E0B59654">
            <w:pPr>
              <w:pStyle w:val="style0"/>
              <w:keepNext/>
              <w:rPr/>
            </w:pPr>
            <w:r>
              <w:rPr>
                <w:b w:val="false"/>
                <w:color w:val="000000"/>
                <w:sz w:val="17"/>
              </w:rPr>
              <w:t>Detail key findings, risk drivers, and policy recommendations.</w:t>
            </w:r>
          </w:p>
        </w:tc>
        <w:tc>
          <w:tcPr>
            <w:tcW w:w="1334" w:type="dxa"/>
            <w:tcBorders/>
            <w:tcMar>
              <w:top w:w="80" w:type="dxa"/>
              <w:bottom w:w="80" w:type="dxa"/>
            </w:tcMar>
            <w:vAlign w:val="center"/>
          </w:tcPr>
          <w:p w14:paraId="10C45235">
            <w:pPr>
              <w:pStyle w:val="style0"/>
              <w:keepNext/>
              <w:rPr/>
            </w:pPr>
            <w:r>
              <w:rPr>
                <w:b w:val="false"/>
                <w:color w:val="000000"/>
                <w:sz w:val="17"/>
              </w:rPr>
              <w:t>5 hrs</w:t>
            </w:r>
          </w:p>
        </w:tc>
      </w:tr>
      <w:tr w14:paraId="6A1D03D3">
        <w:tblPrEx/>
        <w:trPr>
          <w:cantSplit/>
          <w:trHeight w:val="471" w:hRule="atLeast"/>
          <w:jc w:val="center"/>
        </w:trPr>
        <w:tc>
          <w:tcPr>
            <w:tcW w:w="935" w:type="dxa"/>
            <w:tcBorders/>
            <w:tcMar>
              <w:top w:w="80" w:type="dxa"/>
              <w:bottom w:w="80" w:type="dxa"/>
            </w:tcMar>
            <w:vAlign w:val="center"/>
          </w:tcPr>
          <w:p w14:paraId="C66C6B50">
            <w:pPr>
              <w:pStyle w:val="style0"/>
              <w:keepNext/>
              <w:rPr/>
            </w:pPr>
            <w:r>
              <w:rPr>
                <w:b w:val="false"/>
                <w:color w:val="000000"/>
                <w:sz w:val="17"/>
              </w:rPr>
              <w:t>4</w:t>
            </w:r>
          </w:p>
        </w:tc>
        <w:tc>
          <w:tcPr>
            <w:tcW w:w="2805" w:type="dxa"/>
            <w:tcBorders/>
            <w:tcMar>
              <w:top w:w="80" w:type="dxa"/>
              <w:bottom w:w="80" w:type="dxa"/>
            </w:tcMar>
            <w:vAlign w:val="center"/>
          </w:tcPr>
          <w:p w14:paraId="679D3BB0">
            <w:pPr>
              <w:pStyle w:val="style0"/>
              <w:keepNext/>
              <w:rPr/>
            </w:pPr>
            <w:r>
              <w:rPr>
                <w:b w:val="false"/>
                <w:color w:val="000000"/>
                <w:sz w:val="17"/>
              </w:rPr>
              <w:t>Visualizations Plan</w:t>
            </w:r>
          </w:p>
        </w:tc>
        <w:tc>
          <w:tcPr>
            <w:tcW w:w="5400" w:type="dxa"/>
            <w:tcBorders/>
            <w:tcMar>
              <w:top w:w="80" w:type="dxa"/>
              <w:bottom w:w="80" w:type="dxa"/>
            </w:tcMar>
            <w:vAlign w:val="center"/>
          </w:tcPr>
          <w:p w14:paraId="0EE3992D">
            <w:pPr>
              <w:pStyle w:val="style0"/>
              <w:keepNext/>
              <w:rPr/>
            </w:pPr>
            <w:r>
              <w:rPr>
                <w:b w:val="false"/>
                <w:color w:val="000000"/>
                <w:sz w:val="17"/>
              </w:rPr>
              <w:t>Design mock-up charts, confusion matrices, and SHAP plots.</w:t>
            </w:r>
          </w:p>
        </w:tc>
        <w:tc>
          <w:tcPr>
            <w:tcW w:w="1334" w:type="dxa"/>
            <w:tcBorders/>
            <w:tcMar>
              <w:top w:w="80" w:type="dxa"/>
              <w:bottom w:w="80" w:type="dxa"/>
            </w:tcMar>
            <w:vAlign w:val="center"/>
          </w:tcPr>
          <w:p w14:paraId="262F0E8F">
            <w:pPr>
              <w:pStyle w:val="style0"/>
              <w:keepNext/>
              <w:rPr/>
            </w:pPr>
            <w:r>
              <w:rPr>
                <w:b w:val="false"/>
                <w:color w:val="000000"/>
                <w:sz w:val="17"/>
              </w:rPr>
              <w:t>5 hrs</w:t>
            </w:r>
          </w:p>
        </w:tc>
      </w:tr>
      <w:tr w14:paraId="3CFC1C37">
        <w:tblPrEx/>
        <w:trPr>
          <w:cantSplit/>
          <w:trHeight w:val="471" w:hRule="atLeast"/>
          <w:jc w:val="center"/>
        </w:trPr>
        <w:tc>
          <w:tcPr>
            <w:tcW w:w="935" w:type="dxa"/>
            <w:tcBorders/>
            <w:tcMar>
              <w:top w:w="80" w:type="dxa"/>
              <w:bottom w:w="80" w:type="dxa"/>
            </w:tcMar>
            <w:vAlign w:val="center"/>
          </w:tcPr>
          <w:p w14:paraId="9418F47A">
            <w:pPr>
              <w:pStyle w:val="style0"/>
              <w:keepNext/>
              <w:rPr/>
            </w:pPr>
            <w:r>
              <w:rPr>
                <w:b w:val="false"/>
                <w:color w:val="000000"/>
                <w:sz w:val="17"/>
              </w:rPr>
              <w:t>5</w:t>
            </w:r>
          </w:p>
        </w:tc>
        <w:tc>
          <w:tcPr>
            <w:tcW w:w="2805" w:type="dxa"/>
            <w:tcBorders/>
            <w:tcMar>
              <w:top w:w="80" w:type="dxa"/>
              <w:bottom w:w="80" w:type="dxa"/>
            </w:tcMar>
            <w:vAlign w:val="center"/>
          </w:tcPr>
          <w:p w14:paraId="B2D11643">
            <w:pPr>
              <w:pStyle w:val="style0"/>
              <w:keepNext/>
              <w:rPr/>
            </w:pPr>
            <w:r>
              <w:rPr>
                <w:b w:val="false"/>
                <w:color w:val="000000"/>
                <w:sz w:val="17"/>
              </w:rPr>
              <w:t>Presentation Strategy</w:t>
            </w:r>
          </w:p>
        </w:tc>
        <w:tc>
          <w:tcPr>
            <w:tcW w:w="5400" w:type="dxa"/>
            <w:tcBorders/>
            <w:tcMar>
              <w:top w:w="80" w:type="dxa"/>
              <w:bottom w:w="80" w:type="dxa"/>
            </w:tcMar>
            <w:vAlign w:val="center"/>
          </w:tcPr>
          <w:p w14:paraId="EDA73E4E">
            <w:pPr>
              <w:pStyle w:val="style0"/>
              <w:keepNext/>
              <w:rPr/>
            </w:pPr>
            <w:r>
              <w:rPr>
                <w:b w:val="false"/>
                <w:color w:val="000000"/>
                <w:sz w:val="17"/>
              </w:rPr>
              <w:t>Develop non-technical narrative and executive slide outline.</w:t>
            </w:r>
          </w:p>
        </w:tc>
        <w:tc>
          <w:tcPr>
            <w:tcW w:w="1334" w:type="dxa"/>
            <w:tcBorders/>
            <w:tcMar>
              <w:top w:w="80" w:type="dxa"/>
              <w:bottom w:w="80" w:type="dxa"/>
            </w:tcMar>
            <w:vAlign w:val="center"/>
          </w:tcPr>
          <w:p w14:paraId="90A091FE">
            <w:pPr>
              <w:pStyle w:val="style0"/>
              <w:keepNext/>
              <w:rPr/>
            </w:pPr>
            <w:r>
              <w:rPr>
                <w:b w:val="false"/>
                <w:color w:val="000000"/>
                <w:sz w:val="17"/>
              </w:rPr>
              <w:t>5 hrs</w:t>
            </w:r>
          </w:p>
        </w:tc>
      </w:tr>
      <w:tr w14:paraId="CFBE0A32">
        <w:tblPrEx/>
        <w:trPr>
          <w:cantSplit/>
          <w:trHeight w:val="471" w:hRule="atLeast"/>
          <w:jc w:val="center"/>
        </w:trPr>
        <w:tc>
          <w:tcPr>
            <w:tcW w:w="935" w:type="dxa"/>
            <w:tcBorders/>
            <w:tcMar>
              <w:top w:w="80" w:type="dxa"/>
              <w:bottom w:w="80" w:type="dxa"/>
            </w:tcMar>
            <w:vAlign w:val="center"/>
          </w:tcPr>
          <w:p w14:paraId="9410C3B1">
            <w:pPr>
              <w:pStyle w:val="style0"/>
              <w:keepNext/>
              <w:rPr/>
            </w:pPr>
            <w:r>
              <w:rPr>
                <w:b w:val="false"/>
                <w:color w:val="000000"/>
                <w:sz w:val="17"/>
              </w:rPr>
              <w:t>6</w:t>
            </w:r>
          </w:p>
        </w:tc>
        <w:tc>
          <w:tcPr>
            <w:tcW w:w="2805" w:type="dxa"/>
            <w:tcBorders/>
            <w:tcMar>
              <w:top w:w="80" w:type="dxa"/>
              <w:bottom w:w="80" w:type="dxa"/>
            </w:tcMar>
            <w:vAlign w:val="center"/>
          </w:tcPr>
          <w:p w14:paraId="C2153F7B">
            <w:pPr>
              <w:pStyle w:val="style0"/>
              <w:keepNext/>
              <w:rPr/>
            </w:pPr>
            <w:r>
              <w:rPr>
                <w:b w:val="false"/>
                <w:color w:val="000000"/>
                <w:sz w:val="17"/>
              </w:rPr>
              <w:t>Future Roadmap</w:t>
            </w:r>
          </w:p>
        </w:tc>
        <w:tc>
          <w:tcPr>
            <w:tcW w:w="5400" w:type="dxa"/>
            <w:tcBorders/>
            <w:tcMar>
              <w:top w:w="80" w:type="dxa"/>
              <w:bottom w:w="80" w:type="dxa"/>
            </w:tcMar>
            <w:vAlign w:val="center"/>
          </w:tcPr>
          <w:p w14:paraId="440858A9">
            <w:pPr>
              <w:pStyle w:val="style0"/>
              <w:keepNext/>
              <w:rPr/>
            </w:pPr>
            <w:r>
              <w:rPr>
                <w:b w:val="false"/>
                <w:color w:val="000000"/>
                <w:sz w:val="17"/>
              </w:rPr>
              <w:t>Formulate deployment, drift monitoring, and enhancement steps.</w:t>
            </w:r>
          </w:p>
        </w:tc>
        <w:tc>
          <w:tcPr>
            <w:tcW w:w="1334" w:type="dxa"/>
            <w:tcBorders/>
            <w:tcMar>
              <w:top w:w="80" w:type="dxa"/>
              <w:bottom w:w="80" w:type="dxa"/>
            </w:tcMar>
            <w:vAlign w:val="center"/>
          </w:tcPr>
          <w:p w14:paraId="D1CE7FB2">
            <w:pPr>
              <w:pStyle w:val="style0"/>
              <w:keepNext/>
              <w:rPr/>
            </w:pPr>
            <w:r>
              <w:rPr>
                <w:b w:val="false"/>
                <w:color w:val="000000"/>
                <w:sz w:val="17"/>
              </w:rPr>
              <w:t>4 hrs</w:t>
            </w:r>
          </w:p>
        </w:tc>
      </w:tr>
      <w:tr w14:paraId="BDEF423A">
        <w:tblPrEx/>
        <w:trPr>
          <w:cantSplit/>
          <w:trHeight w:val="471" w:hRule="atLeast"/>
          <w:jc w:val="center"/>
        </w:trPr>
        <w:tc>
          <w:tcPr>
            <w:tcW w:w="935" w:type="dxa"/>
            <w:tcBorders/>
            <w:tcMar>
              <w:top w:w="80" w:type="dxa"/>
              <w:bottom w:w="80" w:type="dxa"/>
            </w:tcMar>
            <w:vAlign w:val="center"/>
          </w:tcPr>
          <w:p w14:paraId="7D5FB3BD">
            <w:pPr>
              <w:pStyle w:val="style0"/>
              <w:rPr/>
            </w:pPr>
            <w:r>
              <w:rPr>
                <w:b w:val="false"/>
                <w:color w:val="000000"/>
                <w:sz w:val="17"/>
              </w:rPr>
              <w:t>7</w:t>
            </w:r>
          </w:p>
        </w:tc>
        <w:tc>
          <w:tcPr>
            <w:tcW w:w="2805" w:type="dxa"/>
            <w:tcBorders/>
            <w:tcMar>
              <w:top w:w="80" w:type="dxa"/>
              <w:bottom w:w="80" w:type="dxa"/>
            </w:tcMar>
            <w:vAlign w:val="center"/>
          </w:tcPr>
          <w:p w14:paraId="AFD236DF">
            <w:pPr>
              <w:pStyle w:val="style0"/>
              <w:rPr/>
            </w:pPr>
            <w:r>
              <w:rPr>
                <w:b w:val="false"/>
                <w:color w:val="000000"/>
                <w:sz w:val="17"/>
              </w:rPr>
              <w:t>Review&amp;Polish</w:t>
            </w:r>
          </w:p>
        </w:tc>
        <w:tc>
          <w:tcPr>
            <w:tcW w:w="5400" w:type="dxa"/>
            <w:tcBorders/>
            <w:tcMar>
              <w:top w:w="80" w:type="dxa"/>
              <w:bottom w:w="80" w:type="dxa"/>
            </w:tcMar>
            <w:vAlign w:val="center"/>
          </w:tcPr>
          <w:p w14:paraId="53DF872E">
            <w:pPr>
              <w:pStyle w:val="style0"/>
              <w:rPr/>
            </w:pPr>
            <w:r>
              <w:rPr>
                <w:b w:val="false"/>
                <w:color w:val="000000"/>
                <w:sz w:val="17"/>
              </w:rPr>
              <w:t>Final editing, visual layout check, and DOC export polishing.</w:t>
            </w:r>
          </w:p>
        </w:tc>
        <w:tc>
          <w:tcPr>
            <w:tcW w:w="1334" w:type="dxa"/>
            <w:tcBorders/>
            <w:tcMar>
              <w:top w:w="80" w:type="dxa"/>
              <w:bottom w:w="80" w:type="dxa"/>
            </w:tcMar>
            <w:vAlign w:val="center"/>
          </w:tcPr>
          <w:p w14:paraId="071268EE">
            <w:pPr>
              <w:pStyle w:val="style0"/>
              <w:rPr/>
            </w:pPr>
            <w:r>
              <w:rPr>
                <w:b w:val="false"/>
                <w:color w:val="000000"/>
                <w:sz w:val="17"/>
              </w:rPr>
              <w:t>5 hrs</w:t>
            </w:r>
          </w:p>
        </w:tc>
      </w:tr>
    </w:tbl>
    <w:p w14:paraId="ED57FA48">
      <w:pPr>
        <w:pStyle w:val="style0"/>
        <w:rPr/>
      </w:pPr>
    </w:p>
    <w:p w14:paraId="B01920BA">
      <w:pPr>
        <w:pStyle w:val="style1"/>
        <w:spacing w:before="200" w:after="100"/>
        <w:rPr/>
      </w:pPr>
      <w:r>
        <w:t>8. Conclusion</w:t>
      </w:r>
    </w:p>
    <w:p w14:paraId="EF9282B7">
      <w:pPr>
        <w:pStyle w:val="style0"/>
        <w:rPr/>
      </w:pPr>
      <w:r>
        <w:t>This Week 4 plan establishes a rigorous framework for transforming complex machine learning research into an executive-ready report and strategic presentation. By combining technical accuracy with clear non-technical communication, this plan ensures that analytical insights directly drive informed decision-making and organizational action.</w:t>
      </w:r>
    </w:p>
    <w:sectPr>
      <w:footerReference w:type="default" r:id="rId2"/>
      <w:pgSz w:w="12240" w:h="15840" w:orient="portrait"/>
      <w:pgMar w:top="936" w:right="1080" w:bottom="936" w:left="108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auto"/>
    <w:pitch w:val="variable"/>
    <w:sig w:usb0="E0002AFF" w:usb1="C0007841"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altName w:val="Arial"/>
    <w:panose1 w:val="020b0604020000020204"/>
    <w:charset w:val="00"/>
    <w:family w:val="auto"/>
    <w:pitch w:val="variable"/>
    <w:sig w:usb0="E0002AFF" w:usb1="C0007843" w:usb2="00000009" w:usb3="00000000" w:csb0="000001FF" w:csb1="00000000"/>
  </w:font>
  <w:font w:name="Aptos Display">
    <w:altName w:val="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Cambria">
    <w:altName w:val="Cambria"/>
    <w:panose1 w:val="02040503050000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altName w:val="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EC6185">
    <w:pPr>
      <w:pStyle w:val="style32"/>
      <w:tabs>
        <w:tab w:val="center" w:leader="none" w:pos="4680"/>
        <w:tab w:val="right" w:leader="none" w:pos="9360"/>
      </w:tabs>
      <w:jc w:val="center"/>
      <w:rPr/>
    </w:pPr>
    <w:r>
      <w:rPr>
        <w:color w:val="787878"/>
        <w:sz w:val="16"/>
      </w:rPr>
      <w:t>Week 4 Data Science Project Plan • Report and Insights Presentation Plan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1">
    <w:nsid w:val="00000001"/>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2">
    <w:nsid w:val="00000002"/>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D0A62B40"/>
    <w:lvl w:ilvl="0">
      <w:start w:val="1"/>
      <w:numFmt w:val="decimal"/>
      <w:pStyle w:val="style49"/>
      <w:lvlText w:val="%1."/>
      <w:lvlJc w:val="left"/>
      <w:pPr>
        <w:tabs>
          <w:tab w:val="left" w:leader="none" w:pos="360"/>
        </w:tabs>
        <w:ind w:left="360" w:hanging="360"/>
      </w:pPr>
    </w:lvl>
  </w:abstractNum>
  <w:abstractNum w:abstractNumId="4">
    <w:nsid w:val="00000004"/>
    <w:multiLevelType w:val="singleLevel"/>
    <w:tmpl w:val="38441652"/>
    <w:lvl w:ilvl="0">
      <w:start w:val="1"/>
      <w:numFmt w:val="decimal"/>
      <w:pStyle w:val="style58"/>
      <w:lvlText w:val="%1."/>
      <w:lvlJc w:val="left"/>
      <w:pPr>
        <w:tabs>
          <w:tab w:val="left" w:leader="none" w:pos="720"/>
        </w:tabs>
        <w:ind w:left="720" w:hanging="360"/>
      </w:pPr>
    </w:lvl>
  </w:abstractNum>
  <w:abstractNum w:abstractNumId="5">
    <w:nsid w:val="00000005"/>
    <w:multiLevelType w:val="singleLevel"/>
    <w:tmpl w:val="FB12693A"/>
    <w:lvl w:ilvl="0">
      <w:start w:val="1"/>
      <w:numFmt w:val="decimal"/>
      <w:pStyle w:val="style59"/>
      <w:lvlText w:val="%1."/>
      <w:lvlJc w:val="left"/>
      <w:pPr>
        <w:tabs>
          <w:tab w:val="left" w:leader="none"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100" w:lineRule="auto" w:line="259"/>
    </w:pPr>
    <w:rPr>
      <w:rFonts w:ascii="Aptos" w:cs="Arial" w:eastAsia="ＭＳ 明朝" w:hAnsi="Aptos"/>
      <w:sz w:val="20"/>
      <w:szCs w:val="22"/>
      <w:lang w:val="en-US" w:bidi="ar-SA" w:eastAsia="en-US"/>
    </w:rPr>
  </w:style>
  <w:style w:type="paragraph" w:styleId="style1">
    <w:name w:val="heading 1"/>
    <w:basedOn w:val="style0"/>
    <w:next w:val="style0"/>
    <w:pPr>
      <w:keepNext/>
      <w:keepLines/>
      <w:spacing w:before="480" w:after="0"/>
      <w:outlineLvl w:val="0"/>
    </w:pPr>
    <w:rPr>
      <w:rFonts w:ascii="Aptos Display" w:cs="Times New Roman" w:eastAsia="ＭＳ ゴシック" w:hAnsi="Aptos Display"/>
      <w:b/>
      <w:bCs/>
      <w:color w:val="1f4e79"/>
      <w:sz w:val="28"/>
      <w:szCs w:val="28"/>
    </w:rPr>
  </w:style>
  <w:style w:type="paragraph" w:styleId="style2">
    <w:name w:val="heading 2"/>
    <w:basedOn w:val="style0"/>
    <w:next w:val="style0"/>
    <w:pPr>
      <w:keepNext/>
      <w:keepLines/>
      <w:spacing w:before="200" w:after="0"/>
      <w:outlineLvl w:val="1"/>
    </w:pPr>
    <w:rPr>
      <w:rFonts w:ascii="Aptos Display" w:cs="Times New Roman" w:eastAsia="ＭＳ ゴシック" w:hAnsi="Aptos Display"/>
      <w:b/>
      <w:bCs/>
      <w:color w:val="2e74b5"/>
      <w:sz w:val="26"/>
      <w:szCs w:val="26"/>
    </w:rPr>
  </w:style>
  <w:style w:type="paragraph" w:styleId="style3">
    <w:name w:val="heading 3"/>
    <w:basedOn w:val="style0"/>
    <w:next w:val="style0"/>
    <w:pPr>
      <w:keepNext/>
      <w:keepLines/>
      <w:spacing w:before="200" w:after="0"/>
      <w:outlineLvl w:val="2"/>
    </w:pPr>
    <w:rPr>
      <w:rFonts w:ascii="Aptos Display" w:cs="Times New Roman" w:eastAsia="ＭＳ ゴシック" w:hAnsi="Aptos Display"/>
      <w:b/>
      <w:bCs/>
      <w:color w:val="4f81bd"/>
    </w:rPr>
  </w:style>
  <w:style w:type="paragraph" w:styleId="style4">
    <w:name w:val="heading 4"/>
    <w:basedOn w:val="style0"/>
    <w:next w:val="style0"/>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style>
  <w:style w:type="paragraph" w:styleId="style31">
    <w:name w:val="header"/>
    <w:basedOn w:val="style0"/>
    <w:next w:val="style31"/>
    <w:pPr>
      <w:tabs>
        <w:tab w:val="center" w:leader="none" w:pos="4680"/>
        <w:tab w:val="right" w:leader="none" w:pos="9360"/>
      </w:tabs>
      <w:spacing w:after="0" w:lineRule="auto" w:line="240"/>
    </w:pPr>
    <w:rPr/>
  </w:style>
  <w:style w:type="paragraph" w:styleId="style32">
    <w:name w:val="footer"/>
    <w:basedOn w:val="style0"/>
    <w:next w:val="style32"/>
    <w:pPr>
      <w:tabs>
        <w:tab w:val="center" w:leader="none" w:pos="4680"/>
        <w:tab w:val="right" w:leader="none" w:pos="9360"/>
      </w:tabs>
      <w:spacing w:after="0" w:lineRule="auto" w:line="240"/>
    </w:pPr>
    <w:rPr/>
  </w:style>
  <w:style w:type="paragraph" w:customStyle="1" w:styleId="style4097">
    <w:name w:val="No Spacing_d92b56f6-d0e0-43e5-94bf-6ea62cf27079"/>
    <w:next w:val="style4097"/>
    <w:pPr>
      <w:spacing w:after="0" w:lineRule="auto" w:line="240"/>
    </w:pPr>
    <w:rPr>
      <w:rFonts w:ascii="Cambria" w:cs="Arial" w:eastAsia="ＭＳ 明朝" w:hAnsi="Cambria"/>
      <w:sz w:val="22"/>
      <w:szCs w:val="22"/>
      <w:lang w:val="en-US" w:bidi="ar-SA" w:eastAsia="en-US"/>
    </w:rPr>
  </w:style>
  <w:style w:type="paragraph" w:styleId="style62">
    <w:name w:val="Title"/>
    <w:basedOn w:val="style0"/>
    <w:next w:val="style0"/>
    <w:pPr>
      <w:pBdr>
        <w:bottom w:val="single" w:sz="8" w:space="4" w:color="4f81bd"/>
      </w:pBdr>
      <w:spacing w:after="300" w:lineRule="auto" w:line="240"/>
      <w:contextualSpacing/>
    </w:pPr>
    <w:rPr>
      <w:rFonts w:ascii="Aptos Display" w:cs="Times New Roman" w:eastAsia="ＭＳ ゴシック" w:hAnsi="Aptos Display"/>
      <w:color w:val="17365d"/>
      <w:spacing w:val="5"/>
      <w:kern w:val="28"/>
      <w:sz w:val="52"/>
      <w:szCs w:val="52"/>
    </w:rPr>
  </w:style>
  <w:style w:type="paragraph" w:styleId="style74">
    <w:name w:val="Subtitle"/>
    <w:basedOn w:val="style0"/>
    <w:next w:val="style0"/>
    <w:pPr/>
    <w:rPr>
      <w:rFonts w:ascii="Calibri" w:cs="Times New Roman" w:eastAsia="ＭＳ ゴシック" w:hAnsi="Calibri"/>
      <w:i/>
      <w:iCs/>
      <w:color w:val="4f81bd"/>
      <w:spacing w:val="15"/>
      <w:sz w:val="24"/>
      <w:szCs w:val="24"/>
    </w:rPr>
  </w:style>
  <w:style w:type="paragraph" w:customStyle="1" w:styleId="style4098">
    <w:name w:val="List Paragraph_1f066eb5-33db-4498-a6c0-209fac6405f0"/>
    <w:basedOn w:val="style0"/>
    <w:next w:val="style4098"/>
    <w:pPr>
      <w:ind w:left="720"/>
      <w:contextualSpacing/>
    </w:pPr>
    <w:rPr/>
  </w:style>
  <w:style w:type="paragraph" w:styleId="style66">
    <w:name w:val="Body Text"/>
    <w:basedOn w:val="style0"/>
    <w:next w:val="style66"/>
    <w:pPr>
      <w:spacing w:after="120"/>
    </w:pPr>
    <w:rPr/>
  </w:style>
  <w:style w:type="paragraph" w:styleId="style80">
    <w:name w:val="Body Text 2"/>
    <w:basedOn w:val="style0"/>
    <w:next w:val="style80"/>
    <w:pPr>
      <w:spacing w:after="120" w:lineRule="auto" w:line="480"/>
    </w:pPr>
    <w:rPr/>
  </w:style>
  <w:style w:type="paragraph" w:styleId="style81">
    <w:name w:val="Body Text 3"/>
    <w:basedOn w:val="style0"/>
    <w:next w:val="style81"/>
    <w:pPr>
      <w:spacing w:after="120"/>
    </w:pPr>
    <w:rPr>
      <w:sz w:val="16"/>
      <w:szCs w:val="16"/>
    </w:rPr>
  </w:style>
  <w:style w:type="paragraph" w:styleId="style47">
    <w:name w:val="List"/>
    <w:basedOn w:val="style0"/>
    <w:next w:val="style47"/>
    <w:pPr>
      <w:ind w:left="360" w:hanging="360"/>
      <w:contextualSpacing/>
    </w:pPr>
    <w:rPr/>
  </w:style>
  <w:style w:type="paragraph" w:styleId="style50">
    <w:name w:val="List 2"/>
    <w:basedOn w:val="style0"/>
    <w:next w:val="style50"/>
    <w:pPr>
      <w:ind w:left="720" w:hanging="360"/>
      <w:contextualSpacing/>
    </w:pPr>
    <w:rPr/>
  </w:style>
  <w:style w:type="paragraph" w:styleId="style51">
    <w:name w:val="List 3"/>
    <w:basedOn w:val="style0"/>
    <w:next w:val="style51"/>
    <w:pPr>
      <w:ind w:left="1080" w:hanging="360"/>
      <w:contextualSpacing/>
    </w:pPr>
    <w:rPr/>
  </w:style>
  <w:style w:type="paragraph" w:styleId="style48">
    <w:name w:val="List Bullet"/>
    <w:basedOn w:val="style0"/>
    <w:next w:val="style48"/>
    <w:pPr>
      <w:numPr>
        <w:ilvl w:val="0"/>
        <w:numId w:val="1"/>
      </w:numPr>
      <w:contextualSpacing/>
    </w:pPr>
    <w:rPr/>
  </w:style>
  <w:style w:type="paragraph" w:styleId="style54">
    <w:name w:val="List Bullet 2"/>
    <w:basedOn w:val="style0"/>
    <w:next w:val="style54"/>
    <w:pPr>
      <w:numPr>
        <w:ilvl w:val="0"/>
        <w:numId w:val="2"/>
      </w:numPr>
      <w:contextualSpacing/>
    </w:pPr>
    <w:rPr/>
  </w:style>
  <w:style w:type="paragraph" w:styleId="style55">
    <w:name w:val="List Bullet 3"/>
    <w:basedOn w:val="style0"/>
    <w:next w:val="style55"/>
    <w:pPr>
      <w:numPr>
        <w:ilvl w:val="0"/>
        <w:numId w:val="3"/>
      </w:numPr>
      <w:contextualSpacing/>
    </w:pPr>
    <w:rPr/>
  </w:style>
  <w:style w:type="paragraph" w:styleId="style49">
    <w:name w:val="List Number"/>
    <w:basedOn w:val="style0"/>
    <w:next w:val="style49"/>
    <w:pPr>
      <w:numPr>
        <w:ilvl w:val="0"/>
        <w:numId w:val="4"/>
      </w:numPr>
      <w:contextualSpacing/>
    </w:pPr>
    <w:rPr/>
  </w:style>
  <w:style w:type="paragraph" w:styleId="style58">
    <w:name w:val="List Number 2"/>
    <w:basedOn w:val="style0"/>
    <w:next w:val="style58"/>
    <w:pPr>
      <w:numPr>
        <w:ilvl w:val="0"/>
        <w:numId w:val="5"/>
      </w:numPr>
      <w:contextualSpacing/>
    </w:pPr>
    <w:rPr/>
  </w:style>
  <w:style w:type="paragraph" w:styleId="style59">
    <w:name w:val="List Number 3"/>
    <w:basedOn w:val="style0"/>
    <w:next w:val="style59"/>
    <w:pPr>
      <w:numPr>
        <w:ilvl w:val="0"/>
        <w:numId w:val="6"/>
      </w:numPr>
      <w:contextualSpacing/>
    </w:pPr>
    <w:rPr/>
  </w:style>
  <w:style w:type="paragraph" w:styleId="style68">
    <w:name w:val="List Continue"/>
    <w:basedOn w:val="style0"/>
    <w:next w:val="style68"/>
    <w:pPr>
      <w:spacing w:after="120"/>
      <w:ind w:left="360"/>
      <w:contextualSpacing/>
    </w:pPr>
    <w:rPr/>
  </w:style>
  <w:style w:type="paragraph" w:styleId="style69">
    <w:name w:val="List Continue 2"/>
    <w:basedOn w:val="style0"/>
    <w:next w:val="style69"/>
    <w:pPr>
      <w:spacing w:after="120"/>
      <w:ind w:left="720"/>
      <w:contextualSpacing/>
    </w:pPr>
    <w:rPr/>
  </w:style>
  <w:style w:type="paragraph" w:styleId="style70">
    <w:name w:val="List Continue 3"/>
    <w:basedOn w:val="style0"/>
    <w:next w:val="style70"/>
    <w:pPr>
      <w:spacing w:after="120"/>
      <w:ind w:left="1080"/>
      <w:contextualSpacing/>
    </w:pPr>
    <w:rPr/>
  </w:style>
  <w:style w:type="paragraph" w:styleId="style45">
    <w:name w:val="macro"/>
    <w:next w:val="style45"/>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Arial" w:eastAsia="ＭＳ 明朝" w:hAnsi="Courier"/>
      <w:sz w:val="20"/>
      <w:szCs w:val="20"/>
      <w:lang w:val="en-US" w:bidi="ar-SA" w:eastAsia="en-US"/>
    </w:rPr>
  </w:style>
  <w:style w:type="paragraph" w:customStyle="1" w:styleId="style4099">
    <w:name w:val="Quote_0b5812e0-5277-438b-a436-eb291b5e3353"/>
    <w:basedOn w:val="style0"/>
    <w:next w:val="style0"/>
    <w:pPr/>
    <w:rPr>
      <w:i/>
      <w:iCs/>
      <w:color w:val="000000"/>
    </w:rPr>
  </w:style>
  <w:style w:type="paragraph" w:styleId="style34">
    <w:name w:val="caption"/>
    <w:basedOn w:val="style0"/>
    <w:next w:val="style0"/>
    <w:pPr>
      <w:spacing w:lineRule="auto" w:line="240"/>
    </w:pPr>
    <w:rPr>
      <w:b/>
      <w:bCs/>
      <w:color w:val="4f81bd"/>
      <w:sz w:val="18"/>
      <w:szCs w:val="18"/>
    </w:rPr>
  </w:style>
  <w:style w:type="character" w:styleId="style87">
    <w:name w:val="Strong"/>
    <w:basedOn w:val="style65"/>
    <w:next w:val="style87"/>
    <w:rPr>
      <w:b/>
      <w:bCs/>
    </w:rPr>
  </w:style>
  <w:style w:type="character" w:styleId="style88">
    <w:name w:val="Emphasis"/>
    <w:basedOn w:val="style65"/>
    <w:next w:val="style88"/>
    <w:rPr>
      <w:i/>
      <w:iCs/>
    </w:rPr>
  </w:style>
  <w:style w:type="paragraph" w:customStyle="1" w:styleId="style4100">
    <w:name w:val="Intense Quote_0a497f16-c70c-49a1-8dbe-2c16db9eca2f"/>
    <w:basedOn w:val="style0"/>
    <w:next w:val="style0"/>
    <w:pPr>
      <w:pBdr>
        <w:bottom w:val="single" w:sz="4" w:space="4" w:color="4f81bd"/>
      </w:pBdr>
      <w:spacing w:before="200" w:after="280"/>
      <w:ind w:left="936" w:right="936"/>
    </w:pPr>
    <w:rPr>
      <w:b/>
      <w:bCs/>
      <w:i/>
      <w:iCs/>
      <w:color w:val="4f81bd"/>
    </w:rPr>
  </w:style>
  <w:style w:type="character" w:customStyle="1" w:styleId="style4101">
    <w:name w:val="Subtle Emphasis_925082bf-1929-451f-9f6b-841c31333fd8"/>
    <w:basedOn w:val="style65"/>
    <w:next w:val="style4101"/>
    <w:rPr>
      <w:i/>
      <w:iCs/>
      <w:color w:val="808080"/>
    </w:rPr>
  </w:style>
  <w:style w:type="character" w:customStyle="1" w:styleId="style4102">
    <w:name w:val="Intense Emphasis_b845b4bb-5e4e-4c75-ad04-9dab068ee0c3"/>
    <w:basedOn w:val="style65"/>
    <w:next w:val="style4102"/>
    <w:rPr>
      <w:b/>
      <w:bCs/>
      <w:i/>
      <w:iCs/>
      <w:color w:val="4f81bd"/>
    </w:rPr>
  </w:style>
  <w:style w:type="character" w:customStyle="1" w:styleId="style4103">
    <w:name w:val="Subtle Reference_8c5616cd-2bd4-4a10-8419-beea404eff22"/>
    <w:basedOn w:val="style65"/>
    <w:next w:val="style4103"/>
    <w:rPr>
      <w:caps w:val="false"/>
      <w:smallCaps/>
      <w:color w:val="c0504d"/>
      <w:u w:val="single"/>
    </w:rPr>
  </w:style>
  <w:style w:type="character" w:customStyle="1" w:styleId="style4104">
    <w:name w:val="Intense Reference_4390b688-fa1e-46a6-a447-5d713b10107e"/>
    <w:basedOn w:val="style65"/>
    <w:next w:val="style4104"/>
    <w:rPr>
      <w:b/>
      <w:bCs/>
      <w:caps w:val="false"/>
      <w:smallCaps/>
      <w:color w:val="c0504d"/>
      <w:spacing w:val="5"/>
      <w:u w:val="single"/>
    </w:rPr>
  </w:style>
  <w:style w:type="character" w:customStyle="1" w:styleId="style4105">
    <w:name w:val="Book Title_ab4431b1-ad73-4b57-afb6-25cdbfe0035d"/>
    <w:basedOn w:val="style65"/>
    <w:next w:val="style4105"/>
    <w:rPr>
      <w:b/>
      <w:bCs/>
      <w:caps w:val="false"/>
      <w:smallCaps/>
      <w:spacing w:val="5"/>
    </w:rPr>
  </w:style>
  <w:style w:type="paragraph" w:customStyle="1" w:styleId="style4106">
    <w:name w:val="TOC Heading_e8e6f686-8da8-447c-9061-396bb7d09556"/>
    <w:basedOn w:val="style1"/>
    <w:next w:val="style0"/>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1</TotalTime>
  <Words>1138</Words>
  <Pages>5</Pages>
  <Characters>7994</Characters>
  <Application>WPS Office</Application>
  <Paragraphs>170</Paragraphs>
  <CharactersWithSpaces>9010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2026-10-04T10:11:05Z</dcterms:created>
  <dc:creator>WPS Office</dc:creator>
  <lastModifiedBy>RMX3771</lastModifiedBy>
  <dcterms:modified xsi:type="dcterms:W3CDTF">2026-10-04T10:27:36Z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3ce7bc710deb4f8781e26e4eed864be9_23</vt:lpwstr>
  </property>
</Properties>
</file>