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5.png" ContentType="image/png"/>
  <Override PartName="/word/media/rId97.png" ContentType="image/png"/>
  <Override PartName="/word/media/rId108.png" ContentType="image/png"/>
  <Override PartName="/word/media/rId44.png" ContentType="image/png"/>
  <Override PartName="/word/media/rId58.png" ContentType="image/png"/>
  <Override PartName="/word/media/rId62.png" ContentType="image/png"/>
  <Override PartName="/word/media/rId81.png" ContentType="image/png"/>
  <Override PartName="/word/media/rId101.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Hierarchical Risk Parity Variants for Cryptocurrency Portfolios: Denoising, Detoning, Tail Dependence, Embeddings, and Statistical Inference, 2020–2026</w:t>
      </w:r>
    </w:p>
    <w:p>
      <w:pPr>
        <w:pStyle w:val="Author"/>
      </w:pPr>
      <w:r>
        <w:t xml:space="preserve">Alan Matys</w:t>
      </w:r>
    </w:p>
    <w:p>
      <w:pPr>
        <w:pStyle w:val="Author"/>
      </w:pPr>
      <w:r>
        <w:t xml:space="preserve">Federico Martin Rodriguez</w:t>
      </w:r>
    </w:p>
    <w:p>
      <w:pPr>
        <w:pStyle w:val="Author"/>
      </w:pPr>
      <w:r>
        <w:t xml:space="preserve">Emiliano Delfau</w:t>
      </w:r>
    </w:p>
    <w:p>
      <w:pPr>
        <w:pStyle w:val="Date"/>
      </w:pPr>
      <w:r>
        <w:t xml:space="preserve">Universidad del CEMA — May 2026</w:t>
      </w:r>
    </w:p>
    <w:p>
      <w:pPr>
        <w:pStyle w:val="AbstractTitle"/>
      </w:pPr>
      <w:r>
        <w:t xml:space="preserve">Abstract</w:t>
      </w:r>
    </w:p>
    <w:p>
      <w:pPr>
        <w:pStyle w:val="Abstract"/>
      </w:pPr>
      <w:r>
        <w:t xml:space="preserve">We extend the 2025 conference study on Hierarchical Risk Parity (HRP)</w:t>
      </w:r>
      <w:r>
        <w:t xml:space="preserve"> </w:t>
      </w:r>
      <w:r>
        <w:t xml:space="preserve">by addressing its two stated</w:t>
      </w:r>
      <w:r>
        <w:t xml:space="preserve"> </w:t>
      </w:r>
      <w:r>
        <w:t xml:space="preserve">methodological follow-ups (Marchenko–Pastur denoising and spectral</w:t>
      </w:r>
      <w:r>
        <w:t xml:space="preserve"> </w:t>
      </w:r>
      <w:r>
        <w:t xml:space="preserve">detoning) and by evaluating a broader cross-section of portfolio</w:t>
      </w:r>
      <w:r>
        <w:t xml:space="preserve"> </w:t>
      </w:r>
      <w:r>
        <w:t xml:space="preserve">construction choices on a survivorship-bias-corrected, point-in-time</w:t>
      </w:r>
      <w:r>
        <w:t xml:space="preserve"> </w:t>
      </w:r>
      <w:r>
        <w:t xml:space="preserve">Binance universe (146 ever-included symbols, 2020–2026). The comparison</w:t>
      </w:r>
      <w:r>
        <w:t xml:space="preserve"> </w:t>
      </w:r>
      <w:r>
        <w:t xml:space="preserve">includes 27 constructed strategies spanning HRP-family variants,</w:t>
      </w:r>
      <w:r>
        <w:t xml:space="preserve"> </w:t>
      </w:r>
      <w:r>
        <w:t xml:space="preserve">risk-based allocators, nested-clustering optimisers, momentum rules, and</w:t>
      </w:r>
      <w:r>
        <w:t xml:space="preserve"> </w:t>
      </w:r>
      <w:r>
        <w:t xml:space="preserve">signal-aware extensions.</w:t>
      </w:r>
    </w:p>
    <w:p>
      <w:pPr>
        <w:pStyle w:val="Abstract"/>
      </w:pPr>
      <w:r>
        <w:t xml:space="preserve">Across 76 monthly rebalances, the HRP-family variants remain tightly</w:t>
      </w:r>
      <w:r>
        <w:t xml:space="preserve"> </w:t>
      </w:r>
      <w:r>
        <w:t xml:space="preserve">clustered in risk-adjusted performance (annualised Sharpe 0.69–0.75),</w:t>
      </w:r>
      <w:r>
        <w:t xml:space="preserve"> </w:t>
      </w:r>
      <w:r>
        <w:t xml:space="preserve">and this result persists under a 547-cell hyperparameter sweep</w:t>
      </w:r>
      <w:r>
        <w:t xml:space="preserve"> </w:t>
      </w:r>
      <w:r>
        <w:t xml:space="preserve">(combined Hansen Superior Predictive Ability (SPA)</w:t>
      </w:r>
      <w:r>
        <w:t xml:space="preserve"> </w:t>
      </w:r>
      <m:oMath>
        <m:sSub>
          <m:e>
            <m:r>
              <m:t>p</m:t>
            </m:r>
          </m:e>
          <m:sub>
            <m:r>
              <m:rPr>
                <m:nor/>
                <m:sty m:val="p"/>
              </m:rPr>
              <m:t>consistent</m:t>
            </m:r>
          </m:sub>
        </m:sSub>
        <m:r>
          <m:rPr>
            <m:sty m:val="p"/>
          </m:rPr>
          <m:t>=</m:t>
        </m:r>
        <m:r>
          <m:t>0.91</m:t>
        </m:r>
      </m:oMath>
      <w:r>
        <w:t xml:space="preserve">). Strategies that alter the</w:t>
      </w:r>
      <w:r>
        <w:t xml:space="preserve"> </w:t>
      </w:r>
      <w:r>
        <w:t xml:space="preserve">allocation step produce larger dispersion (notably the Minimum Variance</w:t>
      </w:r>
      <w:r>
        <w:t xml:space="preserve"> </w:t>
      </w:r>
      <w:r>
        <w:t xml:space="preserve">Portfolio (MVP), the Correlation-Regularised Iterative Shrinkage</w:t>
      </w:r>
      <w:r>
        <w:t xml:space="preserve"> </w:t>
      </w:r>
      <w:r>
        <w:t xml:space="preserve">Portfolio (CRISP), the Nested Clustered Optimization with CRISP</w:t>
      </w:r>
      <w:r>
        <w:t xml:space="preserve"> </w:t>
      </w:r>
      <w:r>
        <w:t xml:space="preserve">allocation (NCO–CRISP), and Nested Clustered Optimization (NCO)), with</w:t>
      </w:r>
      <w:r>
        <w:t xml:space="preserve"> </w:t>
      </w:r>
      <w:r>
        <w:t xml:space="preserve">CRISP and NCO–CRISP significant in pairwise</w:t>
      </w:r>
      <w:r>
        <w:t xml:space="preserve"> </w:t>
      </w:r>
      <w:r>
        <w:t xml:space="preserve">Ledoit–Wolf tests versus baseline HRP in both full and post-COVID</w:t>
      </w:r>
      <w:r>
        <w:t xml:space="preserve"> </w:t>
      </w:r>
      <w:r>
        <w:t xml:space="preserve">windows. However, after accounting for multiple comparisons, the</w:t>
      </w:r>
      <w:r>
        <w:t xml:space="preserve"> </w:t>
      </w:r>
      <w:r>
        <w:t xml:space="preserve">headline SPA does not reject (</w:t>
      </w:r>
      <m:oMath>
        <m:sSub>
          <m:e>
            <m:r>
              <m:t>p</m:t>
            </m:r>
          </m:e>
          <m:sub>
            <m:r>
              <m:rPr>
                <m:nor/>
                <m:sty m:val="p"/>
              </m:rPr>
              <m:t>consistent</m:t>
            </m:r>
          </m:sub>
        </m:sSub>
        <m:r>
          <m:rPr>
            <m:sty m:val="p"/>
          </m:rPr>
          <m:t>=</m:t>
        </m:r>
        <m:r>
          <m:t>0.51</m:t>
        </m:r>
      </m:oMath>
      <w:r>
        <w:t xml:space="preserve">), and</w:t>
      </w:r>
      <w:r>
        <w:t xml:space="preserve"> </w:t>
      </w:r>
      <w:r>
        <w:t xml:space="preserve">the Deflated Sharpe Ratio (DSR) is directionally consistent with that</w:t>
      </w:r>
      <w:r>
        <w:t xml:space="preserve"> </w:t>
      </w:r>
      <w:r>
        <w:t xml:space="preserve">conclusion.</w:t>
      </w:r>
    </w:p>
    <w:p>
      <w:pPr>
        <w:pStyle w:val="Abstract"/>
      </w:pPr>
      <w:r>
        <w:t xml:space="preserve">Post-COVID results indicate strong regime sensitivity: diversified HRP</w:t>
      </w:r>
      <w:r>
        <w:t xml:space="preserve"> </w:t>
      </w:r>
      <w:r>
        <w:t xml:space="preserve">variants lose 51–64% of capital while Bitcoin (BTC) and BTC-concentrating</w:t>
      </w:r>
      <w:r>
        <w:t xml:space="preserve"> </w:t>
      </w:r>
      <w:r>
        <w:t xml:space="preserve">allocators hold up better. We also revise an earlier interpretation on</w:t>
      </w:r>
      <w:r>
        <w:t xml:space="preserve"> </w:t>
      </w:r>
      <w:r>
        <w:t xml:space="preserve">cluster stability: over the full panel, Pearson-based clustering is more</w:t>
      </w:r>
      <w:r>
        <w:t xml:space="preserve"> </w:t>
      </w:r>
      <w:r>
        <w:t xml:space="preserve">stable than lower-tail dependence at monthly frequency. Overall, the</w:t>
      </w:r>
      <w:r>
        <w:t xml:space="preserve"> </w:t>
      </w:r>
      <w:r>
        <w:t xml:space="preserve">evidence supports a cautious interpretation: within this universe,</w:t>
      </w:r>
      <w:r>
        <w:t xml:space="preserve"> </w:t>
      </w:r>
      <w:r>
        <w:t xml:space="preserve">horizon, and search space, allocation choices are more strongly associated</w:t>
      </w:r>
      <w:r>
        <w:t xml:space="preserve"> </w:t>
      </w:r>
      <w:r>
        <w:t xml:space="preserve">with performance differences than clustering perturbations, but those edges</w:t>
      </w:r>
      <w:r>
        <w:t xml:space="preserve"> </w:t>
      </w:r>
      <w:r>
        <w:t xml:space="preserve">remain statistically fragile under search-adjusted inference.</w:t>
      </w:r>
    </w:p>
    <w:p>
      <w:pPr>
        <w:pStyle w:val="FirstParagraph"/>
      </w:pPr>
      <w:r>
        <w:t xml:space="preserve">The opinions expressed in this document are those of the authors and do</w:t>
      </w:r>
      <w:r>
        <w:t xml:space="preserve"> </w:t>
      </w:r>
      <w:r>
        <w:t xml:space="preserve">not necessarily reflect the views of the UCEMA. Comments are welcome at:</w:t>
      </w:r>
      <w:r>
        <w:t xml:space="preserve"> </w:t>
      </w:r>
      <w:r>
        <w:rPr>
          <w:rStyle w:val="VerbatimChar"/>
        </w:rPr>
        <w:t xml:space="preserve">alan.matys92@gmail.com</w:t>
      </w:r>
      <w:r>
        <w:t xml:space="preserve">,</w:t>
      </w:r>
      <w:r>
        <w:t xml:space="preserve"> </w:t>
      </w:r>
      <w:r>
        <w:rPr>
          <w:rStyle w:val="VerbatimChar"/>
        </w:rPr>
        <w:t xml:space="preserve">federico.m.rodriguez.h@gmail.com</w:t>
      </w:r>
      <w:r>
        <w:t xml:space="preserve"> </w:t>
      </w:r>
      <w:r>
        <w:t xml:space="preserve">or</w:t>
      </w:r>
      <w:r>
        <w:t xml:space="preserve"> </w:t>
      </w:r>
      <w:r>
        <w:rPr>
          <w:rStyle w:val="VerbatimChar"/>
        </w:rPr>
        <w:t xml:space="preserve">ed11@ucema.edu.ar</w:t>
      </w:r>
      <w:r>
        <w:t xml:space="preserve">.</w:t>
      </w:r>
    </w:p>
    <w:bookmarkStart w:id="9" w:name="keywords."/>
    <w:p>
      <w:pPr>
        <w:pStyle w:val="Heading4"/>
      </w:pPr>
      <w:r>
        <w:t xml:space="preserve">Keywords.</w:t>
      </w:r>
    </w:p>
    <w:p>
      <w:pPr>
        <w:pStyle w:val="FirstParagraph"/>
      </w:pPr>
      <w:r>
        <w:t xml:space="preserve">Hierarchical Risk Parity, cryptocurrency, denoising,</w:t>
      </w:r>
      <w:r>
        <w:t xml:space="preserve"> </w:t>
      </w:r>
      <w:r>
        <w:t xml:space="preserve">detoning, tail dependence, Ledoit–Wolf, Hansen SPA, survivorship bias.</w:t>
      </w:r>
    </w:p>
    <w:bookmarkEnd w:id="9"/>
    <w:bookmarkStart w:id="10" w:name="jel-classification."/>
    <w:p>
      <w:pPr>
        <w:pStyle w:val="Heading4"/>
      </w:pPr>
      <w:r>
        <w:t xml:space="preserve">JEL classification.</w:t>
      </w:r>
    </w:p>
    <w:p>
      <w:pPr>
        <w:pStyle w:val="FirstParagraph"/>
      </w:pPr>
      <w:r>
        <w:t xml:space="preserve">G11, C58, C63, G17.</w:t>
      </w:r>
    </w:p>
    <w:bookmarkEnd w:id="10"/>
    <w:bookmarkStart w:id="12" w:name="introduction"/>
    <w:p>
      <w:pPr>
        <w:pStyle w:val="Heading1"/>
      </w:pPr>
      <w:r>
        <w:t xml:space="preserve">Introduction</w:t>
      </w:r>
    </w:p>
    <w:p>
      <w:pPr>
        <w:pStyle w:val="FirstParagraph"/>
      </w:pPr>
      <w:r>
        <w:t xml:space="preserve">The 2025 conference paper</w:t>
      </w:r>
      <w:r>
        <w:t xml:space="preserve"> </w:t>
      </w:r>
      <w:r>
        <w:t xml:space="preserve">(Matys and Rodriguez 2025)</w:t>
      </w:r>
      <w:r>
        <w:t xml:space="preserve"> </w:t>
      </w:r>
      <w:r>
        <w:t xml:space="preserve">applied Hierarchical Risk Parity</w:t>
      </w:r>
      <w:r>
        <w:t xml:space="preserve"> </w:t>
      </w:r>
      <w:r>
        <w:t xml:space="preserve">(López de Prado 2016)</w:t>
      </w:r>
      <w:r>
        <w:t xml:space="preserve"> </w:t>
      </w:r>
      <w:r>
        <w:t xml:space="preserve">to a five-asset cryptocurrency universe</w:t>
      </w:r>
      <w:r>
        <w:t xml:space="preserve"> </w:t>
      </w:r>
      <w:r>
        <w:t xml:space="preserve">(BTC, ETH, LTC, XRP, BCH) over 2021–2023 and concluded that HRP</w:t>
      </w:r>
      <w:r>
        <w:t xml:space="preserve"> </w:t>
      </w:r>
      <w:r>
        <w:t xml:space="preserve">delivered better diversification than the Minimum Variance Portfolio</w:t>
      </w:r>
      <w:r>
        <w:t xml:space="preserve"> </w:t>
      </w:r>
      <w:r>
        <w:t xml:space="preserve">without sacrificing risk-adjusted return. Two items were left for</w:t>
      </w:r>
      <w:r>
        <w:t xml:space="preserve"> </w:t>
      </w:r>
      <w:r>
        <w:t xml:space="preserve">future work:</w:t>
      </w:r>
      <w:r>
        <w:t xml:space="preserve"> </w:t>
      </w:r>
      <w:r>
        <w:rPr>
          <w:i/>
          <w:iCs/>
        </w:rPr>
        <w:t xml:space="preserve">denoising</w:t>
      </w:r>
      <w:r>
        <w:t xml:space="preserve"> </w:t>
      </w:r>
      <w:r>
        <w:t xml:space="preserve">the correlation matrix using</w:t>
      </w:r>
      <w:r>
        <w:t xml:space="preserve"> </w:t>
      </w:r>
      <w:r>
        <w:t xml:space="preserve">Marchenko–Pastur eigenvalue filtering</w:t>
      </w:r>
      <w:r>
        <w:t xml:space="preserve"> </w:t>
      </w:r>
      <w:r>
        <w:t xml:space="preserve">(Marchenko and Pastur 1967; Laloux et al. 1999)</w:t>
      </w:r>
      <w:r>
        <w:t xml:space="preserve">,</w:t>
      </w:r>
      <w:r>
        <w:t xml:space="preserve"> </w:t>
      </w:r>
      <w:r>
        <w:t xml:space="preserve">and</w:t>
      </w:r>
      <w:r>
        <w:t xml:space="preserve"> </w:t>
      </w:r>
      <w:r>
        <w:rPr>
          <w:i/>
          <w:iCs/>
        </w:rPr>
        <w:t xml:space="preserve">detoning</w:t>
      </w:r>
      <w:r>
        <w:t xml:space="preserve"> </w:t>
      </w:r>
      <w:r>
        <w:t xml:space="preserve">by removing the dominant market eigenvector</w:t>
      </w:r>
      <w:r>
        <w:t xml:space="preserve"> </w:t>
      </w:r>
      <w:r>
        <w:t xml:space="preserve">(López de Prado 2020)</w:t>
      </w:r>
      <w:r>
        <w:t xml:space="preserve">. This paper closes both items and extends</w:t>
      </w:r>
      <w:r>
        <w:t xml:space="preserve"> </w:t>
      </w:r>
      <w:r>
        <w:t xml:space="preserve">the comparison in three other directions.</w:t>
      </w:r>
    </w:p>
    <w:bookmarkStart w:id="11" w:name="contributions."/>
    <w:p>
      <w:pPr>
        <w:pStyle w:val="Heading4"/>
      </w:pPr>
      <w:r>
        <w:t xml:space="preserve">Contributions.</w:t>
      </w:r>
    </w:p>
    <w:p>
      <w:pPr>
        <w:numPr>
          <w:ilvl w:val="0"/>
          <w:numId w:val="1001"/>
        </w:numPr>
      </w:pPr>
      <w:r>
        <w:rPr>
          <w:b/>
          <w:bCs/>
        </w:rPr>
        <w:t xml:space="preserve">Closing the 2025 conference paper’s future-work items.</w:t>
      </w:r>
      <w:r>
        <w:t xml:space="preserve"> </w:t>
      </w:r>
      <w:r>
        <w:t xml:space="preserve">Implement and evaluate Marchenko–Pastur denoising (§</w:t>
      </w:r>
      <w:hyperlink w:anchor="sec:methods-cov">
        <w:r>
          <w:rPr>
            <w:rStyle w:val="Hyperlink"/>
          </w:rPr>
          <w:t xml:space="preserve">3.1</w:t>
        </w:r>
      </w:hyperlink>
      <w:r>
        <w:t xml:space="preserve">)</w:t>
      </w:r>
      <w:r>
        <w:t xml:space="preserve"> </w:t>
      </w:r>
      <w:r>
        <w:t xml:space="preserve">and spectral detoning. Compare detoning against partial correlation</w:t>
      </w:r>
      <w:r>
        <w:t xml:space="preserve"> </w:t>
      </w:r>
      <w:r>
        <w:t xml:space="preserve">estimation, which targets the same goal (market-mode removal) via</w:t>
      </w:r>
      <w:r>
        <w:t xml:space="preserve"> </w:t>
      </w:r>
      <w:r>
        <w:t xml:space="preserve">the precision-matrix route.</w:t>
      </w:r>
    </w:p>
    <w:p>
      <w:pPr>
        <w:numPr>
          <w:ilvl w:val="0"/>
          <w:numId w:val="1001"/>
        </w:numPr>
      </w:pPr>
      <w:r>
        <w:rPr>
          <w:b/>
          <w:bCs/>
        </w:rPr>
        <w:t xml:space="preserve">HRP variants, embedding variants, and nested-clustering</w:t>
      </w:r>
      <w:r>
        <w:rPr>
          <w:b/>
          <w:bCs/>
        </w:rPr>
        <w:t xml:space="preserve"> </w:t>
      </w:r>
      <w:r>
        <w:rPr>
          <w:b/>
          <w:bCs/>
        </w:rPr>
        <w:t xml:space="preserve">optimisers.</w:t>
      </w:r>
      <w:r>
        <w:t xml:space="preserve"> </w:t>
      </w:r>
      <w:r>
        <w:t xml:space="preserve">Six correlation/covariance HRP variants</w:t>
      </w:r>
      <w:r>
        <w:t xml:space="preserve"> </w:t>
      </w:r>
      <w:r>
        <w:t xml:space="preserve">(partial-correlation, exponentially weighted moving average (EWMA)</w:t>
      </w:r>
      <w:r>
        <w:t xml:space="preserve"> </w:t>
      </w:r>
      <w:r>
        <w:t xml:space="preserve">dynamic-correlation, lower-tail dependence,</w:t>
      </w:r>
      <w:r>
        <w:t xml:space="preserve"> </w:t>
      </w:r>
      <w:r>
        <w:t xml:space="preserve">Ledoit–Wolf shrunk-covariance, vol-standardised, and a</w:t>
      </w:r>
      <w:r>
        <w:t xml:space="preserve"> </w:t>
      </w:r>
      <w:r>
        <w:t xml:space="preserve">tail-dep</w:t>
      </w:r>
      <m:oMath>
        <m:r>
          <m:rPr>
            <m:sty m:val="p"/>
          </m:rPr>
          <m:t>+</m:t>
        </m:r>
      </m:oMath>
      <w:r>
        <w:t xml:space="preserve">Ledoit–Wolf (LW)-shrunk hybrid) and</w:t>
      </w:r>
      <w:r>
        <w:t xml:space="preserve"> </w:t>
      </w:r>
      <w:r>
        <w:rPr>
          <w:i/>
          <w:iCs/>
        </w:rPr>
        <w:t xml:space="preserve">four embedding-based</w:t>
      </w:r>
      <w:r>
        <w:rPr>
          <w:i/>
          <w:iCs/>
        </w:rPr>
        <w:t xml:space="preserve"> </w:t>
      </w:r>
      <w:r>
        <w:rPr>
          <w:i/>
          <w:iCs/>
        </w:rPr>
        <w:t xml:space="preserve">variants</w:t>
      </w:r>
      <w:r>
        <w:t xml:space="preserve"> </w:t>
      </w:r>
      <w:r>
        <w:t xml:space="preserve">that learn the HRP clustering distance from a representation</w:t>
      </w:r>
      <w:r>
        <w:t xml:space="preserve"> </w:t>
      </w:r>
      <w:r>
        <w:t xml:space="preserve">of each asset’s return path (level-3 path signatures, a node2vec graph</w:t>
      </w:r>
      <w:r>
        <w:t xml:space="preserve"> </w:t>
      </w:r>
      <w:r>
        <w:t xml:space="preserve">embedding, and two contrastive sequence encoders; §</w:t>
      </w:r>
      <w:hyperlink w:anchor="sec:methods-emb">
        <w:r>
          <w:rPr>
            <w:rStyle w:val="Hyperlink"/>
          </w:rPr>
          <w:t xml:space="preserve">3.2</w:t>
        </w:r>
      </w:hyperlink>
      <w:r>
        <w:t xml:space="preserve">).</w:t>
      </w:r>
      <w:r>
        <w:t xml:space="preserve"> </w:t>
      </w:r>
      <w:r>
        <w:t xml:space="preserve">We also add four strategies that change the</w:t>
      </w:r>
      <w:r>
        <w:t xml:space="preserve"> </w:t>
      </w:r>
      <w:r>
        <w:rPr>
          <w:i/>
          <w:iCs/>
        </w:rPr>
        <w:t xml:space="preserve">allocation</w:t>
      </w:r>
      <w:r>
        <w:t xml:space="preserve"> </w:t>
      </w:r>
      <w:r>
        <w:t xml:space="preserve">step</w:t>
      </w:r>
      <w:r>
        <w:t xml:space="preserve"> </w:t>
      </w:r>
      <w:r>
        <w:t xml:space="preserve">rather than the dendrogram: Hierarchical Equal Risk Contribution</w:t>
      </w:r>
      <w:r>
        <w:t xml:space="preserve"> </w:t>
      </w:r>
      <w:r>
        <w:t xml:space="preserve">(Raffinot 2018)</w:t>
      </w:r>
      <w:r>
        <w:t xml:space="preserve">, Nested Clustered Optimization</w:t>
      </w:r>
      <w:r>
        <w:t xml:space="preserve"> </w:t>
      </w:r>
      <w:r>
        <w:t xml:space="preserve">(López de Prado 2019)</w:t>
      </w:r>
      <w:r>
        <w:t xml:space="preserve">, a return-tilted NCO, and an NCO–CRISP</w:t>
      </w:r>
      <w:r>
        <w:t xml:space="preserve"> </w:t>
      </w:r>
      <w:r>
        <w:t xml:space="preserve">hybrid (§</w:t>
      </w:r>
      <w:hyperlink w:anchor="sec:methods-comparators">
        <w:r>
          <w:rPr>
            <w:rStyle w:val="Hyperlink"/>
          </w:rPr>
          <w:t xml:space="preserve">3.3</w:t>
        </w:r>
      </w:hyperlink>
      <w:r>
        <w:t xml:space="preserve">); these test whether the</w:t>
      </w:r>
      <w:r>
        <w:t xml:space="preserve"> </w:t>
      </w:r>
      <w:r>
        <w:t xml:space="preserve">clustering step or the allocation step drives performance. Equal Risk</w:t>
      </w:r>
      <w:r>
        <w:t xml:space="preserve"> </w:t>
      </w:r>
      <w:r>
        <w:t xml:space="preserve">Contribution (ERC)</w:t>
      </w:r>
      <w:r>
        <w:t xml:space="preserve"> </w:t>
      </w:r>
      <w:r>
        <w:t xml:space="preserve">(Maillard et al. 2010)</w:t>
      </w:r>
      <w:r>
        <w:t xml:space="preserve">, Maximum Diversification</w:t>
      </w:r>
      <w:r>
        <w:t xml:space="preserve"> </w:t>
      </w:r>
      <w:r>
        <w:t xml:space="preserve">(Choueifaty and Coignard 2008)</w:t>
      </w:r>
      <w:r>
        <w:t xml:space="preserve"> </w:t>
      </w:r>
      <w:r>
        <w:t xml:space="preserve">and CRISP</w:t>
      </w:r>
      <w:r>
        <w:t xml:space="preserve"> </w:t>
      </w:r>
      <w:r>
        <w:t xml:space="preserve">(Wuebben 2026)</w:t>
      </w:r>
      <w:r>
        <w:t xml:space="preserve">,</w:t>
      </w:r>
      <w:r>
        <w:t xml:space="preserve"> </w:t>
      </w:r>
      <w:r>
        <w:t xml:space="preserve">a recent correlation-shrinkage portfolio, serve as risk-based</w:t>
      </w:r>
      <w:r>
        <w:t xml:space="preserve"> </w:t>
      </w:r>
      <w:r>
        <w:t xml:space="preserve">comparators.</w:t>
      </w:r>
    </w:p>
    <w:p>
      <w:pPr>
        <w:numPr>
          <w:ilvl w:val="0"/>
          <w:numId w:val="1001"/>
        </w:numPr>
      </w:pPr>
      <w:r>
        <w:rPr>
          <w:b/>
          <w:bCs/>
        </w:rPr>
        <w:t xml:space="preserve">Crypto-momentum strategies.</w:t>
      </w:r>
      <w:r>
        <w:t xml:space="preserve"> </w:t>
      </w:r>
      <w:r>
        <w:t xml:space="preserve">Cross-sectional momentum,</w:t>
      </w:r>
      <w:r>
        <w:t xml:space="preserve"> </w:t>
      </w:r>
      <w:r>
        <w:t xml:space="preserve">risk-managed momentum</w:t>
      </w:r>
      <w:r>
        <w:t xml:space="preserve"> </w:t>
      </w:r>
      <w:r>
        <w:t xml:space="preserve">(Barroso and Santa-Clara 2015)</w:t>
      </w:r>
      <w:r>
        <w:t xml:space="preserve">, and a</w:t>
      </w:r>
      <w:r>
        <w:t xml:space="preserve"> </w:t>
      </w:r>
      <w:r>
        <w:t xml:space="preserve">Momentum</w:t>
      </w:r>
      <m:oMath>
        <m:r>
          <m:rPr>
            <m:sty m:val="p"/>
          </m:rPr>
          <m:t>+</m:t>
        </m:r>
      </m:oMath>
      <w:r>
        <w:t xml:space="preserve">HRP hybrid, parameter-tuned for crypto’s faster</w:t>
      </w:r>
      <w:r>
        <w:t xml:space="preserve"> </w:t>
      </w:r>
      <w:r>
        <w:t xml:space="preserve">momentum decay per</w:t>
      </w:r>
      <w:r>
        <w:t xml:space="preserve"> </w:t>
      </w:r>
      <w:r>
        <w:t xml:space="preserve">(Liu et al. 2022)</w:t>
      </w:r>
      <w:r>
        <w:t xml:space="preserve">.</w:t>
      </w:r>
    </w:p>
    <w:p>
      <w:pPr>
        <w:numPr>
          <w:ilvl w:val="0"/>
          <w:numId w:val="1001"/>
        </w:numPr>
      </w:pPr>
      <w:r>
        <w:rPr>
          <w:b/>
          <w:bCs/>
        </w:rPr>
        <w:t xml:space="preserve">Methodological rigour and a power analysis.</w:t>
      </w:r>
      <w:r>
        <w:t xml:space="preserve"> </w:t>
      </w:r>
      <w:r>
        <w:t xml:space="preserve">(i) Point-in-time universe rebuilt monthly from Binance USDT</w:t>
      </w:r>
      <w:r>
        <w:t xml:space="preserve"> </w:t>
      </w:r>
      <w:r>
        <w:t xml:space="preserve">quote-volume rankings, including assets later delisted (LUNA, FTT,</w:t>
      </w:r>
      <w:r>
        <w:t xml:space="preserve"> </w:t>
      </w:r>
      <w:r>
        <w:t xml:space="preserve">MIR, SRM, etc.) to remove the survivorship bias of the prior</w:t>
      </w:r>
      <w:r>
        <w:t xml:space="preserve"> </w:t>
      </w:r>
      <w:r>
        <w:t xml:space="preserve">single-CSV dataset. (ii) Multi-cost scenarios and a weekly-cadence</w:t>
      </w:r>
      <w:r>
        <w:t xml:space="preserve"> </w:t>
      </w:r>
      <w:r>
        <w:t xml:space="preserve">robustness check. (iii) Inference around every comparison: the</w:t>
      </w:r>
      <w:r>
        <w:t xml:space="preserve"> </w:t>
      </w:r>
      <w:r>
        <w:t xml:space="preserve">reference Hansen SPA implementation</w:t>
      </w:r>
      <w:r>
        <w:t xml:space="preserve"> </w:t>
      </w:r>
      <w:r>
        <w:t xml:space="preserve">(Hansen 2005)</w:t>
      </w:r>
      <w:r>
        <w:t xml:space="preserve">, a</w:t>
      </w:r>
      <w:r>
        <w:t xml:space="preserve"> </w:t>
      </w:r>
      <w:r>
        <w:rPr>
          <w:i/>
          <w:iCs/>
        </w:rPr>
        <w:t xml:space="preserve">studentized</w:t>
      </w:r>
      <w:r>
        <w:t xml:space="preserve"> </w:t>
      </w:r>
      <w:r>
        <w:t xml:space="preserve">Ledoit–Wolf Sharpe-difference test</w:t>
      </w:r>
      <w:r>
        <w:t xml:space="preserve"> </w:t>
      </w:r>
      <w:r>
        <w:t xml:space="preserve">(Ledoit and Wolf 2008)</w:t>
      </w:r>
      <w:r>
        <w:t xml:space="preserve">, and the Politis–Romano stationary</w:t>
      </w:r>
      <w:r>
        <w:t xml:space="preserve"> </w:t>
      </w:r>
      <w:r>
        <w:t xml:space="preserve">block bootstrap</w:t>
      </w:r>
      <w:r>
        <w:t xml:space="preserve"> </w:t>
      </w:r>
      <w:r>
        <w:t xml:space="preserve">(Politis and Romano 1994; Politis and White 2004)</w:t>
      </w:r>
      <w:r>
        <w:t xml:space="preserve">.</w:t>
      </w:r>
      <w:r>
        <w:t xml:space="preserve"> </w:t>
      </w:r>
      <w:r>
        <w:t xml:space="preserve">(iv) An explicit power analysis quantifying the Sharpe edge this</w:t>
      </w:r>
      <w:r>
        <w:t xml:space="preserve"> </w:t>
      </w:r>
      <w:r>
        <w:t xml:space="preserve">design could actually detect.</w:t>
      </w:r>
    </w:p>
    <w:p>
      <w:pPr>
        <w:numPr>
          <w:ilvl w:val="0"/>
          <w:numId w:val="1001"/>
        </w:numPr>
      </w:pPr>
      <w:r>
        <w:rPr>
          <w:b/>
          <w:bCs/>
        </w:rPr>
        <w:t xml:space="preserve">Empirical characterisation and correction of an earlier interpretation.</w:t>
      </w:r>
      <w:r>
        <w:t xml:space="preserve"> </w:t>
      </w:r>
      <w:r>
        <w:t xml:space="preserve">We document the structural convergence findings of</w:t>
      </w:r>
      <w:r>
        <w:t xml:space="preserve"> </w:t>
      </w:r>
      <m:oMath>
        <m:r>
          <m:rPr>
            <m:sty m:val="p"/>
          </m:rPr>
          <m:t>§</m:t>
        </m:r>
      </m:oMath>
      <w:hyperlink w:anchor="sec:results">
        <w:r>
          <w:rPr>
            <w:rStyle w:val="Hyperlink"/>
          </w:rPr>
          <w:t xml:space="preserve">6</w:t>
        </w:r>
      </w:hyperlink>
      <w:r>
        <w:t xml:space="preserve"> </w:t>
      </w:r>
      <w:r>
        <w:t xml:space="preserve">and update an earlier interpretation on</w:t>
      </w:r>
      <w:r>
        <w:t xml:space="preserve"> </w:t>
      </w:r>
      <w:r>
        <w:t xml:space="preserve">cluster stability: when evaluated on the full 76-snapshot panel,</w:t>
      </w:r>
      <w:r>
        <w:t xml:space="preserve"> </w:t>
      </w:r>
      <w:r>
        <w:t xml:space="preserve">Pearson-based clustering is more stable than lower-tail dependence</w:t>
      </w:r>
      <w:r>
        <w:t xml:space="preserve"> </w:t>
      </w:r>
      <w:r>
        <w:t xml:space="preserve">at monthly frequency.</w:t>
      </w:r>
    </w:p>
    <w:p>
      <w:pPr>
        <w:numPr>
          <w:ilvl w:val="0"/>
          <w:numId w:val="1001"/>
        </w:numPr>
      </w:pPr>
      <w:r>
        <w:rPr>
          <w:b/>
          <w:bCs/>
        </w:rPr>
        <w:t xml:space="preserve">Reproducibility.</w:t>
      </w:r>
      <w:r>
        <w:t xml:space="preserve"> </w:t>
      </w:r>
      <w:r>
        <w:t xml:space="preserve">All results are generated from a</w:t>
      </w:r>
      <w:r>
        <w:t xml:space="preserve"> </w:t>
      </w:r>
      <w:r>
        <w:t xml:space="preserve">documented, fully rerunnable workflow with committed inputs,</w:t>
      </w:r>
      <w:r>
        <w:t xml:space="preserve"> </w:t>
      </w:r>
      <w:r>
        <w:t xml:space="preserve">outputs, and figures so that each headline claim can be traced</w:t>
      </w:r>
      <w:r>
        <w:t xml:space="preserve"> </w:t>
      </w:r>
      <w:r>
        <w:t xml:space="preserve">to a corresponding result table.</w:t>
      </w:r>
    </w:p>
    <w:p>
      <w:pPr>
        <w:pStyle w:val="FirstParagraph"/>
      </w:pPr>
      <w:r>
        <w:t xml:space="preserve">The remainder of this paper is organised as follows. Section </w:t>
      </w:r>
      <w:hyperlink w:anchor="sec:related">
        <w:r>
          <w:rPr>
            <w:rStyle w:val="Hyperlink"/>
          </w:rPr>
          <w:t xml:space="preserve">2</w:t>
        </w:r>
      </w:hyperlink>
      <w:r>
        <w:t xml:space="preserve"> </w:t>
      </w:r>
      <w:r>
        <w:t xml:space="preserve">reviews related work. Section </w:t>
      </w:r>
      <w:hyperlink w:anchor="sec:methods">
        <w:r>
          <w:rPr>
            <w:rStyle w:val="Hyperlink"/>
          </w:rPr>
          <w:t xml:space="preserve">3</w:t>
        </w:r>
      </w:hyperlink>
      <w:r>
        <w:t xml:space="preserve"> </w:t>
      </w:r>
      <w:r>
        <w:t xml:space="preserve">presents the methodology. Section </w:t>
      </w:r>
      <w:hyperlink w:anchor="sec:data">
        <w:r>
          <w:rPr>
            <w:rStyle w:val="Hyperlink"/>
          </w:rPr>
          <w:t xml:space="preserve">4</w:t>
        </w:r>
      </w:hyperlink>
      <w:r>
        <w:t xml:space="preserve"> </w:t>
      </w:r>
      <w:r>
        <w:t xml:space="preserve">describes the data and</w:t>
      </w:r>
      <w:r>
        <w:t xml:space="preserve"> </w:t>
      </w:r>
      <w:r>
        <w:t xml:space="preserve">point-in-time universe construction. Section </w:t>
      </w:r>
      <w:hyperlink w:anchor="sec:backtest">
        <w:r>
          <w:rPr>
            <w:rStyle w:val="Hyperlink"/>
          </w:rPr>
          <w:t xml:space="preserve">5</w:t>
        </w:r>
      </w:hyperlink>
      <w:r>
        <w:t xml:space="preserve"> </w:t>
      </w:r>
      <w:r>
        <w:t xml:space="preserve">states the</w:t>
      </w:r>
      <w:r>
        <w:t xml:space="preserve"> </w:t>
      </w:r>
      <w:r>
        <w:t xml:space="preserve">backtest protocol. Section </w:t>
      </w:r>
      <w:hyperlink w:anchor="sec:results">
        <w:r>
          <w:rPr>
            <w:rStyle w:val="Hyperlink"/>
          </w:rPr>
          <w:t xml:space="preserve">6</w:t>
        </w:r>
      </w:hyperlink>
      <w:r>
        <w:t xml:space="preserve"> </w:t>
      </w:r>
      <w:r>
        <w:t xml:space="preserve">presents results.</w:t>
      </w:r>
      <w:r>
        <w:t xml:space="preserve"> </w:t>
      </w:r>
      <w:r>
        <w:t xml:space="preserve">Section </w:t>
      </w:r>
      <w:hyperlink w:anchor="sec:discussion">
        <w:r>
          <w:rPr>
            <w:rStyle w:val="Hyperlink"/>
          </w:rPr>
          <w:t xml:space="preserve">7</w:t>
        </w:r>
      </w:hyperlink>
      <w:r>
        <w:t xml:space="preserve"> </w:t>
      </w:r>
      <w:r>
        <w:t xml:space="preserve">discusses limitations and contributions.</w:t>
      </w:r>
      <w:r>
        <w:t xml:space="preserve"> </w:t>
      </w:r>
      <w:r>
        <w:t xml:space="preserve">Section </w:t>
      </w:r>
      <w:hyperlink w:anchor="sec:conclusion">
        <w:r>
          <w:rPr>
            <w:rStyle w:val="Hyperlink"/>
          </w:rPr>
          <w:t xml:space="preserve">8</w:t>
        </w:r>
      </w:hyperlink>
      <w:r>
        <w:t xml:space="preserve"> </w:t>
      </w:r>
      <w:r>
        <w:t xml:space="preserve">concludes.</w:t>
      </w:r>
    </w:p>
    <w:bookmarkEnd w:id="11"/>
    <w:bookmarkEnd w:id="12"/>
    <w:bookmarkStart w:id="17" w:name="sec:related"/>
    <w:p>
      <w:pPr>
        <w:pStyle w:val="Heading1"/>
      </w:pPr>
      <w:r>
        <w:t xml:space="preserve">Related Work</w:t>
      </w:r>
    </w:p>
    <w:bookmarkStart w:id="13" w:name="X8d3a31e114e8c6c67b54058c852243c3f479f41"/>
    <w:p>
      <w:pPr>
        <w:pStyle w:val="Heading2"/>
      </w:pPr>
      <w:r>
        <w:t xml:space="preserve">Hierarchical risk parity and its extensions</w:t>
      </w:r>
    </w:p>
    <w:p>
      <w:pPr>
        <w:pStyle w:val="FirstParagraph"/>
      </w:pPr>
      <w:r>
        <w:t xml:space="preserve">HRP was introduced by</w:t>
      </w:r>
      <w:r>
        <w:t xml:space="preserve"> </w:t>
      </w:r>
      <w:r>
        <w:t xml:space="preserve">López de Prado (2016)</w:t>
      </w:r>
      <w:r>
        <w:t xml:space="preserve"> </w:t>
      </w:r>
      <w:r>
        <w:t xml:space="preserve">as a clustering-based</w:t>
      </w:r>
      <w:r>
        <w:t xml:space="preserve"> </w:t>
      </w:r>
      <w:r>
        <w:t xml:space="preserve">alternative to mean-variance optimisation that avoids covariance-matrix</w:t>
      </w:r>
      <w:r>
        <w:t xml:space="preserve"> </w:t>
      </w:r>
      <w:r>
        <w:t xml:space="preserve">inversion. Subsequent textbook treatments</w:t>
      </w:r>
      <w:r>
        <w:t xml:space="preserve"> </w:t>
      </w:r>
      <w:r>
        <w:t xml:space="preserve">(López de Prado 2018, 2020)</w:t>
      </w:r>
      <w:r>
        <w:t xml:space="preserve"> </w:t>
      </w:r>
      <w:r>
        <w:t xml:space="preserve">extend the framework with denoising and detoning</w:t>
      </w:r>
      <w:r>
        <w:t xml:space="preserve"> </w:t>
      </w:r>
      <w:r>
        <w:t xml:space="preserve">and propose tail-dependence distances</w:t>
      </w:r>
      <w:r>
        <w:t xml:space="preserve"> </w:t>
      </w:r>
      <w:r>
        <w:t xml:space="preserve">(Lohre et al. 2020)</w:t>
      </w:r>
      <w:r>
        <w:t xml:space="preserve"> </w:t>
      </w:r>
      <w:r>
        <w:t xml:space="preserve">for</w:t>
      </w:r>
      <w:r>
        <w:t xml:space="preserve"> </w:t>
      </w:r>
      <w:r>
        <w:t xml:space="preserve">multi-asset multi-factor allocations. Empirical comparisons of HRP</w:t>
      </w:r>
      <w:r>
        <w:t xml:space="preserve"> </w:t>
      </w:r>
      <w:r>
        <w:t xml:space="preserve">distance metrics on equities have repeatedly found that</w:t>
      </w:r>
      <w:r>
        <w:t xml:space="preserve"> </w:t>
      </w:r>
      <w:r>
        <w:t xml:space="preserve">correlation-based distances remain the standard to beat in</w:t>
      </w:r>
      <w:r>
        <w:t xml:space="preserve"> </w:t>
      </w:r>
      <w:r>
        <w:t xml:space="preserve">out-of-sample performance. A concurrent line of work makes the</w:t>
      </w:r>
      <w:r>
        <w:t xml:space="preserve"> </w:t>
      </w:r>
      <w:r>
        <w:t xml:space="preserve">hierarchical allocator</w:t>
      </w:r>
      <w:r>
        <w:t xml:space="preserve"> </w:t>
      </w:r>
      <w:r>
        <w:rPr>
          <w:i/>
          <w:iCs/>
        </w:rPr>
        <w:t xml:space="preserve">signal-aware</w:t>
      </w:r>
      <w:r>
        <w:t xml:space="preserve">:</w:t>
      </w:r>
      <w:r>
        <w:t xml:space="preserve"> </w:t>
      </w:r>
      <w:r>
        <w:t xml:space="preserve">Wuebben (2026)</w:t>
      </w:r>
      <w:r>
        <w:t xml:space="preserve"> </w:t>
      </w:r>
      <w:r>
        <w:t xml:space="preserve">extends HRP to accept an arbitrary return forecast and introduces</w:t>
      </w:r>
      <w:r>
        <w:t xml:space="preserve"> </w:t>
      </w:r>
      <w:r>
        <w:t xml:space="preserve">CRISP, a correlation-shrinkage solver that interpolates between an</w:t>
      </w:r>
      <w:r>
        <w:t xml:space="preserve"> </w:t>
      </w:r>
      <w:r>
        <w:t xml:space="preserve">inverse-variance rule and full mean-variance optimisation; its</w:t>
      </w:r>
      <w:r>
        <w:t xml:space="preserve"> </w:t>
      </w:r>
      <w:r>
        <w:t xml:space="preserve">evaluation is by Monte Carlo. We adopt CRISP here as a comparator and,</w:t>
      </w:r>
      <w:r>
        <w:t xml:space="preserve"> </w:t>
      </w:r>
      <w:r>
        <w:t xml:space="preserve">in §</w:t>
      </w:r>
      <w:hyperlink w:anchor="sec:results-regime">
        <w:r>
          <w:rPr>
            <w:rStyle w:val="Hyperlink"/>
          </w:rPr>
          <w:t xml:space="preserve">6.4</w:t>
        </w:r>
      </w:hyperlink>
      <w:r>
        <w:t xml:space="preserve">, contrast that simulation evidence with</w:t>
      </w:r>
      <w:r>
        <w:t xml:space="preserve"> </w:t>
      </w:r>
      <w:r>
        <w:t xml:space="preserve">live-market behaviour.</w:t>
      </w:r>
    </w:p>
    <w:bookmarkEnd w:id="13"/>
    <w:bookmarkStart w:id="14" w:name="risk-based-and-network-methods"/>
    <w:p>
      <w:pPr>
        <w:pStyle w:val="Heading2"/>
      </w:pPr>
      <w:r>
        <w:t xml:space="preserve">Risk-based and network methods</w:t>
      </w:r>
    </w:p>
    <w:p>
      <w:pPr>
        <w:pStyle w:val="FirstParagraph"/>
      </w:pPr>
      <w:r>
        <w:t xml:space="preserve">Equal Risk Contribution</w:t>
      </w:r>
      <w:r>
        <w:t xml:space="preserve"> </w:t>
      </w:r>
      <w:r>
        <w:t xml:space="preserve">(Maillard et al. 2010)</w:t>
      </w:r>
      <w:r>
        <w:t xml:space="preserve"> </w:t>
      </w:r>
      <w:r>
        <w:t xml:space="preserve">solves for weights such</w:t>
      </w:r>
      <w:r>
        <w:t xml:space="preserve"> </w:t>
      </w:r>
      <w:r>
        <w:t xml:space="preserve">that each asset contributes equally to portfolio risk; Maximum</w:t>
      </w:r>
      <w:r>
        <w:t xml:space="preserve"> </w:t>
      </w:r>
      <w:r>
        <w:t xml:space="preserve">Diversification</w:t>
      </w:r>
      <w:r>
        <w:t xml:space="preserve"> </w:t>
      </w:r>
      <w:r>
        <w:t xml:space="preserve">(Choueifaty and Coignard 2008)</w:t>
      </w:r>
      <w:r>
        <w:t xml:space="preserve"> </w:t>
      </w:r>
      <w:r>
        <w:t xml:space="preserve">maximises the</w:t>
      </w:r>
      <w:r>
        <w:t xml:space="preserve"> </w:t>
      </w:r>
      <w:r>
        <w:t xml:space="preserve">diversification ratio. Network methods build a Minimum Spanning Tree</w:t>
      </w:r>
      <w:r>
        <w:t xml:space="preserve"> </w:t>
      </w:r>
      <w:r>
        <w:t xml:space="preserve">(Mantegna 1999)</w:t>
      </w:r>
      <w:r>
        <w:t xml:space="preserve"> </w:t>
      </w:r>
      <w:r>
        <w:t xml:space="preserve">or PMFG</w:t>
      </w:r>
      <w:r>
        <w:t xml:space="preserve"> </w:t>
      </w:r>
      <w:r>
        <w:t xml:space="preserve">(Tumminello et al. 2005)</w:t>
      </w:r>
      <w:r>
        <w:t xml:space="preserve"> </w:t>
      </w:r>
      <w:r>
        <w:t xml:space="preserve">from the</w:t>
      </w:r>
      <w:r>
        <w:t xml:space="preserve"> </w:t>
      </w:r>
      <w:r>
        <w:t xml:space="preserve">correlation structure; Network Risk Parity</w:t>
      </w:r>
      <w:r>
        <w:t xml:space="preserve"> </w:t>
      </w:r>
      <w:r>
        <w:t xml:space="preserve">(Ciciretti and Pallotta 2024)</w:t>
      </w:r>
      <w:r>
        <w:t xml:space="preserve"> </w:t>
      </w:r>
      <w:r>
        <w:t xml:space="preserve">recently combined the network approach with risk-budgeting.</w:t>
      </w:r>
    </w:p>
    <w:bookmarkEnd w:id="14"/>
    <w:bookmarkStart w:id="15" w:name="cryptocurrency-momentum"/>
    <w:p>
      <w:pPr>
        <w:pStyle w:val="Heading2"/>
      </w:pPr>
      <w:r>
        <w:t xml:space="preserve">Cryptocurrency momentum</w:t>
      </w:r>
    </w:p>
    <w:p>
      <w:pPr>
        <w:pStyle w:val="FirstParagraph"/>
      </w:pPr>
      <w:r>
        <w:t xml:space="preserve">Liu et al. (2022)</w:t>
      </w:r>
      <w:r>
        <w:t xml:space="preserve"> </w:t>
      </w:r>
      <w:r>
        <w:t xml:space="preserve">establish a three-factor model for</w:t>
      </w:r>
      <w:r>
        <w:t xml:space="preserve"> </w:t>
      </w:r>
      <w:r>
        <w:t xml:space="preserve">cryptocurrency with a momentum factor that operates at much shorter</w:t>
      </w:r>
      <w:r>
        <w:t xml:space="preserve"> </w:t>
      </w:r>
      <w:r>
        <w:t xml:space="preserve">horizons (1–4 weeks) than equity momentum.</w:t>
      </w:r>
      <w:r>
        <w:t xml:space="preserve"> </w:t>
      </w:r>
      <w:r>
        <w:t xml:space="preserve">Moskowitz et al. (2012)</w:t>
      </w:r>
      <w:r>
        <w:t xml:space="preserve"> </w:t>
      </w:r>
      <w:r>
        <w:t xml:space="preserve">provide the foundational time-series momentum framework, and</w:t>
      </w:r>
      <w:r>
        <w:t xml:space="preserve"> </w:t>
      </w:r>
      <w:r>
        <w:t xml:space="preserve">Barroso and Santa-Clara (2015)</w:t>
      </w:r>
      <w:r>
        <w:t xml:space="preserve"> </w:t>
      </w:r>
      <w:r>
        <w:t xml:space="preserve">introduce volatility-scaled momentum to</w:t>
      </w:r>
      <w:r>
        <w:t xml:space="preserve"> </w:t>
      </w:r>
      <w:r>
        <w:t xml:space="preserve">control the well-documented crash risk of the strategy.</w:t>
      </w:r>
    </w:p>
    <w:bookmarkEnd w:id="15"/>
    <w:bookmarkStart w:id="16" w:name="X8375288aae03576aeafb44879392f21be641c91"/>
    <w:p>
      <w:pPr>
        <w:pStyle w:val="Heading2"/>
      </w:pPr>
      <w:r>
        <w:t xml:space="preserve">Statistical inference for portfolio comparison</w:t>
      </w:r>
    </w:p>
    <w:p>
      <w:pPr>
        <w:pStyle w:val="FirstParagraph"/>
      </w:pPr>
      <w:r>
        <w:t xml:space="preserve">Ledoit and Wolf (2008)</w:t>
      </w:r>
      <w:r>
        <w:t xml:space="preserve"> </w:t>
      </w:r>
      <w:r>
        <w:t xml:space="preserve">provide a robust pairwise Sharpe-difference</w:t>
      </w:r>
      <w:r>
        <w:t xml:space="preserve"> </w:t>
      </w:r>
      <w:r>
        <w:t xml:space="preserve">test that does not assume i.i.d. Gaussian returns.</w:t>
      </w:r>
      <w:r>
        <w:t xml:space="preserve"> </w:t>
      </w:r>
      <w:r>
        <w:t xml:space="preserve">Hansen (2005)</w:t>
      </w:r>
      <w:r>
        <w:t xml:space="preserve"> </w:t>
      </w:r>
      <w:r>
        <w:t xml:space="preserve">addresses the multiple-testing problem when many</w:t>
      </w:r>
      <w:r>
        <w:t xml:space="preserve"> </w:t>
      </w:r>
      <w:r>
        <w:t xml:space="preserve">strategies are compared against a benchmark.</w:t>
      </w:r>
      <w:r>
        <w:t xml:space="preserve"> </w:t>
      </w:r>
      <w:r>
        <w:t xml:space="preserve">Politis and Romano (1994)</w:t>
      </w:r>
      <w:r>
        <w:t xml:space="preserve"> </w:t>
      </w:r>
      <w:r>
        <w:t xml:space="preserve">and</w:t>
      </w:r>
      <w:r>
        <w:t xml:space="preserve"> </w:t>
      </w:r>
      <w:r>
        <w:t xml:space="preserve">Politis and White (2004)</w:t>
      </w:r>
      <w:r>
        <w:t xml:space="preserve"> </w:t>
      </w:r>
      <w:r>
        <w:t xml:space="preserve">provide the stationary block</w:t>
      </w:r>
      <w:r>
        <w:t xml:space="preserve"> </w:t>
      </w:r>
      <w:r>
        <w:t xml:space="preserve">bootstrap with data-driven block-length selection used throughout</w:t>
      </w:r>
      <w:r>
        <w:t xml:space="preserve"> </w:t>
      </w:r>
      <w:r>
        <w:t xml:space="preserve">this paper for confidence intervals.</w:t>
      </w:r>
    </w:p>
    <w:bookmarkEnd w:id="16"/>
    <w:bookmarkEnd w:id="17"/>
    <w:bookmarkStart w:id="40" w:name="sec:methods"/>
    <w:p>
      <w:pPr>
        <w:pStyle w:val="Heading1"/>
      </w:pPr>
      <w:r>
        <w:t xml:space="preserve">Methodology</w:t>
      </w:r>
    </w:p>
    <w:bookmarkStart w:id="27" w:name="sec:methods-cov"/>
    <w:p>
      <w:pPr>
        <w:pStyle w:val="Heading2"/>
      </w:pPr>
      <w:r>
        <w:t xml:space="preserve">Correlation and covariance variants</w:t>
      </w:r>
    </w:p>
    <w:p>
      <w:pPr>
        <w:pStyle w:val="FirstParagraph"/>
      </w:pPr>
      <w:r>
        <w:t xml:space="preserve">Every strategy in this group shares the standard HRP pipeline: distance</w:t>
      </w:r>
      <w:r>
        <w:t xml:space="preserve"> </w:t>
      </w:r>
      <w:r>
        <w:t xml:space="preserve">matrix</w:t>
      </w:r>
      <w:r>
        <w:t xml:space="preserve"> </w:t>
      </w:r>
      <m:oMath>
        <m:r>
          <m:rPr>
            <m:sty m:val="p"/>
          </m:rPr>
          <m:t>→</m:t>
        </m:r>
      </m:oMath>
      <w:r>
        <w:t xml:space="preserve"> </w:t>
      </w:r>
      <w:r>
        <w:t xml:space="preserve">hierarchical linkage</w:t>
      </w:r>
      <w:r>
        <w:t xml:space="preserve"> </w:t>
      </w:r>
      <m:oMath>
        <m:r>
          <m:rPr>
            <m:sty m:val="p"/>
          </m:rPr>
          <m:t>→</m:t>
        </m:r>
      </m:oMath>
      <w:r>
        <w:t xml:space="preserve"> </w:t>
      </w:r>
      <w:r>
        <w:t xml:space="preserve">quasi-diagonalisation</w:t>
      </w:r>
      <w:r>
        <w:t xml:space="preserve"> </w:t>
      </w:r>
      <m:oMath>
        <m:r>
          <m:rPr>
            <m:sty m:val="p"/>
          </m:rPr>
          <m:t>→</m:t>
        </m:r>
      </m:oMath>
      <w:r>
        <w:t xml:space="preserve"> </w:t>
      </w:r>
      <w:r>
        <w:t xml:space="preserve">recursive bisection</w:t>
      </w:r>
      <w:r>
        <w:t xml:space="preserve"> </w:t>
      </w:r>
      <w:r>
        <w:t xml:space="preserve">(López de Prado 2016)</w:t>
      </w:r>
      <w:r>
        <w:t xml:space="preserve">. They differ only in</w:t>
      </w:r>
      <w:r>
        <w:t xml:space="preserve"> </w:t>
      </w:r>
      <w:r>
        <w:rPr>
          <w:i/>
          <w:iCs/>
        </w:rPr>
        <w:t xml:space="preserve">how the input correlation (or covariance) matrix is constructed</w:t>
      </w:r>
      <w:r>
        <w:t xml:space="preserve">.</w:t>
      </w:r>
    </w:p>
    <w:bookmarkStart w:id="18" w:name="baseline-hrp"/>
    <w:p>
      <w:pPr>
        <w:pStyle w:val="Heading3"/>
      </w:pPr>
      <w:r>
        <w:t xml:space="preserve">Baseline HRP</w:t>
      </w:r>
    </w:p>
    <w:p>
      <w:pPr>
        <w:pStyle w:val="FirstParagraph"/>
      </w:pPr>
      <m:oMath>
        <m:r>
          <m:t>ρ</m:t>
        </m:r>
      </m:oMath>
      <w:r>
        <w:t xml:space="preserve"> </w:t>
      </w:r>
      <w:r>
        <w:t xml:space="preserve">from sample correlation;</w:t>
      </w:r>
      <w:r>
        <w:t xml:space="preserve"> </w:t>
      </w:r>
      <m:oMath>
        <m:sSub>
          <m:e>
            <m:r>
              <m:t>d</m:t>
            </m:r>
          </m:e>
          <m:sub>
            <m:r>
              <m:t>i</m:t>
            </m:r>
            <m:r>
              <m:t>j</m:t>
            </m:r>
          </m:sub>
        </m:sSub>
        <m:r>
          <m:rPr>
            <m:sty m:val="p"/>
          </m:rPr>
          <m:t>=</m:t>
        </m:r>
        <m:rad>
          <m:radPr>
            <m:degHide m:val="on"/>
          </m:radPr>
          <m:deg/>
          <m:e>
            <m:r>
              <m:rPr>
                <m:sty m:val="p"/>
              </m:rPr>
              <m:t>(</m:t>
            </m:r>
            <m:r>
              <m:t>1</m:t>
            </m:r>
            <m:r>
              <m:rPr>
                <m:sty m:val="p"/>
              </m:rPr>
              <m:t>−</m:t>
            </m:r>
            <m:sSub>
              <m:e>
                <m:r>
                  <m:t>ρ</m:t>
                </m:r>
              </m:e>
              <m:sub>
                <m:r>
                  <m:t>i</m:t>
                </m:r>
                <m:r>
                  <m:t>j</m:t>
                </m:r>
              </m:sub>
            </m:sSub>
            <m:r>
              <m:rPr>
                <m:sty m:val="p"/>
              </m:rPr>
              <m:t>)</m:t>
            </m:r>
            <m:r>
              <m:rPr>
                <m:sty m:val="p"/>
              </m:rPr>
              <m:t>/</m:t>
            </m:r>
            <m:r>
              <m:t>2</m:t>
            </m:r>
          </m:e>
        </m:rad>
      </m:oMath>
      <w:r>
        <w:t xml:space="preserve">;</w:t>
      </w:r>
      <w:r>
        <w:t xml:space="preserve"> </w:t>
      </w:r>
      <w:r>
        <w:t xml:space="preserve">single linkage; bisection using the sample covariance.</w:t>
      </w:r>
    </w:p>
    <w:bookmarkEnd w:id="18"/>
    <w:bookmarkStart w:id="19" w:name="X52f2b0ffcf643435471d575112cf69b7f0f286f"/>
    <w:p>
      <w:pPr>
        <w:pStyle w:val="Heading3"/>
      </w:pPr>
      <w:r>
        <w:t xml:space="preserve">HRP</w:t>
      </w:r>
      <w:r>
        <w:rPr>
          <w:vertAlign w:val="subscript"/>
        </w:rPr>
        <w:t xml:space="preserve">Denoised</w:t>
      </w:r>
      <w:r>
        <w:t xml:space="preserve">: Marchenko–Pastur eigenvalue denoising</w:t>
      </w:r>
    </w:p>
    <w:p>
      <w:pPr>
        <w:pStyle w:val="FirstParagraph"/>
      </w:pPr>
      <w:r>
        <w:t xml:space="preserve">Following</w:t>
      </w:r>
      <w:r>
        <w:t xml:space="preserve"> </w:t>
      </w:r>
      <w:r>
        <w:t xml:space="preserve">López de Prado (2020)</w:t>
      </w:r>
      <w:r>
        <w:t xml:space="preserve">, the empirical eigenvalues of</w:t>
      </w:r>
      <w:r>
        <w:t xml:space="preserve"> </w:t>
      </w:r>
      <w:r>
        <w:t xml:space="preserve">the sample correlation matrix are decomposed into a signal subspace</w:t>
      </w:r>
      <w:r>
        <w:t xml:space="preserve"> </w:t>
      </w:r>
      <w:r>
        <w:t xml:space="preserve">(eigenvalues above the Marchenko–Pastur upper bound</w:t>
      </w:r>
      <w:r>
        <w:t xml:space="preserve"> </w:t>
      </w:r>
      <m:oMath>
        <m:sSub>
          <m:e>
            <m:r>
              <m:t>e</m:t>
            </m:r>
          </m:e>
          <m:sub>
            <m:r>
              <m:rPr>
                <m:sty m:val="p"/>
              </m:rPr>
              <m:t>max</m:t>
            </m:r>
          </m:sub>
        </m:sSub>
        <m:r>
          <m:rPr>
            <m:sty m:val="p"/>
          </m:rPr>
          <m:t>=</m:t>
        </m:r>
        <m:sSup>
          <m:e>
            <m:r>
              <m:t>σ</m:t>
            </m:r>
          </m:e>
          <m:sup>
            <m:r>
              <m:t>2</m:t>
            </m:r>
          </m:sup>
        </m:sSup>
        <m:r>
          <m:rPr>
            <m:sty m:val="p"/>
          </m:rPr>
          <m:t>(</m:t>
        </m:r>
        <m:r>
          <m:t>1</m:t>
        </m:r>
        <m:r>
          <m:rPr>
            <m:sty m:val="p"/>
          </m:rPr>
          <m:t>+</m:t>
        </m:r>
        <m:rad>
          <m:radPr>
            <m:degHide m:val="on"/>
          </m:radPr>
          <m:deg/>
          <m:e>
            <m:r>
              <m:t>1</m:t>
            </m:r>
            <m:r>
              <m:rPr>
                <m:sty m:val="p"/>
              </m:rPr>
              <m:t>/</m:t>
            </m:r>
            <m:r>
              <m:t>q</m:t>
            </m:r>
          </m:e>
        </m:rad>
        <m:sSup>
          <m:e>
            <m:r>
              <m:rPr>
                <m:sty m:val="p"/>
              </m:rPr>
              <m:t>)</m:t>
            </m:r>
          </m:e>
          <m:sup>
            <m:r>
              <m:t>2</m:t>
            </m:r>
          </m:sup>
        </m:sSup>
      </m:oMath>
      <w:r>
        <w:t xml:space="preserve"> </w:t>
      </w:r>
      <w:r>
        <w:t xml:space="preserve">where</w:t>
      </w:r>
      <w:r>
        <w:t xml:space="preserve"> </w:t>
      </w:r>
      <m:oMath>
        <m:r>
          <m:t>q</m:t>
        </m:r>
        <m:r>
          <m:rPr>
            <m:sty m:val="p"/>
          </m:rPr>
          <m:t>=</m:t>
        </m:r>
        <m:r>
          <m:t>T</m:t>
        </m:r>
        <m:r>
          <m:rPr>
            <m:sty m:val="p"/>
          </m:rPr>
          <m:t>/</m:t>
        </m:r>
        <m:r>
          <m:t>N</m:t>
        </m:r>
      </m:oMath>
      <w:r>
        <w:t xml:space="preserve">) and a noise subspace</w:t>
      </w:r>
      <w:r>
        <w:t xml:space="preserve"> </w:t>
      </w:r>
      <w:r>
        <w:t xml:space="preserve">(eigenvalues below). The noise eigenvalues are replaced with their</w:t>
      </w:r>
      <w:r>
        <w:t xml:space="preserve"> </w:t>
      </w:r>
      <w:r>
        <w:t xml:space="preserve">mean (constant-residual method), preserving the trace, before the</w:t>
      </w:r>
      <w:r>
        <w:t xml:space="preserve"> </w:t>
      </w:r>
      <w:r>
        <w:t xml:space="preserve">denoised correlation matrix is fed to HRP.</w:t>
      </w:r>
    </w:p>
    <w:bookmarkEnd w:id="19"/>
    <w:bookmarkStart w:id="20" w:name="hrpdetoned-market-mode-removal"/>
    <w:p>
      <w:pPr>
        <w:pStyle w:val="Heading3"/>
      </w:pPr>
      <w:r>
        <w:t xml:space="preserve">HRP</w:t>
      </w:r>
      <w:r>
        <w:rPr>
          <w:vertAlign w:val="subscript"/>
        </w:rPr>
        <w:t xml:space="preserve">Detoned</w:t>
      </w:r>
      <w:r>
        <w:t xml:space="preserve">: market-mode removal</w:t>
      </w:r>
    </w:p>
    <w:p>
      <w:pPr>
        <w:pStyle w:val="FirstParagraph"/>
      </w:pPr>
      <w:r>
        <w:t xml:space="preserve">Applied to the denoised correlation matrix, detoning removes the top</w:t>
      </w:r>
      <w:r>
        <w:t xml:space="preserve"> </w:t>
      </w:r>
      <m:oMath>
        <m:r>
          <m:t>k</m:t>
        </m:r>
      </m:oMath>
      <w:r>
        <w:t xml:space="preserve"> </w:t>
      </w:r>
      <w:r>
        <w:t xml:space="preserve">eigenvectors (default</w:t>
      </w:r>
      <w:r>
        <w:t xml:space="preserve"> </w:t>
      </w:r>
      <m:oMath>
        <m:r>
          <m:t>k</m:t>
        </m:r>
        <m:r>
          <m:rPr>
            <m:sty m:val="p"/>
          </m:rPr>
          <m:t>=</m:t>
        </m:r>
        <m:r>
          <m:t>1</m:t>
        </m:r>
      </m:oMath>
      <w:r>
        <w:t xml:space="preserve">) and renormalises the diagonal to</w:t>
      </w:r>
      <w:r>
        <w:t xml:space="preserve"> </w:t>
      </w:r>
      <w:r>
        <w:t xml:space="preserve">unity</w:t>
      </w:r>
      <w:r>
        <w:t xml:space="preserve"> </w:t>
      </w:r>
      <w:r>
        <w:t xml:space="preserve">(López de Prado 2020)</w:t>
      </w:r>
      <w:r>
        <w:t xml:space="preserve">. For long-only crypto, the dominant</w:t>
      </w:r>
      <w:r>
        <w:t xml:space="preserve"> </w:t>
      </w:r>
      <w:r>
        <w:t xml:space="preserve">eigenvector is a market mode loading positively on all assets; removing</w:t>
      </w:r>
      <w:r>
        <w:t xml:space="preserve"> </w:t>
      </w:r>
      <w:r>
        <w:t xml:space="preserve">it isolates the residual cross-sectional structure.</w:t>
      </w:r>
    </w:p>
    <w:bookmarkEnd w:id="20"/>
    <w:bookmarkStart w:id="21" w:name="hrppartialcorr-sparse-precision-matrix"/>
    <w:p>
      <w:pPr>
        <w:pStyle w:val="Heading3"/>
      </w:pPr>
      <w:r>
        <w:t xml:space="preserve">HRP</w:t>
      </w:r>
      <w:r>
        <w:rPr>
          <w:vertAlign w:val="subscript"/>
        </w:rPr>
        <w:t xml:space="preserve">PartialCorr</w:t>
      </w:r>
      <w:r>
        <w:t xml:space="preserve">: sparse precision matrix</w:t>
      </w:r>
    </w:p>
    <w:p>
      <w:pPr>
        <w:pStyle w:val="FirstParagraph"/>
      </w:pPr>
      <w:r>
        <w:t xml:space="preserve">A precision-matrix route to the same market-mode-removal goal:</w:t>
      </w:r>
      <w:r>
        <w:t xml:space="preserve"> </w:t>
      </w:r>
      <m:oMath>
        <m:r>
          <m:rPr>
            <m:sty m:val="p"/>
          </m:rPr>
          <m:t>Θ</m:t>
        </m:r>
        <m:r>
          <m:rPr>
            <m:sty m:val="p"/>
          </m:rPr>
          <m:t>=</m:t>
        </m:r>
        <m:r>
          <m:rPr>
            <m:sty m:val="p"/>
          </m:rPr>
          <m:t>arg</m:t>
        </m:r>
        <m:sSub>
          <m:e>
            <m:r>
              <m:rPr>
                <m:sty m:val="p"/>
              </m:rPr>
              <m:t>min</m:t>
            </m:r>
          </m:e>
          <m:sub>
            <m:r>
              <m:rPr>
                <m:sty m:val="p"/>
              </m:rPr>
              <m:t>Θ</m:t>
            </m:r>
            <m:r>
              <m:rPr>
                <m:sty m:val="p"/>
              </m:rPr>
              <m:t>≻</m:t>
            </m:r>
            <m:r>
              <m:t>0</m:t>
            </m:r>
          </m:sub>
        </m:sSub>
        <m:r>
          <m:rPr>
            <m:sty m:val="p"/>
          </m:rPr>
          <m:t>−</m:t>
        </m:r>
        <m:r>
          <m:rPr>
            <m:sty m:val="p"/>
          </m:rPr>
          <m:t>log</m:t>
        </m:r>
        <m:r>
          <m:rPr>
            <m:sty m:val="p"/>
          </m:rPr>
          <m:t>det</m:t>
        </m:r>
        <m:r>
          <m:rPr>
            <m:sty m:val="p"/>
          </m:rPr>
          <m:t>Θ</m:t>
        </m:r>
        <m:r>
          <m:rPr>
            <m:sty m:val="p"/>
          </m:rPr>
          <m:t>+</m:t>
        </m:r>
        <m:r>
          <m:rPr>
            <m:sty m:val="p"/>
          </m:rPr>
          <m:t>t</m:t>
        </m:r>
        <m:r>
          <m:rPr>
            <m:sty m:val="p"/>
          </m:rPr>
          <m:t>r</m:t>
        </m:r>
        <m:r>
          <m:rPr>
            <m:sty m:val="p"/>
          </m:rPr>
          <m:t>(</m:t>
        </m:r>
        <m:r>
          <m:t>S</m:t>
        </m:r>
        <m:r>
          <m:rPr>
            <m:sty m:val="p"/>
          </m:rPr>
          <m:t>Θ</m:t>
        </m:r>
        <m:r>
          <m:rPr>
            <m:sty m:val="p"/>
          </m:rPr>
          <m:t>)</m:t>
        </m:r>
        <m:r>
          <m:rPr>
            <m:sty m:val="p"/>
          </m:rPr>
          <m:t>+</m:t>
        </m:r>
        <m:r>
          <m:t>α</m:t>
        </m:r>
        <m:r>
          <m:rPr>
            <m:sty m:val="p"/>
          </m:rPr>
          <m:t>∥</m:t>
        </m:r>
        <m:r>
          <m:rPr>
            <m:sty m:val="p"/>
          </m:rPr>
          <m:t>Θ</m:t>
        </m:r>
        <m:sSub>
          <m:e>
            <m:r>
              <m:rPr>
                <m:sty m:val="p"/>
              </m:rPr>
              <m:t>∥</m:t>
            </m:r>
          </m:e>
          <m:sub>
            <m:r>
              <m:t>1</m:t>
            </m:r>
          </m:sub>
        </m:sSub>
      </m:oMath>
      <w:r>
        <w:t xml:space="preserve"> </w:t>
      </w:r>
      <w:r>
        <w:t xml:space="preserve">via graphical lasso</w:t>
      </w:r>
      <w:r>
        <w:t xml:space="preserve"> </w:t>
      </w:r>
      <w:r>
        <w:t xml:space="preserve">(Friedman et al. 2008)</w:t>
      </w:r>
      <w:r>
        <w:t xml:space="preserve">,</w:t>
      </w:r>
      <w:r>
        <w:t xml:space="preserve"> </w:t>
      </w:r>
      <w:r>
        <w:t xml:space="preserve">then</w:t>
      </w:r>
      <w:r>
        <w:t xml:space="preserve"> </w:t>
      </w:r>
      <m:oMath>
        <m:sSubSup>
          <m:e>
            <m:r>
              <m:t>ρ</m:t>
            </m:r>
          </m:e>
          <m:sub>
            <m:r>
              <m:t>i</m:t>
            </m:r>
            <m:r>
              <m:t>j</m:t>
            </m:r>
          </m:sub>
          <m:sup>
            <m:r>
              <m:rPr>
                <m:sty m:val="p"/>
              </m:rPr>
              <m:t>p</m:t>
            </m:r>
            <m:r>
              <m:rPr>
                <m:sty m:val="p"/>
              </m:rPr>
              <m:t>a</m:t>
            </m:r>
            <m:r>
              <m:rPr>
                <m:sty m:val="p"/>
              </m:rPr>
              <m:t>r</m:t>
            </m:r>
            <m:r>
              <m:rPr>
                <m:sty m:val="p"/>
              </m:rPr>
              <m:t>t</m:t>
            </m:r>
            <m:r>
              <m:rPr>
                <m:sty m:val="p"/>
              </m:rPr>
              <m:t>i</m:t>
            </m:r>
            <m:r>
              <m:rPr>
                <m:sty m:val="p"/>
              </m:rPr>
              <m:t>a</m:t>
            </m:r>
            <m:r>
              <m:rPr>
                <m:sty m:val="p"/>
              </m:rPr>
              <m:t>l</m:t>
            </m:r>
          </m:sup>
        </m:sSubSup>
        <m:r>
          <m:rPr>
            <m:sty m:val="p"/>
          </m:rPr>
          <m:t>=</m:t>
        </m:r>
        <m:r>
          <m:rPr>
            <m:sty m:val="p"/>
          </m:rPr>
          <m:t>−</m:t>
        </m:r>
        <m:sSub>
          <m:e>
            <m:r>
              <m:rPr>
                <m:sty m:val="p"/>
              </m:rPr>
              <m:t>Θ</m:t>
            </m:r>
          </m:e>
          <m:sub>
            <m:r>
              <m:t>i</m:t>
            </m:r>
            <m:r>
              <m:t>j</m:t>
            </m:r>
          </m:sub>
        </m:sSub>
        <m:r>
          <m:rPr>
            <m:sty m:val="p"/>
          </m:rPr>
          <m:t>/</m:t>
        </m:r>
        <m:rad>
          <m:radPr>
            <m:degHide m:val="on"/>
          </m:radPr>
          <m:deg/>
          <m:e>
            <m:sSub>
              <m:e>
                <m:r>
                  <m:rPr>
                    <m:sty m:val="p"/>
                  </m:rPr>
                  <m:t>Θ</m:t>
                </m:r>
              </m:e>
              <m:sub>
                <m:r>
                  <m:t>i</m:t>
                </m:r>
                <m:r>
                  <m:t>i</m:t>
                </m:r>
              </m:sub>
            </m:sSub>
            <m:sSub>
              <m:e>
                <m:r>
                  <m:rPr>
                    <m:sty m:val="p"/>
                  </m:rPr>
                  <m:t>Θ</m:t>
                </m:r>
              </m:e>
              <m:sub>
                <m:r>
                  <m:t>j</m:t>
                </m:r>
                <m:r>
                  <m:t>j</m:t>
                </m:r>
              </m:sub>
            </m:sSub>
          </m:e>
        </m:rad>
      </m:oMath>
      <w:r>
        <w:t xml:space="preserve">.</w:t>
      </w:r>
      <w:r>
        <w:t xml:space="preserve"> </w:t>
      </w:r>
      <w:r>
        <w:t xml:space="preserve">We set the</w:t>
      </w:r>
      <w:r>
        <w:t xml:space="preserve"> </w:t>
      </w:r>
      <m:oMath>
        <m:sSub>
          <m:e>
            <m:r>
              <m:t>L</m:t>
            </m:r>
          </m:e>
          <m:sub>
            <m:r>
              <m:t>1</m:t>
            </m:r>
          </m:sub>
        </m:sSub>
      </m:oMath>
      <w:r>
        <w:t xml:space="preserve"> </w:t>
      </w:r>
      <w:r>
        <w:t xml:space="preserve">penalty to</w:t>
      </w:r>
      <w:r>
        <w:t xml:space="preserve"> </w:t>
      </w:r>
      <m:oMath>
        <m:r>
          <m:t>α</m:t>
        </m:r>
        <m:r>
          <m:rPr>
            <m:sty m:val="p"/>
          </m:rPr>
          <m:t>=</m:t>
        </m:r>
        <m:sSup>
          <m:e>
            <m:r>
              <m:t>10</m:t>
            </m:r>
          </m:e>
          <m:sup>
            <m:r>
              <m:rPr>
                <m:sty m:val="p"/>
              </m:rPr>
              <m:t>−</m:t>
            </m:r>
            <m:r>
              <m:t>3</m:t>
            </m:r>
          </m:sup>
        </m:sSup>
      </m:oMath>
      <w:r>
        <w:t xml:space="preserve">. This value matters: a</w:t>
      </w:r>
      <w:r>
        <w:t xml:space="preserve"> </w:t>
      </w:r>
      <w:r>
        <w:t xml:space="preserve">subtle implementation point is that</w:t>
      </w:r>
      <w:r>
        <w:t xml:space="preserve"> </w:t>
      </w:r>
      <w:r>
        <w:rPr>
          <w:rStyle w:val="VerbatimChar"/>
        </w:rPr>
        <w:t xml:space="preserve">scikit-learn</w:t>
      </w:r>
      <w:r>
        <w:t xml:space="preserve">’s</w:t>
      </w:r>
      <w:r>
        <w:t xml:space="preserve"> </w:t>
      </w:r>
      <w:r>
        <w:rPr>
          <w:rStyle w:val="VerbatimChar"/>
        </w:rPr>
        <w:t xml:space="preserve">GraphicalLasso</w:t>
      </w:r>
      <w:r>
        <w:t xml:space="preserve"> </w:t>
      </w:r>
      <w:r>
        <w:t xml:space="preserve">expresses</w:t>
      </w:r>
      <w:r>
        <w:t xml:space="preserve"> </w:t>
      </w:r>
      <m:oMath>
        <m:r>
          <m:t>α</m:t>
        </m:r>
      </m:oMath>
      <w:r>
        <w:t xml:space="preserve"> </w:t>
      </w:r>
      <w:r>
        <w:t xml:space="preserve">in the</w:t>
      </w:r>
      <w:r>
        <w:t xml:space="preserve"> </w:t>
      </w:r>
      <w:r>
        <w:rPr>
          <w:i/>
          <w:iCs/>
        </w:rPr>
        <w:t xml:space="preserve">same units as the</w:t>
      </w:r>
      <w:r>
        <w:rPr>
          <w:i/>
          <w:iCs/>
        </w:rPr>
        <w:t xml:space="preserve"> </w:t>
      </w:r>
      <w:r>
        <w:rPr>
          <w:i/>
          <w:iCs/>
        </w:rPr>
        <w:t xml:space="preserve">covariance</w:t>
      </w:r>
      <w:r>
        <w:t xml:space="preserve">, not as a normalised</w:t>
      </w:r>
      <w:r>
        <w:t xml:space="preserve"> </w:t>
      </w:r>
      <m:oMath>
        <m:r>
          <m:rPr>
            <m:sty m:val="p"/>
          </m:rPr>
          <m:t>[</m:t>
        </m:r>
        <m:r>
          <m:t>0</m:t>
        </m:r>
        <m:r>
          <m:rPr>
            <m:sty m:val="p"/>
          </m:rPr>
          <m:t>,</m:t>
        </m:r>
        <m:r>
          <m:t>1</m:t>
        </m:r>
        <m:r>
          <m:rPr>
            <m:sty m:val="p"/>
          </m:rPr>
          <m:t>]</m:t>
        </m:r>
      </m:oMath>
      <w:r>
        <w:t xml:space="preserve"> </w:t>
      </w:r>
      <w:r>
        <w:t xml:space="preserve">quantity. For daily crypto</w:t>
      </w:r>
      <w:r>
        <w:t xml:space="preserve"> </w:t>
      </w:r>
      <w:r>
        <w:t xml:space="preserve">returns with variance</w:t>
      </w:r>
      <w:r>
        <w:t xml:space="preserve"> </w:t>
      </w:r>
      <m:oMath>
        <m:r>
          <m:rPr>
            <m:sty m:val="p"/>
          </m:rPr>
          <m:t>∼</m:t>
        </m:r>
      </m:oMath>
      <m:oMath>
        <m:r>
          <m:t>4</m:t>
        </m:r>
        <m:r>
          <m:rPr>
            <m:sty m:val="p"/>
          </m:rPr>
          <m:t>×</m:t>
        </m:r>
        <m:sSup>
          <m:e>
            <m:r>
              <m:t>10</m:t>
            </m:r>
          </m:e>
          <m:sup>
            <m:r>
              <m:rPr>
                <m:sty m:val="p"/>
              </m:rPr>
              <m:t>−</m:t>
            </m:r>
            <m:r>
              <m:t>3</m:t>
            </m:r>
          </m:sup>
        </m:sSup>
      </m:oMath>
      <w:r>
        <w:t xml:space="preserve">, an</w:t>
      </w:r>
      <w:r>
        <w:t xml:space="preserve"> </w:t>
      </w:r>
      <m:oMath>
        <m:r>
          <m:t>α</m:t>
        </m:r>
      </m:oMath>
      <w:r>
        <w:t xml:space="preserve"> </w:t>
      </w:r>
      <w:r>
        <w:t xml:space="preserve">on the order of</w:t>
      </w:r>
      <w:r>
        <w:t xml:space="preserve"> </w:t>
      </w:r>
      <m:oMath>
        <m:sSup>
          <m:e>
            <m:r>
              <m:t>10</m:t>
            </m:r>
          </m:e>
          <m:sup>
            <m:r>
              <m:rPr>
                <m:sty m:val="p"/>
              </m:rPr>
              <m:t>−</m:t>
            </m:r>
            <m:r>
              <m:t>1</m:t>
            </m:r>
          </m:sup>
        </m:sSup>
      </m:oMath>
      <w:r>
        <w:t xml:space="preserve"> </w:t>
      </w:r>
      <w:r>
        <w:t xml:space="preserve">shrinks every off-diagonal of the precision matrix to zero and</w:t>
      </w:r>
      <w:r>
        <w:t xml:space="preserve"> </w:t>
      </w:r>
      <w:r>
        <w:t xml:space="preserve">silently collapses HRP</w:t>
      </w:r>
      <w:r>
        <w:rPr>
          <w:vertAlign w:val="subscript"/>
        </w:rPr>
        <w:t xml:space="preserve">PartialCorr</w:t>
      </w:r>
      <w:r>
        <w:t xml:space="preserve"> </w:t>
      </w:r>
      <w:r>
        <w:t xml:space="preserve">into IVP. The correct</w:t>
      </w:r>
      <w:r>
        <w:t xml:space="preserve"> </w:t>
      </w:r>
      <w:r>
        <w:t xml:space="preserve">scale,</w:t>
      </w:r>
      <w:r>
        <w:t xml:space="preserve"> </w:t>
      </w:r>
      <m:oMath>
        <m:r>
          <m:t>α</m:t>
        </m:r>
        <m:r>
          <m:rPr>
            <m:sty m:val="p"/>
          </m:rPr>
          <m:t>≈</m:t>
        </m:r>
        <m:sSup>
          <m:e>
            <m:r>
              <m:t>10</m:t>
            </m:r>
          </m:e>
          <m:sup>
            <m:r>
              <m:rPr>
                <m:sty m:val="p"/>
              </m:rPr>
              <m:t>−</m:t>
            </m:r>
            <m:r>
              <m:t>3</m:t>
            </m:r>
          </m:sup>
        </m:sSup>
      </m:oMath>
      <w:r>
        <w:t xml:space="preserve">, leaves roughly 40% of the off-diagonals</w:t>
      </w:r>
      <w:r>
        <w:t xml:space="preserve"> </w:t>
      </w:r>
      <w:r>
        <w:t xml:space="preserve">non-zero. An earlier draft used</w:t>
      </w:r>
      <w:r>
        <w:t xml:space="preserve"> </w:t>
      </w:r>
      <m:oMath>
        <m:r>
          <m:t>α</m:t>
        </m:r>
        <m:r>
          <m:rPr>
            <m:sty m:val="p"/>
          </m:rPr>
          <m:t>=</m:t>
        </m:r>
        <m:r>
          <m:t>0.05</m:t>
        </m:r>
      </m:oMath>
      <w:r>
        <w:t xml:space="preserve">, the strategy degenerated</w:t>
      </w:r>
      <w:r>
        <w:t xml:space="preserve"> </w:t>
      </w:r>
      <w:r>
        <w:t xml:space="preserve">to IVP, and the headline table reported the two as identical; the</w:t>
      </w:r>
      <w:r>
        <w:t xml:space="preserve"> </w:t>
      </w:r>
      <w:r>
        <w:t xml:space="preserve">hyperparameter sweep of §</w:t>
      </w:r>
      <w:hyperlink w:anchor="sec:results-sweeps">
        <w:r>
          <w:rPr>
            <w:rStyle w:val="Hyperlink"/>
          </w:rPr>
          <w:t xml:space="preserve">6.3</w:t>
        </w:r>
      </w:hyperlink>
      <w:r>
        <w:t xml:space="preserve"> </w:t>
      </w:r>
      <w:r>
        <w:t xml:space="preserve">surfaced the bug, and</w:t>
      </w:r>
      <w:r>
        <w:t xml:space="preserve"> </w:t>
      </w:r>
      <w:r>
        <w:t xml:space="preserve">we document the correction explicitly.</w:t>
      </w:r>
    </w:p>
    <w:bookmarkEnd w:id="21"/>
    <w:bookmarkStart w:id="22" w:name="hrpdynamic-ewma-correlation"/>
    <w:p>
      <w:pPr>
        <w:pStyle w:val="Heading3"/>
      </w:pPr>
      <w:r>
        <w:t xml:space="preserve">HRP</w:t>
      </w:r>
      <w:r>
        <w:rPr>
          <w:vertAlign w:val="subscript"/>
        </w:rPr>
        <w:t xml:space="preserve">Dynamic</w:t>
      </w:r>
      <w:r>
        <w:t xml:space="preserve">: EWMA correlation</w:t>
      </w:r>
    </w:p>
    <w:p>
      <w:pPr>
        <w:pStyle w:val="FirstParagraph"/>
      </w:pPr>
      <w:r>
        <w:t xml:space="preserve">Recursive EWMA covariance with decay</w:t>
      </w:r>
      <w:r>
        <w:t xml:space="preserve"> </w:t>
      </w:r>
      <m:oMath>
        <m:r>
          <m:t>λ</m:t>
        </m:r>
      </m:oMath>
      <w:r>
        <w:t xml:space="preserve">; the latest snapshot is</w:t>
      </w:r>
      <w:r>
        <w:t xml:space="preserve"> </w:t>
      </w:r>
      <w:r>
        <w:t xml:space="preserve">used as the correlation input. We report</w:t>
      </w:r>
      <w:r>
        <w:t xml:space="preserve"> </w:t>
      </w:r>
      <m:oMath>
        <m:r>
          <m:t>λ</m:t>
        </m:r>
        <m:r>
          <m:rPr>
            <m:sty m:val="p"/>
          </m:rPr>
          <m:t>=</m:t>
        </m:r>
        <m:r>
          <m:t>0.94</m:t>
        </m:r>
      </m:oMath>
      <w:r>
        <w:t xml:space="preserve"> </w:t>
      </w:r>
      <w:r>
        <w:t xml:space="preserve">as the</w:t>
      </w:r>
      <w:r>
        <w:t xml:space="preserve"> </w:t>
      </w:r>
      <w:r>
        <w:t xml:space="preserve">RiskMetrics default; sensitivity to</w:t>
      </w:r>
      <w:r>
        <w:t xml:space="preserve"> </w:t>
      </w:r>
      <m:oMath>
        <m:r>
          <m:t>λ</m:t>
        </m:r>
        <m:r>
          <m:rPr>
            <m:sty m:val="p"/>
          </m:rPr>
          <m:t>∈</m:t>
        </m:r>
        <m:r>
          <m:rPr>
            <m:sty m:val="p"/>
          </m:rPr>
          <m:t>{</m:t>
        </m:r>
        <m:r>
          <m:t>0.94</m:t>
        </m:r>
        <m:r>
          <m:rPr>
            <m:sty m:val="p"/>
          </m:rPr>
          <m:t>,</m:t>
        </m:r>
        <m:r>
          <m:t>0.97</m:t>
        </m:r>
        <m:r>
          <m:rPr>
            <m:sty m:val="p"/>
          </m:rPr>
          <m:t>,</m:t>
        </m:r>
        <m:r>
          <m:t>0.99</m:t>
        </m:r>
        <m:r>
          <m:rPr>
            <m:sty m:val="p"/>
          </m:rPr>
          <m:t>}</m:t>
        </m:r>
      </m:oMath>
      <w:r>
        <w:t xml:space="preserve"> </w:t>
      </w:r>
      <w:r>
        <w:t xml:space="preserve">is documented in the supplementary appendix.</w:t>
      </w:r>
    </w:p>
    <w:bookmarkEnd w:id="22"/>
    <w:bookmarkStart w:id="23" w:name="hrptaildep-lower-tail-dependence"/>
    <w:p>
      <w:pPr>
        <w:pStyle w:val="Heading3"/>
      </w:pPr>
      <w:r>
        <w:t xml:space="preserve">HRP</w:t>
      </w:r>
      <w:r>
        <w:rPr>
          <w:vertAlign w:val="subscript"/>
        </w:rPr>
        <w:t xml:space="preserve">TailDep</w:t>
      </w:r>
      <w:r>
        <w:t xml:space="preserve">: lower-tail dependence</w:t>
      </w:r>
    </w:p>
    <w:p>
      <w:pPr>
        <w:pStyle w:val="FirstParagraph"/>
      </w:pPr>
      <w:r>
        <w:t xml:space="preserve">Empirical lower-tail dependence coefficient</w:t>
      </w:r>
      <w:r>
        <w:t xml:space="preserve"> </w:t>
      </w:r>
      <m:oMath>
        <m:sSubSup>
          <m:e>
            <m:acc>
              <m:accPr>
                <m:chr m:val="̂"/>
              </m:accPr>
              <m:e>
                <m:r>
                  <m:t>λ</m:t>
                </m:r>
              </m:e>
            </m:acc>
          </m:e>
          <m:sub>
            <m:r>
              <m:t>L</m:t>
            </m:r>
          </m:sub>
          <m:sup>
            <m:r>
              <m:t>i</m:t>
            </m:r>
            <m:r>
              <m:t>j</m:t>
            </m:r>
          </m:sup>
        </m:sSubSup>
        <m:r>
          <m:rPr>
            <m:sty m:val="p"/>
          </m:rPr>
          <m:t>(</m:t>
        </m:r>
        <m:r>
          <m:t>q</m:t>
        </m:r>
        <m:r>
          <m:rPr>
            <m:sty m:val="p"/>
          </m:rPr>
          <m:t>)</m:t>
        </m:r>
        <m:r>
          <m:rPr>
            <m:sty m:val="p"/>
          </m:rPr>
          <m:t>=</m:t>
        </m:r>
        <m:r>
          <m:t>P</m:t>
        </m:r>
        <m:r>
          <m:rPr>
            <m:sty m:val="p"/>
          </m:rPr>
          <m:t>(</m:t>
        </m:r>
        <m:sSub>
          <m:e>
            <m:r>
              <m:t>F</m:t>
            </m:r>
          </m:e>
          <m:sub>
            <m:r>
              <m:t>j</m:t>
            </m:r>
          </m:sub>
        </m:sSub>
        <m:r>
          <m:rPr>
            <m:sty m:val="p"/>
          </m:rPr>
          <m:t>(</m:t>
        </m:r>
        <m:sSub>
          <m:e>
            <m:r>
              <m:t>X</m:t>
            </m:r>
          </m:e>
          <m:sub>
            <m:r>
              <m:t>j</m:t>
            </m:r>
          </m:sub>
        </m:sSub>
        <m:r>
          <m:rPr>
            <m:sty m:val="p"/>
          </m:rPr>
          <m:t>)</m:t>
        </m:r>
        <m:r>
          <m:rPr>
            <m:sty m:val="p"/>
          </m:rPr>
          <m:t>≤</m:t>
        </m:r>
        <m:r>
          <m:t>q</m:t>
        </m:r>
        <m:r>
          <m:rPr>
            <m:sty m:val="p"/>
          </m:rPr>
          <m:t>∣</m:t>
        </m:r>
        <m:sSub>
          <m:e>
            <m:r>
              <m:t>F</m:t>
            </m:r>
          </m:e>
          <m:sub>
            <m:r>
              <m:t>i</m:t>
            </m:r>
          </m:sub>
        </m:sSub>
        <m:r>
          <m:rPr>
            <m:sty m:val="p"/>
          </m:rPr>
          <m:t>(</m:t>
        </m:r>
        <m:sSub>
          <m:e>
            <m:r>
              <m:t>X</m:t>
            </m:r>
          </m:e>
          <m:sub>
            <m:r>
              <m:t>i</m:t>
            </m:r>
          </m:sub>
        </m:sSub>
        <m:r>
          <m:rPr>
            <m:sty m:val="p"/>
          </m:rPr>
          <m:t>)</m:t>
        </m:r>
        <m:r>
          <m:rPr>
            <m:sty m:val="p"/>
          </m:rPr>
          <m:t>≤</m:t>
        </m:r>
        <m:r>
          <m:t>q</m:t>
        </m:r>
        <m:r>
          <m:rPr>
            <m:sty m:val="p"/>
          </m:rPr>
          <m:t>)</m:t>
        </m:r>
      </m:oMath>
      <w:r>
        <w:t xml:space="preserve"> </w:t>
      </w:r>
      <w:r>
        <w:t xml:space="preserve">at</w:t>
      </w:r>
      <w:r>
        <w:t xml:space="preserve"> </w:t>
      </w:r>
      <m:oMath>
        <m:r>
          <m:t>q</m:t>
        </m:r>
        <m:r>
          <m:rPr>
            <m:sty m:val="p"/>
          </m:rPr>
          <m:t>=</m:t>
        </m:r>
        <m:r>
          <m:t>0.05</m:t>
        </m:r>
      </m:oMath>
      <w:r>
        <w:t xml:space="preserve">, symmetrised by</w:t>
      </w:r>
      <w:r>
        <w:t xml:space="preserve"> </w:t>
      </w:r>
      <w:r>
        <w:t xml:space="preserve">averaging the two conditional probabilities. The distance is</w:t>
      </w:r>
      <w:r>
        <w:t xml:space="preserve"> </w:t>
      </w:r>
      <m:oMath>
        <m:sSub>
          <m:e>
            <m:r>
              <m:t>d</m:t>
            </m:r>
          </m:e>
          <m:sub>
            <m:r>
              <m:t>i</m:t>
            </m:r>
            <m:r>
              <m:t>j</m:t>
            </m:r>
          </m:sub>
        </m:sSub>
        <m:r>
          <m:rPr>
            <m:sty m:val="p"/>
          </m:rPr>
          <m:t>=</m:t>
        </m:r>
        <m:rad>
          <m:radPr>
            <m:degHide m:val="on"/>
          </m:radPr>
          <m:deg/>
          <m:e>
            <m:r>
              <m:t>1</m:t>
            </m:r>
            <m:r>
              <m:rPr>
                <m:sty m:val="p"/>
              </m:rPr>
              <m:t>−</m:t>
            </m:r>
            <m:sSubSup>
              <m:e>
                <m:acc>
                  <m:accPr>
                    <m:chr m:val="̂"/>
                  </m:accPr>
                  <m:e>
                    <m:r>
                      <m:t>λ</m:t>
                    </m:r>
                  </m:e>
                </m:acc>
              </m:e>
              <m:sub>
                <m:r>
                  <m:t>L</m:t>
                </m:r>
              </m:sub>
              <m:sup>
                <m:r>
                  <m:t>i</m:t>
                </m:r>
                <m:r>
                  <m:t>j</m:t>
                </m:r>
              </m:sup>
            </m:sSubSup>
          </m:e>
        </m:rad>
      </m:oMath>
      <w:r>
        <w:t xml:space="preserve">; the sample covariance is</w:t>
      </w:r>
      <w:r>
        <w:t xml:space="preserve"> </w:t>
      </w:r>
      <w:r>
        <w:t xml:space="preserve">retained for bisection. Promoted from appendix to a headline strategy</w:t>
      </w:r>
      <w:r>
        <w:t xml:space="preserve"> </w:t>
      </w:r>
      <w:r>
        <w:t xml:space="preserve">after the empirical findings of §</w:t>
      </w:r>
      <w:hyperlink w:anchor="sec:results">
        <w:r>
          <w:rPr>
            <w:rStyle w:val="Hyperlink"/>
          </w:rPr>
          <w:t xml:space="preserve">6</w:t>
        </w:r>
      </w:hyperlink>
      <w:r>
        <w:t xml:space="preserve"> </w:t>
      </w:r>
      <w:r>
        <w:t xml:space="preserve">showed it does not</w:t>
      </w:r>
      <w:r>
        <w:t xml:space="preserve"> </w:t>
      </w:r>
      <w:r>
        <w:t xml:space="preserve">fall back across the 76 backtest snapshots.</w:t>
      </w:r>
    </w:p>
    <w:bookmarkEnd w:id="23"/>
    <w:bookmarkStart w:id="24" w:name="hrpshrunkcov-ledoitwolf-shrinkage"/>
    <w:p>
      <w:pPr>
        <w:pStyle w:val="Heading3"/>
      </w:pPr>
      <w:r>
        <w:t xml:space="preserve">HRP</w:t>
      </w:r>
      <w:r>
        <w:rPr>
          <w:vertAlign w:val="subscript"/>
        </w:rPr>
        <w:t xml:space="preserve">ShrunkCov</w:t>
      </w:r>
      <w:r>
        <w:t xml:space="preserve">: Ledoit–Wolf shrinkage</w:t>
      </w:r>
    </w:p>
    <w:p>
      <w:pPr>
        <w:pStyle w:val="FirstParagraph"/>
      </w:pPr>
      <w:r>
        <w:t xml:space="preserve">Sample covariance replaced with the analytic Ledoit–Wolf shrinkage</w:t>
      </w:r>
      <w:r>
        <w:t xml:space="preserve"> </w:t>
      </w:r>
      <w:r>
        <w:t xml:space="preserve">estimator</w:t>
      </w:r>
      <w:r>
        <w:t xml:space="preserve"> </w:t>
      </w:r>
      <w:r>
        <w:t xml:space="preserve">(Ledoit and Wolf 2003, 2004)</w:t>
      </w:r>
      <w:r>
        <w:t xml:space="preserve">; the</w:t>
      </w:r>
      <w:r>
        <w:t xml:space="preserve"> </w:t>
      </w:r>
      <w:r>
        <w:t xml:space="preserve">implied correlation is derived from the shrunk covariance and fed</w:t>
      </w:r>
      <w:r>
        <w:t xml:space="preserve"> </w:t>
      </w:r>
      <w:r>
        <w:t xml:space="preserve">to HRP. Shrinkage intensity</w:t>
      </w:r>
      <w:r>
        <w:t xml:space="preserve"> </w:t>
      </w:r>
      <m:oMath>
        <m:r>
          <m:t>α</m:t>
        </m:r>
        <m:r>
          <m:rPr>
            <m:sty m:val="p"/>
          </m:rPr>
          <m:t>∈</m:t>
        </m:r>
        <m:r>
          <m:rPr>
            <m:sty m:val="p"/>
          </m:rPr>
          <m:t>[</m:t>
        </m:r>
        <m:r>
          <m:t>0</m:t>
        </m:r>
        <m:r>
          <m:rPr>
            <m:sty m:val="p"/>
          </m:rPr>
          <m:t>,</m:t>
        </m:r>
        <m:r>
          <m:t>1</m:t>
        </m:r>
        <m:r>
          <m:rPr>
            <m:sty m:val="p"/>
          </m:rPr>
          <m:t>]</m:t>
        </m:r>
      </m:oMath>
      <w:r>
        <w:t xml:space="preserve"> </w:t>
      </w:r>
      <w:r>
        <w:t xml:space="preserve">is chosen analytically</w:t>
      </w:r>
      <w:r>
        <w:t xml:space="preserve"> </w:t>
      </w:r>
      <w:r>
        <w:t xml:space="preserve">per snapshot and reported as a diagnostic.</w:t>
      </w:r>
    </w:p>
    <w:bookmarkEnd w:id="24"/>
    <w:bookmarkStart w:id="25" w:name="hrpvolstd-vol-standardised-returns"/>
    <w:p>
      <w:pPr>
        <w:pStyle w:val="Heading3"/>
      </w:pPr>
      <w:r>
        <w:t xml:space="preserve">HRP</w:t>
      </w:r>
      <w:r>
        <w:rPr>
          <w:vertAlign w:val="subscript"/>
        </w:rPr>
        <w:t xml:space="preserve">VolStd</w:t>
      </w:r>
      <w:r>
        <w:t xml:space="preserve">: vol-standardised returns</w:t>
      </w:r>
    </w:p>
    <w:p>
      <w:pPr>
        <w:pStyle w:val="FirstParagraph"/>
      </w:pPr>
      <w:r>
        <w:t xml:space="preserve">Per-asset returns are divided by their lagged 30-day rolling standard</w:t>
      </w:r>
      <w:r>
        <w:t xml:space="preserve"> </w:t>
      </w:r>
      <w:r>
        <w:t xml:space="preserve">deviation before computing Pearson correlation. Addresses crypto’s</w:t>
      </w:r>
      <w:r>
        <w:t xml:space="preserve"> </w:t>
      </w:r>
      <w:r>
        <w:t xml:space="preserve">heterogeneous vol scale across the universe (e.g. BTC vs. SHIB).</w:t>
      </w:r>
      <w:r>
        <w:t xml:space="preserve"> </w:t>
      </w:r>
      <w:r>
        <w:t xml:space="preserve">The sample covariance is retained for bisection.</w:t>
      </w:r>
    </w:p>
    <w:bookmarkEnd w:id="25"/>
    <w:bookmarkStart w:id="26" w:name="hrptaildepshrunk-hybrid"/>
    <w:p>
      <w:pPr>
        <w:pStyle w:val="Heading3"/>
      </w:pPr>
      <w:r>
        <w:t xml:space="preserve">HRP</w:t>
      </w:r>
      <w:r>
        <w:rPr>
          <w:vertAlign w:val="subscript"/>
        </w:rPr>
        <w:t xml:space="preserve">TailDepShrunk</w:t>
      </w:r>
      <w:r>
        <w:t xml:space="preserve">: hybrid</w:t>
      </w:r>
    </w:p>
    <w:p>
      <w:pPr>
        <w:pStyle w:val="FirstParagraph"/>
      </w:pPr>
      <w:r>
        <w:t xml:space="preserve">Combines</w:t>
      </w:r>
      <w:r>
        <w:t xml:space="preserve"> </w:t>
      </w:r>
      <m:oMath>
        <m:r>
          <m:rPr>
            <m:sty m:val="p"/>
          </m:rPr>
          <m:t>§</m:t>
        </m:r>
      </m:oMath>
      <w:r>
        <w:t xml:space="preserve">3.6 (tail-dep distance for the dendrogram) with</w:t>
      </w:r>
      <w:r>
        <w:t xml:space="preserve"> </w:t>
      </w:r>
      <m:oMath>
        <m:r>
          <m:rPr>
            <m:sty m:val="p"/>
          </m:rPr>
          <m:t>§</m:t>
        </m:r>
      </m:oMath>
      <w:r>
        <w:t xml:space="preserve">3.7</w:t>
      </w:r>
      <w:r>
        <w:t xml:space="preserve"> </w:t>
      </w:r>
      <w:r>
        <w:t xml:space="preserve">(LW-shrunk covariance for bisection). Identified by the literature as</w:t>
      </w:r>
      <w:r>
        <w:t xml:space="preserve"> </w:t>
      </w:r>
      <w:r>
        <w:t xml:space="preserve">the strongest theoretical extension for crypto: tail-dep captures the</w:t>
      </w:r>
      <w:r>
        <w:t xml:space="preserve"> </w:t>
      </w:r>
      <w:r>
        <w:t xml:space="preserve">joint-crash co-movement that matters for long-only portfolios, while</w:t>
      </w:r>
      <w:r>
        <w:t xml:space="preserve"> </w:t>
      </w:r>
      <w:r>
        <w:t xml:space="preserve">LW shrinkage stabilises the per-cluster variance allocation.</w:t>
      </w:r>
    </w:p>
    <w:bookmarkEnd w:id="26"/>
    <w:bookmarkEnd w:id="27"/>
    <w:bookmarkStart w:id="34" w:name="sec:methods-emb"/>
    <w:p>
      <w:pPr>
        <w:pStyle w:val="Heading2"/>
      </w:pPr>
      <w:r>
        <w:t xml:space="preserve">Embedding-based variants</w:t>
      </w:r>
    </w:p>
    <w:p>
      <w:pPr>
        <w:pStyle w:val="FirstParagraph"/>
      </w:pPr>
      <w:r>
        <w:t xml:space="preserve">Beyond reweighting the correlation or covariance estimator, the distance</w:t>
      </w:r>
      <w:r>
        <w:t xml:space="preserve"> </w:t>
      </w:r>
      <w:r>
        <w:t xml:space="preserve">matrix that drives HRP’s dendrogram can be</w:t>
      </w:r>
      <w:r>
        <w:t xml:space="preserve"> </w:t>
      </w:r>
      <w:r>
        <w:rPr>
          <w:i/>
          <w:iCs/>
        </w:rPr>
        <w:t xml:space="preserve">learned</w:t>
      </w:r>
      <w:r>
        <w:t xml:space="preserve"> </w:t>
      </w:r>
      <w:r>
        <w:t xml:space="preserve">from a</w:t>
      </w:r>
      <w:r>
        <w:t xml:space="preserve"> </w:t>
      </w:r>
      <w:r>
        <w:t xml:space="preserve">representation of each asset’s return path. We implement four such</w:t>
      </w:r>
      <w:r>
        <w:t xml:space="preserve"> </w:t>
      </w:r>
      <w:r>
        <w:t xml:space="preserve">embedding variants. All share one template: an embedding maps each asset</w:t>
      </w:r>
      <w:r>
        <w:t xml:space="preserve"> </w:t>
      </w:r>
      <w:r>
        <w:t xml:space="preserve">to a vector, the pairwise cosine distance of those vectors replaces HRP’s</w:t>
      </w:r>
      <w:r>
        <w:t xml:space="preserve"> </w:t>
      </w:r>
      <w:r>
        <w:t xml:space="preserve">correlation distance for the linkage and quasi-diagonalisation steps, and</w:t>
      </w:r>
      <w:r>
        <w:t xml:space="preserve"> </w:t>
      </w:r>
      <w:r>
        <w:t xml:space="preserve">the</w:t>
      </w:r>
      <w:r>
        <w:t xml:space="preserve"> </w:t>
      </w:r>
      <w:r>
        <w:rPr>
          <w:i/>
          <w:iCs/>
        </w:rPr>
        <w:t xml:space="preserve">sample</w:t>
      </w:r>
      <w:r>
        <w:t xml:space="preserve"> </w:t>
      </w:r>
      <w:r>
        <w:t xml:space="preserve">covariance is retained for recursive bisection. The</w:t>
      </w:r>
      <w:r>
        <w:t xml:space="preserve"> </w:t>
      </w:r>
      <w:r>
        <w:t xml:space="preserve">embedding therefore changes only</w:t>
      </w:r>
      <w:r>
        <w:t xml:space="preserve"> </w:t>
      </w:r>
      <w:r>
        <w:rPr>
          <w:i/>
          <w:iCs/>
        </w:rPr>
        <w:t xml:space="preserve">which assets cluster together</w:t>
      </w:r>
      <w:r>
        <w:t xml:space="preserve">,</w:t>
      </w:r>
      <w:r>
        <w:t xml:space="preserve"> </w:t>
      </w:r>
      <w:r>
        <w:t xml:space="preserve">never the inverse-variance allocation within a cluster, which is why,</w:t>
      </w:r>
      <w:r>
        <w:t xml:space="preserve"> </w:t>
      </w:r>
      <w:r>
        <w:t xml:space="preserve">as §</w:t>
      </w:r>
      <w:hyperlink w:anchor="sec:results">
        <w:r>
          <w:rPr>
            <w:rStyle w:val="Hyperlink"/>
          </w:rPr>
          <w:t xml:space="preserve">6</w:t>
        </w:r>
      </w:hyperlink>
      <w:r>
        <w:t xml:space="preserve"> </w:t>
      </w:r>
      <w:r>
        <w:t xml:space="preserve">shows, every embedding variant stays within a</w:t>
      </w:r>
      <w:r>
        <w:t xml:space="preserve"> </w:t>
      </w:r>
      <w:r>
        <w:t xml:space="preserve">narrow Sharpe band of baseline HRP.</w:t>
      </w:r>
    </w:p>
    <w:bookmarkStart w:id="28" w:name="hrppathsig-path-signatures"/>
    <w:p>
      <w:pPr>
        <w:pStyle w:val="Heading3"/>
      </w:pPr>
      <w:r>
        <w:t xml:space="preserve">HRP</w:t>
      </w:r>
      <w:r>
        <w:rPr>
          <w:vertAlign w:val="subscript"/>
        </w:rPr>
        <w:t xml:space="preserve">PathSig</w:t>
      </w:r>
      <w:r>
        <w:t xml:space="preserve">: path signatures</w:t>
      </w:r>
    </w:p>
    <w:p>
      <w:pPr>
        <w:pStyle w:val="FirstParagraph"/>
      </w:pPr>
      <w:r>
        <w:t xml:space="preserve">Each asset’s rolling log-price trajectory, augmented with a monotone time</w:t>
      </w:r>
      <w:r>
        <w:t xml:space="preserve"> </w:t>
      </w:r>
      <w:r>
        <w:t xml:space="preserve">channel, is mapped to its level-</w:t>
      </w:r>
      <m:oMath>
        <m:r>
          <m:t>L</m:t>
        </m:r>
      </m:oMath>
      <w:r>
        <w:t xml:space="preserve"> </w:t>
      </w:r>
      <w:r>
        <w:t xml:space="preserve">truncated path signature</w:t>
      </w:r>
      <w:r>
        <w:t xml:space="preserve"> </w:t>
      </w:r>
      <w:r>
        <w:t xml:space="preserve">(Lyons 1998)</w:t>
      </w:r>
      <w:r>
        <w:t xml:space="preserve">, a graded sequence of iterated integrals that</w:t>
      </w:r>
      <w:r>
        <w:t xml:space="preserve"> </w:t>
      </w:r>
      <w:r>
        <w:t xml:space="preserve">characterises the path up to tree-like equivalence. Cosine distance on</w:t>
      </w:r>
      <w:r>
        <w:t xml:space="preserve"> </w:t>
      </w:r>
      <w:r>
        <w:t xml:space="preserve">the signature vectors drives the dendrogram (default: level 3, 60-day</w:t>
      </w:r>
      <w:r>
        <w:t xml:space="preserve"> </w:t>
      </w:r>
      <w:r>
        <w:t xml:space="preserve">window), computed with the</w:t>
      </w:r>
      <w:r>
        <w:t xml:space="preserve"> </w:t>
      </w:r>
      <w:r>
        <w:rPr>
          <w:rStyle w:val="VerbatimChar"/>
        </w:rPr>
        <w:t xml:space="preserve">esig</w:t>
      </w:r>
      <w:r>
        <w:t xml:space="preserve"> </w:t>
      </w:r>
      <w:r>
        <w:t xml:space="preserve">library.</w:t>
      </w:r>
    </w:p>
    <w:bookmarkEnd w:id="28"/>
    <w:bookmarkStart w:id="29" w:name="hrpnodeembed-node2vec-graph-embedding"/>
    <w:p>
      <w:pPr>
        <w:pStyle w:val="Heading3"/>
      </w:pPr>
      <w:r>
        <w:t xml:space="preserve">HRP</w:t>
      </w:r>
      <w:r>
        <w:rPr>
          <w:vertAlign w:val="subscript"/>
        </w:rPr>
        <w:t xml:space="preserve">NodeEmbed</w:t>
      </w:r>
      <w:r>
        <w:t xml:space="preserve">: node2vec graph embedding</w:t>
      </w:r>
    </w:p>
    <w:p>
      <w:pPr>
        <w:pStyle w:val="FirstParagraph"/>
      </w:pPr>
      <w:r>
        <w:t xml:space="preserve">A</w:t>
      </w:r>
      <w:r>
        <w:t xml:space="preserve"> </w:t>
      </w:r>
      <m:oMath>
        <m:r>
          <m:t>k</m:t>
        </m:r>
      </m:oMath>
      <w:r>
        <w:t xml:space="preserve">-nearest-neighbour graph (</w:t>
      </w:r>
      <m:oMath>
        <m:r>
          <m:t>k</m:t>
        </m:r>
        <m:r>
          <m:rPr>
            <m:sty m:val="p"/>
          </m:rPr>
          <m:t>=</m:t>
        </m:r>
        <m:r>
          <m:t>10</m:t>
        </m:r>
      </m:oMath>
      <w:r>
        <w:t xml:space="preserve">) is built from the sample</w:t>
      </w:r>
      <w:r>
        <w:t xml:space="preserve"> </w:t>
      </w:r>
      <w:r>
        <w:t xml:space="preserve">correlation matrix; node2vec random walks plus a skip-gram objective</w:t>
      </w:r>
      <w:r>
        <w:t xml:space="preserve"> </w:t>
      </w:r>
      <w:r>
        <w:t xml:space="preserve">(Grover and Leskovec 2016)</w:t>
      </w:r>
      <w:r>
        <w:t xml:space="preserve"> </w:t>
      </w:r>
      <w:r>
        <w:t xml:space="preserve">learn a 32-dimensional embedding per node. Cosine</w:t>
      </w:r>
      <w:r>
        <w:t xml:space="preserve"> </w:t>
      </w:r>
      <w:r>
        <w:t xml:space="preserve">distance on the embeddings drives the dendrogram.</w:t>
      </w:r>
    </w:p>
    <w:bookmarkEnd w:id="29"/>
    <w:bookmarkStart w:id="30" w:name="hrpcontrastive-contrastive-ssl"/>
    <w:p>
      <w:pPr>
        <w:pStyle w:val="Heading3"/>
      </w:pPr>
      <w:r>
        <w:t xml:space="preserve">HRP</w:t>
      </w:r>
      <w:r>
        <w:rPr>
          <w:vertAlign w:val="subscript"/>
        </w:rPr>
        <w:t xml:space="preserve">Contrastive</w:t>
      </w:r>
      <w:r>
        <w:t xml:space="preserve">: contrastive SSL</w:t>
      </w:r>
    </w:p>
    <w:p>
      <w:pPr>
        <w:pStyle w:val="FirstParagraph"/>
      </w:pPr>
      <w:r>
        <w:t xml:space="preserve">A small one-dimensional convolutional encoder is trained with the NT-Xent</w:t>
      </w:r>
      <w:r>
        <w:t xml:space="preserve"> </w:t>
      </w:r>
      <w:r>
        <w:t xml:space="preserve">contrastive loss</w:t>
      </w:r>
      <w:r>
        <w:t xml:space="preserve"> </w:t>
      </w:r>
      <w:r>
        <w:t xml:space="preserve">(Chen et al. 2020)</w:t>
      </w:r>
      <w:r>
        <w:t xml:space="preserve"> </w:t>
      </w:r>
      <w:r>
        <w:t xml:space="preserve">on Gaussian-jittered pairs of return</w:t>
      </w:r>
      <w:r>
        <w:t xml:space="preserve"> </w:t>
      </w:r>
      <w:r>
        <w:t xml:space="preserve">windows; each asset is embedded as the mean encoder output over its</w:t>
      </w:r>
      <w:r>
        <w:t xml:space="preserve"> </w:t>
      </w:r>
      <w:r>
        <w:t xml:space="preserve">windows.</w:t>
      </w:r>
    </w:p>
    <w:bookmarkEnd w:id="30"/>
    <w:bookmarkStart w:id="33" w:name="hrpts2vec-timestamp-masked-contrastive"/>
    <w:p>
      <w:pPr>
        <w:pStyle w:val="Heading3"/>
      </w:pPr>
      <w:r>
        <w:t xml:space="preserve">HRP</w:t>
      </w:r>
      <w:r>
        <w:rPr>
          <w:vertAlign w:val="subscript"/>
        </w:rPr>
        <w:t xml:space="preserve">TS2Vec</w:t>
      </w:r>
      <w:r>
        <w:t xml:space="preserve">: timestamp-masked contrastive</w:t>
      </w:r>
    </w:p>
    <w:p>
      <w:pPr>
        <w:pStyle w:val="FirstParagraph"/>
      </w:pPr>
      <w:r>
        <w:t xml:space="preserve">The same encoder family, trained with TS2Vec-style timestamp-mask</w:t>
      </w:r>
      <w:r>
        <w:t xml:space="preserve"> </w:t>
      </w:r>
      <w:r>
        <w:t xml:space="preserve">augmentation</w:t>
      </w:r>
      <w:r>
        <w:t xml:space="preserve"> </w:t>
      </w:r>
      <w:r>
        <w:t xml:space="preserve">(Yue et al. 2022)</w:t>
      </w:r>
      <w:r>
        <w:t xml:space="preserve"> </w:t>
      </w:r>
      <w:r>
        <w:t xml:space="preserve">in place of Gaussian jitter.</w:t>
      </w:r>
    </w:p>
    <w:bookmarkStart w:id="31" w:name="multi-channel-extension."/>
    <w:p>
      <w:pPr>
        <w:pStyle w:val="Heading4"/>
      </w:pPr>
      <w:r>
        <w:t xml:space="preserve">Multi-channel extension.</w:t>
      </w:r>
    </w:p>
    <w:p>
      <w:pPr>
        <w:pStyle w:val="FirstParagraph"/>
      </w:pPr>
      <w:r>
        <w:t xml:space="preserve">A return-only embedding is</w:t>
      </w:r>
      <w:r>
        <w:t xml:space="preserve"> </w:t>
      </w:r>
      <w:r>
        <w:t xml:space="preserve">information-equivalent to the sample correlation it is meant to improve</w:t>
      </w:r>
      <w:r>
        <w:t xml:space="preserve"> </w:t>
      </w:r>
      <w:r>
        <w:t xml:space="preserve">on: a nonlinear re-encoding of the same return series cannot out-cluster</w:t>
      </w:r>
      <w:r>
        <w:t xml:space="preserve"> </w:t>
      </w:r>
      <w:r>
        <w:t xml:space="preserve">the correlation derived from it. We therefore also evaluate</w:t>
      </w:r>
      <w:r>
        <w:t xml:space="preserve"> </w:t>
      </w:r>
      <w:r>
        <w:rPr>
          <w:i/>
          <w:iCs/>
        </w:rPr>
        <w:t xml:space="preserve">multi-channel</w:t>
      </w:r>
      <w:r>
        <w:t xml:space="preserve"> </w:t>
      </w:r>
      <w:r>
        <w:t xml:space="preserve">variants that append channels orthogonal to</w:t>
      </w:r>
      <w:r>
        <w:t xml:space="preserve"> </w:t>
      </w:r>
      <w:r>
        <w:t xml:space="preserve">close-to-close returns: quote volume, trade count, average trade size,</w:t>
      </w:r>
      <w:r>
        <w:t xml:space="preserve"> </w:t>
      </w:r>
      <w:r>
        <w:t xml:space="preserve">intraday range, taker buy-ratio (order-flow imbalance), and Amihud</w:t>
      </w:r>
      <w:r>
        <w:t xml:space="preserve"> </w:t>
      </w:r>
      <w:r>
        <w:t xml:space="preserve">illiquidity, all derived from the Binance OHLCV table. The multi-channel</w:t>
      </w:r>
      <w:r>
        <w:t xml:space="preserve"> </w:t>
      </w:r>
      <w:r>
        <w:t xml:space="preserve">results are reported in §</w:t>
      </w:r>
      <w:hyperlink w:anchor="sec:results-sweeps">
        <w:r>
          <w:rPr>
            <w:rStyle w:val="Hyperlink"/>
          </w:rPr>
          <w:t xml:space="preserve">6.3</w:t>
        </w:r>
      </w:hyperlink>
      <w:r>
        <w:t xml:space="preserve">.</w:t>
      </w:r>
    </w:p>
    <w:bookmarkEnd w:id="31"/>
    <w:bookmarkStart w:id="32" w:name="robustness."/>
    <w:p>
      <w:pPr>
        <w:pStyle w:val="Heading4"/>
      </w:pPr>
      <w:r>
        <w:t xml:space="preserve">Robustness.</w:t>
      </w:r>
    </w:p>
    <w:p>
      <w:pPr>
        <w:pStyle w:val="FirstParagraph"/>
      </w:pPr>
      <w:r>
        <w:t xml:space="preserve">Each embedding variant records whether it fell</w:t>
      </w:r>
      <w:r>
        <w:t xml:space="preserve"> </w:t>
      </w:r>
      <w:r>
        <w:t xml:space="preserve">back to baseline HRP on any numerical failure; across the 76-snapshot</w:t>
      </w:r>
      <w:r>
        <w:t xml:space="preserve"> </w:t>
      </w:r>
      <w:r>
        <w:t xml:space="preserve">backtest no fallback was triggered for any variant, so every reported</w:t>
      </w:r>
      <w:r>
        <w:t xml:space="preserve"> </w:t>
      </w:r>
      <w:r>
        <w:t xml:space="preserve">embedding number reflects the embedding pipeline itself.</w:t>
      </w:r>
    </w:p>
    <w:bookmarkEnd w:id="32"/>
    <w:bookmarkEnd w:id="33"/>
    <w:bookmarkEnd w:id="34"/>
    <w:bookmarkStart w:id="38" w:name="sec:methods-comparators"/>
    <w:p>
      <w:pPr>
        <w:pStyle w:val="Heading2"/>
      </w:pPr>
      <w:r>
        <w:t xml:space="preserve">Comparator strategies</w:t>
      </w:r>
    </w:p>
    <w:bookmarkStart w:id="35" w:name="risk-based-comparators."/>
    <w:p>
      <w:pPr>
        <w:pStyle w:val="Heading4"/>
      </w:pPr>
      <w:r>
        <w:t xml:space="preserve">Risk-based comparators.</w:t>
      </w:r>
    </w:p>
    <w:p>
      <w:pPr>
        <w:pStyle w:val="FirstParagraph"/>
      </w:pPr>
      <w:r>
        <w:rPr>
          <w:b/>
          <w:bCs/>
        </w:rPr>
        <w:t xml:space="preserve">IVP</w:t>
      </w:r>
      <w:r>
        <w:t xml:space="preserve"> </w:t>
      </w:r>
      <w:r>
        <w:t xml:space="preserve">(inverse-variance),</w:t>
      </w:r>
      <w:r>
        <w:t xml:space="preserve"> </w:t>
      </w:r>
      <w:r>
        <w:rPr>
          <w:b/>
          <w:bCs/>
        </w:rPr>
        <w:t xml:space="preserve">MVP</w:t>
      </w:r>
      <w:r>
        <w:t xml:space="preserve"> </w:t>
      </w:r>
      <w:r>
        <w:t xml:space="preserve">(minimum-variance via SLSQP),</w:t>
      </w:r>
      <w:r>
        <w:t xml:space="preserve"> </w:t>
      </w:r>
      <w:r>
        <w:rPr>
          <w:b/>
          <w:bCs/>
        </w:rPr>
        <w:t xml:space="preserve">ERC</w:t>
      </w:r>
      <w:r>
        <w:t xml:space="preserve"> </w:t>
      </w:r>
      <w:r>
        <w:t xml:space="preserve">(Maillard et al. 2010)</w:t>
      </w:r>
      <w:r>
        <w:t xml:space="preserve"> </w:t>
      </w:r>
      <w:r>
        <w:t xml:space="preserve">(solved by SLSQP minimisation of</w:t>
      </w:r>
      <w:r>
        <w:t xml:space="preserve"> </w:t>
      </w:r>
      <w:r>
        <w:t xml:space="preserve">squared deviations from equal risk contributions),</w:t>
      </w:r>
      <w:r>
        <w:t xml:space="preserve"> </w:t>
      </w:r>
      <w:r>
        <w:rPr>
          <w:b/>
          <w:bCs/>
        </w:rPr>
        <w:t xml:space="preserve">Maximum</w:t>
      </w:r>
      <w:r>
        <w:rPr>
          <w:b/>
          <w:bCs/>
        </w:rPr>
        <w:t xml:space="preserve"> </w:t>
      </w:r>
      <w:r>
        <w:rPr>
          <w:b/>
          <w:bCs/>
        </w:rPr>
        <w:t xml:space="preserve">Diversification</w:t>
      </w:r>
      <w:r>
        <w:t xml:space="preserve"> </w:t>
      </w:r>
      <w:r>
        <w:t xml:space="preserve">(Choueifaty and Coignard 2008)</w:t>
      </w:r>
      <w:r>
        <w:t xml:space="preserve"> </w:t>
      </w:r>
      <w:r>
        <w:t xml:space="preserve">(SLSQP maximisation of</w:t>
      </w:r>
      <w:r>
        <w:t xml:space="preserve"> </w:t>
      </w:r>
      <w:r>
        <w:t xml:space="preserve">the diversification ratio), and</w:t>
      </w:r>
      <w:r>
        <w:t xml:space="preserve"> </w:t>
      </w:r>
      <w:r>
        <w:rPr>
          <w:b/>
          <w:bCs/>
        </w:rPr>
        <w:t xml:space="preserve">CRISP</w:t>
      </w:r>
      <w:r>
        <w:t xml:space="preserve"> </w:t>
      </w:r>
      <w:r>
        <w:t xml:space="preserve">(Correlation-Regularised</w:t>
      </w:r>
      <w:r>
        <w:t xml:space="preserve"> </w:t>
      </w:r>
      <w:r>
        <w:t xml:space="preserve">Iterative Shrinkage Portfolio;</w:t>
      </w:r>
      <w:r>
        <w:t xml:space="preserve"> </w:t>
      </w:r>
      <w:r>
        <w:t xml:space="preserve">(Wuebben 2026)</w:t>
      </w:r>
      <w:r>
        <w:t xml:space="preserve">, a recent</w:t>
      </w:r>
      <w:r>
        <w:t xml:space="preserve"> </w:t>
      </w:r>
      <w:r>
        <w:t xml:space="preserve">preprint). CRISP solves</w:t>
      </w:r>
      <w:r>
        <w:t xml:space="preserve"> </w:t>
      </w:r>
      <w:r>
        <w:t xml:space="preserve">the linear system</w:t>
      </w:r>
      <w:r>
        <w:t xml:space="preserve"> </w:t>
      </w:r>
      <m:oMath>
        <m:sSub>
          <m:e>
            <m:r>
              <m:t>P</m:t>
            </m:r>
          </m:e>
          <m:sub>
            <m:r>
              <m:t>γ</m:t>
            </m:r>
          </m:sub>
        </m:sSub>
        <m:r>
          <m:t>w</m:t>
        </m:r>
        <m:r>
          <m:rPr>
            <m:sty m:val="p"/>
          </m:rPr>
          <m:t>=</m:t>
        </m:r>
        <m:r>
          <m:rPr>
            <m:sty m:val="b"/>
          </m:rPr>
          <m:t>1</m:t>
        </m:r>
      </m:oMath>
      <w:r>
        <w:t xml:space="preserve"> </w:t>
      </w:r>
      <w:r>
        <w:t xml:space="preserve">with</w:t>
      </w:r>
      <w:r>
        <w:t xml:space="preserve"> </w:t>
      </w:r>
      <m:oMath>
        <m:sSub>
          <m:e>
            <m:r>
              <m:t>P</m:t>
            </m:r>
          </m:e>
          <m:sub>
            <m:r>
              <m:t>γ</m:t>
            </m:r>
          </m:sub>
        </m:sSub>
        <m:r>
          <m:rPr>
            <m:sty m:val="p"/>
          </m:rPr>
          <m:t>=</m:t>
        </m:r>
        <m:r>
          <m:rPr>
            <m:sty m:val="p"/>
          </m:rPr>
          <m:t>(</m:t>
        </m:r>
        <m:r>
          <m:t>1</m:t>
        </m:r>
        <m:r>
          <m:rPr>
            <m:sty m:val="p"/>
          </m:rPr>
          <m:t>−</m:t>
        </m:r>
        <m:r>
          <m:t>γ</m:t>
        </m:r>
        <m:r>
          <m:rPr>
            <m:sty m:val="p"/>
          </m:rPr>
          <m:t>)</m:t>
        </m:r>
        <m:r>
          <m:t> </m:t>
        </m:r>
        <m:r>
          <m:rPr>
            <m:sty m:val="p"/>
          </m:rPr>
          <m:t>d</m:t>
        </m:r>
        <m:r>
          <m:rPr>
            <m:sty m:val="p"/>
          </m:rPr>
          <m:t>i</m:t>
        </m:r>
        <m:r>
          <m:rPr>
            <m:sty m:val="p"/>
          </m:rPr>
          <m:t>a</m:t>
        </m:r>
        <m:r>
          <m:rPr>
            <m:sty m:val="p"/>
          </m:rPr>
          <m:t>g</m:t>
        </m:r>
        <m:r>
          <m:rPr>
            <m:sty m:val="p"/>
          </m:rPr>
          <m:t>(</m:t>
        </m:r>
        <m:r>
          <m:rPr>
            <m:sty m:val="p"/>
          </m:rPr>
          <m:t>Σ</m:t>
        </m:r>
        <m:r>
          <m:rPr>
            <m:sty m:val="p"/>
          </m:rPr>
          <m:t>)</m:t>
        </m:r>
        <m:r>
          <m:rPr>
            <m:sty m:val="p"/>
          </m:rPr>
          <m:t>+</m:t>
        </m:r>
        <m:r>
          <m:t>γ</m:t>
        </m:r>
        <m:r>
          <m:t> </m:t>
        </m:r>
        <m:r>
          <m:rPr>
            <m:sty m:val="p"/>
          </m:rPr>
          <m:t>Σ</m:t>
        </m:r>
      </m:oMath>
      <w:r>
        <w:t xml:space="preserve">, a</w:t>
      </w:r>
      <w:r>
        <w:t xml:space="preserve"> </w:t>
      </w:r>
      <w:r>
        <w:t xml:space="preserve">variance-preserving shrinkage that keeps the asset variances exact and</w:t>
      </w:r>
      <w:r>
        <w:t xml:space="preserve"> </w:t>
      </w:r>
      <w:r>
        <w:t xml:space="preserve">multiplies the off-diagonal covariances by</w:t>
      </w:r>
      <w:r>
        <w:t xml:space="preserve"> </w:t>
      </w:r>
      <m:oMath>
        <m:r>
          <m:t>γ</m:t>
        </m:r>
      </m:oMath>
      <w:r>
        <w:t xml:space="preserve">. The factor</w:t>
      </w:r>
      <w:r>
        <w:t xml:space="preserve"> </w:t>
      </w:r>
      <m:oMath>
        <m:r>
          <m:t>γ</m:t>
        </m:r>
      </m:oMath>
      <w:r>
        <w:t xml:space="preserve"> </w:t>
      </w:r>
      <w:r>
        <w:t xml:space="preserve">interpolates between inverse variance (</w:t>
      </w:r>
      <m:oMath>
        <m:r>
          <m:t>γ</m:t>
        </m:r>
        <m:r>
          <m:rPr>
            <m:sty m:val="p"/>
          </m:rPr>
          <m:t>=</m:t>
        </m:r>
        <m:r>
          <m:t>0</m:t>
        </m:r>
      </m:oMath>
      <w:r>
        <w:t xml:space="preserve">) and a full</w:t>
      </w:r>
      <w:r>
        <w:t xml:space="preserve"> </w:t>
      </w:r>
      <w:r>
        <w:t xml:space="preserve">minimum-variance solve (</w:t>
      </w:r>
      <m:oMath>
        <m:r>
          <m:t>γ</m:t>
        </m:r>
        <m:r>
          <m:rPr>
            <m:sty m:val="p"/>
          </m:rPr>
          <m:t>=</m:t>
        </m:r>
        <m:r>
          <m:t>1</m:t>
        </m:r>
      </m:oMath>
      <w:r>
        <w:t xml:space="preserve">); we use the signal-free form</w:t>
      </w:r>
      <w:r>
        <w:t xml:space="preserve"> </w:t>
      </w:r>
      <w:r>
        <w:t xml:space="preserve">(</w:t>
      </w:r>
      <m:oMath>
        <m:r>
          <m:t>μ</m:t>
        </m:r>
        <m:r>
          <m:rPr>
            <m:sty m:val="p"/>
          </m:rPr>
          <m:t>=</m:t>
        </m:r>
        <m:r>
          <m:rPr>
            <m:sty m:val="b"/>
          </m:rPr>
          <m:t>1</m:t>
        </m:r>
      </m:oMath>
      <w:r>
        <w:t xml:space="preserve">) and fix</w:t>
      </w:r>
      <w:r>
        <w:t xml:space="preserve"> </w:t>
      </w:r>
      <m:oMath>
        <m:r>
          <m:t>γ</m:t>
        </m:r>
        <m:r>
          <m:rPr>
            <m:sty m:val="p"/>
          </m:rPr>
          <m:t>=</m:t>
        </m:r>
        <m:r>
          <m:t>0.5</m:t>
        </m:r>
      </m:oMath>
      <w:r>
        <w:t xml:space="preserve"> </w:t>
      </w:r>
      <w:r>
        <w:t xml:space="preserve">rather than tuning it</w:t>
      </w:r>
      <w:r>
        <w:t xml:space="preserve"> </w:t>
      </w:r>
      <w:r>
        <w:t xml:space="preserve">out-of-sample. Long-only weights are obtained by projecting the</w:t>
      </w:r>
      <w:r>
        <w:t xml:space="preserve"> </w:t>
      </w:r>
      <w:r>
        <w:t xml:space="preserve">solution onto the simplex.</w:t>
      </w:r>
    </w:p>
    <w:bookmarkEnd w:id="35"/>
    <w:bookmarkStart w:id="36" w:name="nested-clustering-optimisers."/>
    <w:p>
      <w:pPr>
        <w:pStyle w:val="Heading4"/>
      </w:pPr>
      <w:r>
        <w:t xml:space="preserve">Nested-clustering optimisers.</w:t>
      </w:r>
    </w:p>
    <w:p>
      <w:pPr>
        <w:pStyle w:val="FirstParagraph"/>
      </w:pPr>
      <w:r>
        <w:t xml:space="preserve">HRP and all its variants change</w:t>
      </w:r>
      <w:r>
        <w:t xml:space="preserve"> </w:t>
      </w:r>
      <w:r>
        <w:t xml:space="preserve">only the</w:t>
      </w:r>
      <w:r>
        <w:t xml:space="preserve"> </w:t>
      </w:r>
      <w:r>
        <w:rPr>
          <w:i/>
          <w:iCs/>
        </w:rPr>
        <w:t xml:space="preserve">dendrogram</w:t>
      </w:r>
      <w:r>
        <w:t xml:space="preserve">; the within-cluster allocation stays inverse-</w:t>
      </w:r>
      <w:r>
        <w:t xml:space="preserve"> </w:t>
      </w:r>
      <w:r>
        <w:t xml:space="preserve">variance recursive bisection. To isolate whether the clustering step or</w:t>
      </w:r>
      <w:r>
        <w:t xml:space="preserve"> </w:t>
      </w:r>
      <w:r>
        <w:t xml:space="preserve">the allocation step drives performance, we add four strategies that</w:t>
      </w:r>
      <w:r>
        <w:t xml:space="preserve"> </w:t>
      </w:r>
      <w:r>
        <w:t xml:space="preserve">keep hierarchical clustering but</w:t>
      </w:r>
      <w:r>
        <w:t xml:space="preserve"> </w:t>
      </w:r>
      <w:r>
        <w:rPr>
          <w:i/>
          <w:iCs/>
        </w:rPr>
        <w:t xml:space="preserve">re-optimise the allocation</w:t>
      </w:r>
      <w:r>
        <w:t xml:space="preserve">.</w:t>
      </w:r>
      <w:r>
        <w:t xml:space="preserve"> </w:t>
      </w:r>
      <w:r>
        <w:rPr>
          <w:b/>
          <w:bCs/>
        </w:rPr>
        <w:t xml:space="preserve">HERC</w:t>
      </w:r>
      <w:r>
        <w:t xml:space="preserve"> </w:t>
      </w:r>
      <w:r>
        <w:t xml:space="preserve">(Hierarchical Equal Risk Contribution;</w:t>
      </w:r>
      <w:r>
        <w:t xml:space="preserve"> </w:t>
      </w:r>
      <w:r>
        <w:t xml:space="preserve">(Raffinot 2018)</w:t>
      </w:r>
      <w:r>
        <w:t xml:space="preserve">)</w:t>
      </w:r>
      <w:r>
        <w:t xml:space="preserve"> </w:t>
      </w:r>
      <w:r>
        <w:t xml:space="preserve">cuts the dendrogram into</w:t>
      </w:r>
      <w:r>
        <w:t xml:space="preserve"> </w:t>
      </w:r>
      <m:oMath>
        <m:r>
          <m:t>K</m:t>
        </m:r>
        <m:r>
          <m:rPr>
            <m:sty m:val="p"/>
          </m:rPr>
          <m:t>=</m:t>
        </m:r>
        <m:r>
          <m:rPr>
            <m:sty m:val="p"/>
          </m:rPr>
          <m:t>round</m:t>
        </m:r>
        <m:r>
          <m:rPr>
            <m:sty m:val="p"/>
          </m:rPr>
          <m:t>(</m:t>
        </m:r>
        <m:rad>
          <m:radPr>
            <m:degHide m:val="on"/>
          </m:radPr>
          <m:deg/>
          <m:e>
            <m:r>
              <m:t>N</m:t>
            </m:r>
          </m:e>
        </m:rad>
        <m:r>
          <m:rPr>
            <m:sty m:val="p"/>
          </m:rPr>
          <m:t>)</m:t>
        </m:r>
      </m:oMath>
      <w:r>
        <w:t xml:space="preserve"> </w:t>
      </w:r>
      <w:r>
        <w:t xml:space="preserve">clusters (clamped to</w:t>
      </w:r>
      <w:r>
        <w:t xml:space="preserve"> </w:t>
      </w:r>
      <m:oMath>
        <m:r>
          <m:rPr>
            <m:sty m:val="p"/>
          </m:rPr>
          <m:t>[</m:t>
        </m:r>
        <m:r>
          <m:t>2</m:t>
        </m:r>
        <m:r>
          <m:rPr>
            <m:sty m:val="p"/>
          </m:rPr>
          <m:t>,</m:t>
        </m:r>
        <m:r>
          <m:rPr>
            <m:sty m:val="p"/>
          </m:rPr>
          <m:t>⌊</m:t>
        </m:r>
        <m:r>
          <m:t>N</m:t>
        </m:r>
        <m:r>
          <m:rPr>
            <m:sty m:val="p"/>
          </m:rPr>
          <m:t>/</m:t>
        </m:r>
        <m:r>
          <m:t>2</m:t>
        </m:r>
        <m:r>
          <m:rPr>
            <m:sty m:val="p"/>
          </m:rPr>
          <m:t>⌋</m:t>
        </m:r>
        <m:r>
          <m:rPr>
            <m:sty m:val="p"/>
          </m:rPr>
          <m:t>]</m:t>
        </m:r>
      </m:oMath>
      <w:r>
        <w:t xml:space="preserve">), weights assets</w:t>
      </w:r>
      <w:r>
        <w:t xml:space="preserve"> </w:t>
      </w:r>
      <w:r>
        <w:t xml:space="preserve">inverse-variance within each cluster, and combines the cluster portfolios</w:t>
      </w:r>
      <w:r>
        <w:t xml:space="preserve"> </w:t>
      </w:r>
      <w:r>
        <w:t xml:space="preserve">by an equal-risk-contribution allocation.</w:t>
      </w:r>
      <w:r>
        <w:t xml:space="preserve"> </w:t>
      </w:r>
      <w:r>
        <w:rPr>
          <w:b/>
          <w:bCs/>
        </w:rPr>
        <w:t xml:space="preserve">NCO</w:t>
      </w:r>
      <w:r>
        <w:t xml:space="preserve"> </w:t>
      </w:r>
      <w:r>
        <w:t xml:space="preserve">(Nested Clustered</w:t>
      </w:r>
      <w:r>
        <w:t xml:space="preserve"> </w:t>
      </w:r>
      <w:r>
        <w:t xml:space="preserve">Optimization;</w:t>
      </w:r>
      <w:r>
        <w:t xml:space="preserve"> </w:t>
      </w:r>
      <w:r>
        <w:t xml:space="preserve">(López de Prado 2019)</w:t>
      </w:r>
      <w:r>
        <w:t xml:space="preserve">) solves a long-only</w:t>
      </w:r>
      <w:r>
        <w:t xml:space="preserve"> </w:t>
      </w:r>
      <w:r>
        <w:t xml:space="preserve">minimum-variance problem within each cluster sub-covariance, collapses</w:t>
      </w:r>
      <w:r>
        <w:t xml:space="preserve"> </w:t>
      </w:r>
      <w:r>
        <w:t xml:space="preserve">each cluster to its intra-cluster portfolio, and solves a second</w:t>
      </w:r>
      <w:r>
        <w:t xml:space="preserve"> </w:t>
      </w:r>
      <w:r>
        <w:t xml:space="preserve">minimum-variance problem across the</w:t>
      </w:r>
      <w:r>
        <w:t xml:space="preserve"> </w:t>
      </w:r>
      <m:oMath>
        <m:r>
          <m:t>K</m:t>
        </m:r>
      </m:oMath>
      <w:r>
        <w:t xml:space="preserve"> </w:t>
      </w:r>
      <w:r>
        <w:t xml:space="preserve">cluster portfolios, inverting</w:t>
      </w:r>
      <w:r>
        <w:t xml:space="preserve"> </w:t>
      </w:r>
      <w:r>
        <w:t xml:space="preserve">only block sub-covariances and a small</w:t>
      </w:r>
      <w:r>
        <w:t xml:space="preserve"> </w:t>
      </w:r>
      <m:oMath>
        <m:r>
          <m:t>K</m:t>
        </m:r>
        <m:r>
          <m:rPr>
            <m:sty m:val="p"/>
          </m:rPr>
          <m:t>×</m:t>
        </m:r>
        <m:r>
          <m:t>K</m:t>
        </m:r>
      </m:oMath>
      <w:r>
        <w:t xml:space="preserve"> </w:t>
      </w:r>
      <w:r>
        <w:t xml:space="preserve">matrix, which</w:t>
      </w:r>
      <w:r>
        <w:t xml:space="preserve"> </w:t>
      </w:r>
      <w:r>
        <w:t xml:space="preserve">suppresses the estimation-error amplification of a direct optimiser.</w:t>
      </w:r>
      <w:r>
        <w:t xml:space="preserve"> </w:t>
      </w:r>
      <w:r>
        <w:rPr>
          <w:b/>
          <w:bCs/>
        </w:rPr>
        <w:t xml:space="preserve">Return-tilted NCO</w:t>
      </w:r>
      <w:r>
        <w:t xml:space="preserve"> </w:t>
      </w:r>
      <w:r>
        <w:t xml:space="preserve">replaces NCO’s two minimum-variance steps with</w:t>
      </w:r>
      <w:r>
        <w:t xml:space="preserve"> </w:t>
      </w:r>
      <w:r>
        <w:t xml:space="preserve">long-only</w:t>
      </w:r>
      <w:r>
        <w:t xml:space="preserve"> </w:t>
      </w:r>
      <w:r>
        <w:rPr>
          <w:i/>
          <w:iCs/>
        </w:rPr>
        <w:t xml:space="preserve">maximum-Sharpe</w:t>
      </w:r>
      <w:r>
        <w:t xml:space="preserve"> </w:t>
      </w:r>
      <w:r>
        <w:t xml:space="preserve">steps driven by a shrunk 63-day momentum</w:t>
      </w:r>
      <w:r>
        <w:t xml:space="preserve"> </w:t>
      </w:r>
      <w:r>
        <w:t xml:space="preserve">estimate, a deliberate test of whether making the allocation</w:t>
      </w:r>
      <w:r>
        <w:t xml:space="preserve"> </w:t>
      </w:r>
      <w:r>
        <w:t xml:space="preserve">return-aware helps.</w:t>
      </w:r>
      <w:r>
        <w:t xml:space="preserve"> </w:t>
      </w:r>
      <w:r>
        <w:rPr>
          <w:b/>
          <w:bCs/>
        </w:rPr>
        <w:t xml:space="preserve">NCO_CRISP</w:t>
      </w:r>
      <w:r>
        <w:t xml:space="preserve"> </w:t>
      </w:r>
      <w:r>
        <w:t xml:space="preserve">instead replaces each of NCO’s</w:t>
      </w:r>
      <w:r>
        <w:t xml:space="preserve"> </w:t>
      </w:r>
      <w:r>
        <w:t xml:space="preserve">minimum-variance solves with a CRISP solve on the corresponding block</w:t>
      </w:r>
      <w:r>
        <w:t xml:space="preserve"> </w:t>
      </w:r>
      <w:r>
        <w:t xml:space="preserve">covariance: the hierarchy isolates the most strongly-correlated (and</w:t>
      </w:r>
      <w:r>
        <w:t xml:space="preserve"> </w:t>
      </w:r>
      <w:r>
        <w:t xml:space="preserve">hence most near-singular) covariance blocks, and the CRISP shrinkage</w:t>
      </w:r>
      <w:r>
        <w:t xml:space="preserve"> </w:t>
      </w:r>
      <w:r>
        <w:t xml:space="preserve">regularises the optimisation inside them. It is the natural hybrid of</w:t>
      </w:r>
      <w:r>
        <w:t xml:space="preserve"> </w:t>
      </w:r>
      <w:r>
        <w:t xml:space="preserve">the paper’s two best ideas, and reduces to NCO at</w:t>
      </w:r>
      <w:r>
        <w:t xml:space="preserve"> </w:t>
      </w:r>
      <m:oMath>
        <m:r>
          <m:t>γ</m:t>
        </m:r>
        <m:r>
          <m:rPr>
            <m:sty m:val="p"/>
          </m:rPr>
          <m:t>=</m:t>
        </m:r>
        <m:r>
          <m:t>1</m:t>
        </m:r>
      </m:oMath>
      <w:r>
        <w:t xml:space="preserve"> </w:t>
      </w:r>
      <w:r>
        <w:t xml:space="preserve">(up to the long-only projection).</w:t>
      </w:r>
    </w:p>
    <w:bookmarkEnd w:id="36"/>
    <w:bookmarkStart w:id="37" w:name="signal-aware-extensions."/>
    <w:p>
      <w:pPr>
        <w:pStyle w:val="Heading4"/>
      </w:pPr>
      <w:r>
        <w:t xml:space="preserve">Signal-aware extensions.</w:t>
      </w:r>
    </w:p>
    <w:p>
      <w:pPr>
        <w:pStyle w:val="FirstParagraph"/>
      </w:pPr>
      <w:r>
        <w:t xml:space="preserve">Two further comparators feed a</w:t>
      </w:r>
      <w:r>
        <w:t xml:space="preserve"> </w:t>
      </w:r>
      <w:r>
        <w:t xml:space="preserve">walk-forward learned return forecast into hierarchical allocation, to</w:t>
      </w:r>
      <w:r>
        <w:t xml:space="preserve"> </w:t>
      </w:r>
      <w:r>
        <w:t xml:space="preserve">test whether return-tilted NCO’s collapse was a verdict on signal-aware</w:t>
      </w:r>
      <w:r>
        <w:t xml:space="preserve"> </w:t>
      </w:r>
      <w:r>
        <w:t xml:space="preserve">allocation in principle or only on the sample-mean tilt it used. The</w:t>
      </w:r>
      <w:r>
        <w:t xml:space="preserve"> </w:t>
      </w:r>
      <w:r>
        <w:t xml:space="preserve">forecast is a pooled cross-sectional XGBoost regressor that predicts</w:t>
      </w:r>
      <w:r>
        <w:t xml:space="preserve"> </w:t>
      </w:r>
      <w:r>
        <w:t xml:space="preserve">each asset’s next-30-day cumulative log return. At every snapshot the</w:t>
      </w:r>
      <w:r>
        <w:t xml:space="preserve"> </w:t>
      </w:r>
      <w:r>
        <w:t xml:space="preserve">hyperparameters are tuned by</w:t>
      </w:r>
      <w:r>
        <w:t xml:space="preserve"> </w:t>
      </w:r>
      <w:r>
        <w:rPr>
          <w:rStyle w:val="VerbatimChar"/>
        </w:rPr>
        <w:t xml:space="preserve">TimeSeriesSplit</w:t>
      </w:r>
      <w:r>
        <w:t xml:space="preserve">(3) cross-validation</w:t>
      </w:r>
      <w:r>
        <w:t xml:space="preserve"> </w:t>
      </w:r>
      <w:r>
        <w:t xml:space="preserve">inside the training window (grid:</w:t>
      </w:r>
      <w:r>
        <w:t xml:space="preserve"> </w:t>
      </w:r>
      <w:r>
        <w:rPr>
          <w:rStyle w:val="VerbatimChar"/>
        </w:rPr>
        <w:t xml:space="preserve">max_depth</w:t>
      </w:r>
      <w:r>
        <w:t xml:space="preserve"> </w:t>
      </w:r>
      <m:oMath>
        <m:r>
          <m:rPr>
            <m:sty m:val="p"/>
          </m:rPr>
          <m:t>∈</m:t>
        </m:r>
        <m:r>
          <m:rPr>
            <m:sty m:val="p"/>
          </m:rPr>
          <m:t>{</m:t>
        </m:r>
        <m:r>
          <m:t>3</m:t>
        </m:r>
        <m:r>
          <m:rPr>
            <m:sty m:val="p"/>
          </m:rPr>
          <m:t>,</m:t>
        </m:r>
        <m:r>
          <m:t>5</m:t>
        </m:r>
        <m:r>
          <m:rPr>
            <m:sty m:val="p"/>
          </m:rPr>
          <m:t>}</m:t>
        </m:r>
      </m:oMath>
      <w:r>
        <w:t xml:space="preserve">,</w:t>
      </w:r>
      <w:r>
        <w:t xml:space="preserve"> </w:t>
      </w:r>
      <w:r>
        <w:rPr>
          <w:rStyle w:val="VerbatimChar"/>
        </w:rPr>
        <w:t xml:space="preserve">learning_rate</w:t>
      </w:r>
      <w:r>
        <w:t xml:space="preserve"> </w:t>
      </w:r>
      <m:oMath>
        <m:r>
          <m:rPr>
            <m:sty m:val="p"/>
          </m:rPr>
          <m:t>∈</m:t>
        </m:r>
        <m:r>
          <m:rPr>
            <m:sty m:val="p"/>
          </m:rPr>
          <m:t>{</m:t>
        </m:r>
        <m:r>
          <m:t>0.03</m:t>
        </m:r>
        <m:r>
          <m:rPr>
            <m:sty m:val="p"/>
          </m:rPr>
          <m:t>,</m:t>
        </m:r>
        <m:r>
          <m:t>0.1</m:t>
        </m:r>
        <m:r>
          <m:rPr>
            <m:sty m:val="p"/>
          </m:rPr>
          <m:t>}</m:t>
        </m:r>
      </m:oMath>
      <w:r>
        <w:t xml:space="preserve">,</w:t>
      </w:r>
      <w:r>
        <w:t xml:space="preserve"> </w:t>
      </w:r>
      <w:r>
        <w:rPr>
          <w:rStyle w:val="VerbatimChar"/>
        </w:rPr>
        <w:t xml:space="preserve">n_estimators</w:t>
      </w:r>
      <w:r>
        <w:t xml:space="preserve"> </w:t>
      </w:r>
      <m:oMath>
        <m:r>
          <m:rPr>
            <m:sty m:val="p"/>
          </m:rPr>
          <m:t>∈</m:t>
        </m:r>
        <m:r>
          <m:rPr>
            <m:sty m:val="p"/>
          </m:rPr>
          <m:t>{</m:t>
        </m:r>
        <m:r>
          <m:t>200</m:t>
        </m:r>
        <m:r>
          <m:rPr>
            <m:sty m:val="p"/>
          </m:rPr>
          <m:t>,</m:t>
        </m:r>
        <m:r>
          <m:t>500</m:t>
        </m:r>
        <m:r>
          <m:rPr>
            <m:sty m:val="p"/>
          </m:rPr>
          <m:t>}</m:t>
        </m:r>
      </m:oMath>
      <w:r>
        <w:t xml:space="preserve">) and the best estimator is refit on the full window;</w:t>
      </w:r>
      <w:r>
        <w:t xml:space="preserve"> </w:t>
      </w:r>
      <w:r>
        <w:t xml:space="preserve">features are lagged returns at 1/5/21/63-day horizons, 21-day realised</w:t>
      </w:r>
      <w:r>
        <w:t xml:space="preserve"> </w:t>
      </w:r>
      <w:r>
        <w:t xml:space="preserve">volatility and the cross-sectional rank of the 21-day return. The</w:t>
      </w:r>
      <w:r>
        <w:t xml:space="preserve"> </w:t>
      </w:r>
      <w:r>
        <w:t xml:space="preserve">pipeline is single-threaded and seeded for bit-identical reproduction.</w:t>
      </w:r>
      <w:r>
        <w:t xml:space="preserve"> </w:t>
      </w:r>
      <w:r>
        <w:rPr>
          <w:b/>
          <w:bCs/>
        </w:rPr>
        <w:t xml:space="preserve">NCOML</w:t>
      </w:r>
      <w:r>
        <w:t xml:space="preserve"> </w:t>
      </w:r>
      <w:r>
        <w:t xml:space="preserve">keeps NCO’s clustering and nesting but replaces each</w:t>
      </w:r>
      <w:r>
        <w:t xml:space="preserve"> </w:t>
      </w:r>
      <w:r>
        <w:t xml:space="preserve">minimum-variance solve by a long-only max-Sharpe solve fed by the</w:t>
      </w:r>
      <w:r>
        <w:t xml:space="preserve"> </w:t>
      </w:r>
      <w:r>
        <w:t xml:space="preserve">XGBoost</w:t>
      </w:r>
      <w:r>
        <w:t xml:space="preserve"> </w:t>
      </w:r>
      <m:oMath>
        <m:r>
          <m:t>μ</m:t>
        </m:r>
      </m:oMath>
      <w:r>
        <w:t xml:space="preserve">.</w:t>
      </w:r>
      <w:r>
        <w:t xml:space="preserve"> </w:t>
      </w:r>
      <w:r>
        <w:rPr>
          <w:b/>
          <w:bCs/>
        </w:rPr>
        <w:t xml:space="preserve">HRP-</w:t>
      </w:r>
      <m:oMath>
        <m:r>
          <m:rPr>
            <m:sty m:val="p"/>
          </m:rPr>
          <m:t>Σ</m:t>
        </m:r>
        <m:r>
          <m:t>μ</m:t>
        </m:r>
      </m:oMath>
      <w:r>
        <w:t xml:space="preserve"> </w:t>
      </w:r>
      <w:r>
        <w:t xml:space="preserve">is Wuebben’s signal-aware</w:t>
      </w:r>
      <w:r>
        <w:t xml:space="preserve"> </w:t>
      </w:r>
      <w:r>
        <w:t xml:space="preserve">hierarchical optimiser (method A1 with L</w:t>
      </w:r>
      <m:oMath>
        <m:sSup>
          <m:e>
            <m:r>
              <m:t>​</m:t>
            </m:r>
          </m:e>
          <m:sup>
            <m:r>
              <m:t>1</m:t>
            </m:r>
          </m:sup>
        </m:sSup>
      </m:oMath>
      <w:r>
        <w:t xml:space="preserve"> </w:t>
      </w:r>
      <w:r>
        <w:t xml:space="preserve">normalisation): HRP’s</w:t>
      </w:r>
      <w:r>
        <w:t xml:space="preserve"> </w:t>
      </w:r>
      <w:r>
        <w:t xml:space="preserve">seriation and quasi-diagonalisation are unchanged, but the inverse-</w:t>
      </w:r>
      <w:r>
        <w:t xml:space="preserve"> </w:t>
      </w:r>
      <w:r>
        <w:t xml:space="preserve">variance recursive bisection is replaced by a single bottom-up tree pass</w:t>
      </w:r>
      <w:r>
        <w:t xml:space="preserve"> </w:t>
      </w:r>
      <w:r>
        <w:t xml:space="preserve">in which every internal node solves a 2</w:t>
      </w:r>
      <m:oMath>
        <m:r>
          <m:rPr>
            <m:sty m:val="p"/>
          </m:rPr>
          <m:t>×</m:t>
        </m:r>
      </m:oMath>
      <w:r>
        <w:t xml:space="preserve">2 mean-variance system on</w:t>
      </w:r>
      <w:r>
        <w:t xml:space="preserve"> </w:t>
      </w:r>
      <w:r>
        <w:t xml:space="preserve">the left vs right cluster representatives via Cramer’s rule, with the</w:t>
      </w:r>
      <w:r>
        <w:t xml:space="preserve"> </w:t>
      </w:r>
      <m:oMath>
        <m:r>
          <m:rPr>
            <m:sty m:val="p"/>
          </m:rPr>
          <m:t>(</m:t>
        </m:r>
        <m:sSub>
          <m:e>
            <m:r>
              <m:t>α</m:t>
            </m:r>
          </m:e>
          <m:sub>
            <m:r>
              <m:t>L</m:t>
            </m:r>
          </m:sub>
        </m:sSub>
        <m:r>
          <m:rPr>
            <m:sty m:val="p"/>
          </m:rPr>
          <m:t>,</m:t>
        </m:r>
        <m:sSub>
          <m:e>
            <m:r>
              <m:t>α</m:t>
            </m:r>
          </m:e>
          <m:sub>
            <m:r>
              <m:t>R</m:t>
            </m:r>
          </m:sub>
        </m:sSub>
        <m:r>
          <m:rPr>
            <m:sty m:val="p"/>
          </m:rPr>
          <m:t>)</m:t>
        </m:r>
      </m:oMath>
      <w:r>
        <w:t xml:space="preserve"> </w:t>
      </w:r>
      <w:r>
        <w:t xml:space="preserve">pair L</w:t>
      </w:r>
      <m:oMath>
        <m:sSup>
          <m:e>
            <m:r>
              <m:t>​</m:t>
            </m:r>
          </m:e>
          <m:sup>
            <m:r>
              <m:t>1</m:t>
            </m:r>
          </m:sup>
        </m:sSup>
      </m:oMath>
      <w:r>
        <w:t xml:space="preserve">-normalised at each node; we project the</w:t>
      </w:r>
      <w:r>
        <w:t xml:space="preserve"> </w:t>
      </w:r>
      <w:r>
        <w:t xml:space="preserve">signed output long-only at the root for comparability with the rest of</w:t>
      </w:r>
      <w:r>
        <w:t xml:space="preserve"> </w:t>
      </w:r>
      <w:r>
        <w:t xml:space="preserve">the paper.</w:t>
      </w:r>
    </w:p>
    <w:bookmarkEnd w:id="37"/>
    <w:bookmarkEnd w:id="38"/>
    <w:bookmarkStart w:id="39" w:name="sec:methods-mom"/>
    <w:p>
      <w:pPr>
        <w:pStyle w:val="Heading2"/>
      </w:pPr>
      <w:r>
        <w:t xml:space="preserve">Momentum strategies</w:t>
      </w:r>
    </w:p>
    <w:p>
      <w:pPr>
        <w:pStyle w:val="FirstParagraph"/>
      </w:pPr>
      <w:r>
        <w:t xml:space="preserve">The headline comparison includes three crypto-momentum strategies,</w:t>
      </w:r>
      <w:r>
        <w:t xml:space="preserve"> </w:t>
      </w:r>
      <w:r>
        <w:t xml:space="preserve">parameter-tuned for crypto’s faster momentum decay</w:t>
      </w:r>
      <w:r>
        <w:t xml:space="preserve"> </w:t>
      </w:r>
      <w:r>
        <w:t xml:space="preserve">(Liu et al. 2022)</w:t>
      </w:r>
      <w:r>
        <w:t xml:space="preserve">.</w:t>
      </w:r>
      <w:r>
        <w:t xml:space="preserve"> </w:t>
      </w:r>
      <w:r>
        <w:rPr>
          <w:b/>
          <w:bCs/>
        </w:rPr>
        <w:t xml:space="preserve">CS_MOM</w:t>
      </w:r>
      <w:r>
        <w:t xml:space="preserve"> </w:t>
      </w:r>
      <w:r>
        <w:t xml:space="preserve">is cross-sectional</w:t>
      </w:r>
      <w:r>
        <w:t xml:space="preserve"> </w:t>
      </w:r>
      <w:r>
        <w:t xml:space="preserve">momentum: equal-weight the top 30% of assets by 21-day cumulative</w:t>
      </w:r>
      <w:r>
        <w:t xml:space="preserve"> </w:t>
      </w:r>
      <w:r>
        <w:t xml:space="preserve">return.</w:t>
      </w:r>
      <w:r>
        <w:t xml:space="preserve"> </w:t>
      </w:r>
      <w:r>
        <w:rPr>
          <w:b/>
          <w:bCs/>
        </w:rPr>
        <w:t xml:space="preserve">RM_MOM</w:t>
      </w:r>
      <w:r>
        <w:t xml:space="preserve"> </w:t>
      </w:r>
      <w:r>
        <w:t xml:space="preserve">applies the Barroso–Santa-Clara</w:t>
      </w:r>
      <w:r>
        <w:t xml:space="preserve"> </w:t>
      </w:r>
      <w:r>
        <w:t xml:space="preserve">volatility-targeting overlay</w:t>
      </w:r>
      <w:r>
        <w:t xml:space="preserve"> </w:t>
      </w:r>
      <w:r>
        <w:t xml:space="preserve">(Barroso and Santa-Clara 2015)</w:t>
      </w:r>
      <w:r>
        <w:t xml:space="preserve"> </w:t>
      </w:r>
      <w:r>
        <w:t xml:space="preserve">(</w:t>
      </w:r>
      <m:oMath>
        <m:sSub>
          <m:e>
            <m:r>
              <m:t>σ</m:t>
            </m:r>
          </m:e>
          <m:sub>
            <m:r>
              <m:rPr>
                <m:nor/>
                <m:sty m:val="p"/>
              </m:rPr>
              <m:t>target</m:t>
            </m:r>
          </m:sub>
        </m:sSub>
        <m:r>
          <m:rPr>
            <m:sty m:val="p"/>
          </m:rPr>
          <m:t>=</m:t>
        </m:r>
        <m:r>
          <m:t>12</m:t>
        </m:r>
        <m:r>
          <m:rPr>
            <m:sty m:val="p"/>
          </m:rPr>
          <m:t>%</m:t>
        </m:r>
      </m:oMath>
      <w:r>
        <w:t xml:space="preserve">) to the same momentum selection.</w:t>
      </w:r>
      <w:r>
        <w:t xml:space="preserve"> </w:t>
      </w:r>
      <w:r>
        <w:rPr>
          <w:b/>
          <w:bCs/>
        </w:rPr>
        <w:t xml:space="preserve">MOM_HRP</w:t>
      </w:r>
      <w:r>
        <w:t xml:space="preserve"> </w:t>
      </w:r>
      <w:r>
        <w:t xml:space="preserve">is a Momentum</w:t>
      </w:r>
      <m:oMath>
        <m:r>
          <m:rPr>
            <m:sty m:val="p"/>
          </m:rPr>
          <m:t>+</m:t>
        </m:r>
      </m:oMath>
      <w:r>
        <w:t xml:space="preserve">HRP hybrid: select the top 40% of</w:t>
      </w:r>
      <w:r>
        <w:t xml:space="preserve"> </w:t>
      </w:r>
      <w:r>
        <w:t xml:space="preserve">assets by momentum, then allocate within that basket by HRP rather than</w:t>
      </w:r>
      <w:r>
        <w:t xml:space="preserve"> </w:t>
      </w:r>
      <w:r>
        <w:t xml:space="preserve">equal-weight.</w:t>
      </w:r>
    </w:p>
    <w:bookmarkEnd w:id="39"/>
    <w:bookmarkEnd w:id="40"/>
    <w:bookmarkStart w:id="50" w:name="sec:data"/>
    <w:p>
      <w:pPr>
        <w:pStyle w:val="Heading1"/>
      </w:pPr>
      <w:r>
        <w:t xml:space="preserve">Data and Point-in-Time Universe</w:t>
      </w:r>
    </w:p>
    <w:bookmarkStart w:id="41" w:name="source-and-window"/>
    <w:p>
      <w:pPr>
        <w:pStyle w:val="Heading2"/>
      </w:pPr>
      <w:r>
        <w:t xml:space="preserve">Source and window</w:t>
      </w:r>
    </w:p>
    <w:p>
      <w:pPr>
        <w:pStyle w:val="FirstParagraph"/>
      </w:pPr>
      <w:r>
        <w:t xml:space="preserve">Daily OHLCV from Binance USDT spot, 2017-08-17 (Binance’s earliest</w:t>
      </w:r>
      <w:r>
        <w:t xml:space="preserve"> </w:t>
      </w:r>
      <w:r>
        <w:t xml:space="preserve">data) to 2026-05-18, approximately nine years. After the</w:t>
      </w:r>
      <w:r>
        <w:t xml:space="preserve"> </w:t>
      </w:r>
      <w:r>
        <w:t xml:space="preserve">survivorship-bias expansion described in §</w:t>
      </w:r>
      <w:hyperlink w:anchor="sec:data">
        <w:r>
          <w:rPr>
            <w:rStyle w:val="Hyperlink"/>
          </w:rPr>
          <w:t xml:space="preserve">4</w:t>
        </w:r>
      </w:hyperlink>
      <w:r>
        <w:t xml:space="preserve">.3, the price</w:t>
      </w:r>
      <w:r>
        <w:t xml:space="preserve"> </w:t>
      </w:r>
      <w:r>
        <w:t xml:space="preserve">panel covers 241 USDT pairs.</w:t>
      </w:r>
    </w:p>
    <w:bookmarkEnd w:id="41"/>
    <w:bookmarkStart w:id="43" w:name="point-in-time-universe"/>
    <w:p>
      <w:pPr>
        <w:pStyle w:val="Heading2"/>
      </w:pPr>
      <w:r>
        <w:t xml:space="preserve">Point-in-time universe</w:t>
      </w:r>
    </w:p>
    <w:p>
      <w:pPr>
        <w:pStyle w:val="FirstParagraph"/>
      </w:pPr>
      <w:r>
        <w:t xml:space="preserve">At each month-end, we rank the candidate symbols by their rolling</w:t>
      </w:r>
      <w:r>
        <w:t xml:space="preserve"> </w:t>
      </w:r>
      <w:r>
        <w:t xml:space="preserve">30-day Binance USDT quote volume, apply filters (180-day minimum age,</w:t>
      </w:r>
      <w:r>
        <w:t xml:space="preserve"> </w:t>
      </w:r>
      <w:r>
        <w:t xml:space="preserve">$1M minimum median daily USD volume, stablecoin/wrapper/exchange-token</w:t>
      </w:r>
      <w:r>
        <w:t xml:space="preserve"> </w:t>
      </w:r>
      <w:r>
        <w:t xml:space="preserve">exclusion, listed on Binance USDT spot at the snapshot date), and take</w:t>
      </w:r>
      <w:r>
        <w:t xml:space="preserve"> </w:t>
      </w:r>
      <w:r>
        <w:t xml:space="preserve">the top 50. Entry and exit buffers (2 months and 1 month respectively)</w:t>
      </w:r>
      <w:r>
        <w:t xml:space="preserve"> </w:t>
      </w:r>
      <w:r>
        <w:t xml:space="preserve">suppress monthly churn.</w:t>
      </w:r>
    </w:p>
    <w:bookmarkStart w:id="42" w:name="methodology-note."/>
    <w:p>
      <w:pPr>
        <w:pStyle w:val="Heading4"/>
      </w:pPr>
      <w:r>
        <w:t xml:space="preserve">Methodology note.</w:t>
      </w:r>
    </w:p>
    <w:p>
      <w:pPr>
        <w:pStyle w:val="FirstParagraph"/>
      </w:pPr>
      <w:r>
        <w:t xml:space="preserve">The original specification called for</w:t>
      </w:r>
      <w:r>
        <w:t xml:space="preserve"> </w:t>
      </w:r>
      <w:r>
        <w:t xml:space="preserve">ranking by historical market capitalisation (CoinGecko). The free</w:t>
      </w:r>
      <w:r>
        <w:t xml:space="preserve"> </w:t>
      </w:r>
      <w:r>
        <w:t xml:space="preserve">CoinGecko demo tier caps historical depth at 365 days, blocking our</w:t>
      </w:r>
      <w:r>
        <w:t xml:space="preserve"> </w:t>
      </w:r>
      <w:r>
        <w:t xml:space="preserve">2017–2026 window; paid plans start at USD 129/month. We instead rank</w:t>
      </w:r>
      <w:r>
        <w:t xml:space="preserve"> </w:t>
      </w:r>
      <w:r>
        <w:t xml:space="preserve">by Binance quote volume, a tradable-liquidity proxy that is free,</w:t>
      </w:r>
      <w:r>
        <w:t xml:space="preserve"> </w:t>
      </w:r>
      <w:r>
        <w:t xml:space="preserve">covers the full window, and is arguably more appropriate for a paper</w:t>
      </w:r>
      <w:r>
        <w:t xml:space="preserve"> </w:t>
      </w:r>
      <w:r>
        <w:t xml:space="preserve">on tradable portfolios than a market-cap measure that includes locked</w:t>
      </w:r>
      <w:r>
        <w:t xml:space="preserve"> </w:t>
      </w:r>
      <w:r>
        <w:t xml:space="preserve">tokens and treasury holdings. The shift is documented in the</w:t>
      </w:r>
      <w:r>
        <w:t xml:space="preserve"> </w:t>
      </w:r>
      <w:r>
        <w:t xml:space="preserve">specification as a deliberate methodology choice.</w:t>
      </w:r>
    </w:p>
    <w:bookmarkEnd w:id="42"/>
    <w:bookmarkEnd w:id="43"/>
    <w:bookmarkStart w:id="48" w:name="survivorship-bias-fix-in-numbers"/>
    <w:p>
      <w:pPr>
        <w:pStyle w:val="Heading2"/>
      </w:pPr>
      <w:r>
        <w:t xml:space="preserve">Survivorship-bias fix in numbers</w:t>
      </w:r>
    </w:p>
    <w:p>
      <w:pPr>
        <w:pStyle w:val="FirstParagraph"/>
      </w:pPr>
      <w:r>
        <w:t xml:space="preserve">After a code review surfaced residual survivorship bias (the prior</w:t>
      </w:r>
      <w:r>
        <w:t xml:space="preserve"> </w:t>
      </w:r>
      <w:r>
        <w:t xml:space="preserve">candidate pool was a hand-curated selection of</w:t>
      </w:r>
      <w:r>
        <w:t xml:space="preserve"> </w:t>
      </w:r>
      <m:oMath>
        <m:r>
          <m:rPr>
            <m:sty m:val="p"/>
          </m:rPr>
          <m:t>∼</m:t>
        </m:r>
      </m:oMath>
      <w:r>
        <w:t xml:space="preserve">90 symbols missing</w:t>
      </w:r>
      <w:r>
        <w:t xml:space="preserve"> </w:t>
      </w:r>
      <w:r>
        <w:t xml:space="preserve">the long tail of delisted altcoins), the universe was expanded by</w:t>
      </w:r>
      <w:r>
        <w:t xml:space="preserve"> </w:t>
      </w:r>
      <w:r>
        <w:t xml:space="preserve">pulling all 217</w:t>
      </w:r>
      <w:r>
        <w:t xml:space="preserve"> </w:t>
      </w:r>
      <w:r>
        <w:rPr>
          <w:rStyle w:val="VerbatimChar"/>
        </w:rPr>
        <w:t xml:space="preserve">status=BREAK</w:t>
      </w:r>
      <w:r>
        <w:t xml:space="preserve"> </w:t>
      </w:r>
      <w:r>
        <w:t xml:space="preserve">USDT pairs from Binance’s</w:t>
      </w:r>
      <w:r>
        <w:t xml:space="preserve"> </w:t>
      </w:r>
      <w:r>
        <w:rPr>
          <w:rStyle w:val="VerbatimChar"/>
        </w:rPr>
        <w:t xml:space="preserve">/api/v3/exchangeInfo</w:t>
      </w:r>
      <w:r>
        <w:t xml:space="preserve">, filtering leveraged tokens and</w:t>
      </w:r>
      <w:r>
        <w:t xml:space="preserve"> </w:t>
      </w:r>
      <w:r>
        <w:t xml:space="preserve">stablecoins, and adding 150 legitimate delisted altcoins to the</w:t>
      </w:r>
      <w:r>
        <w:t xml:space="preserve"> </w:t>
      </w:r>
      <w:r>
        <w:t xml:space="preserve">candidate pool. The resulting PIT universe contains</w:t>
      </w:r>
      <w:r>
        <w:t xml:space="preserve"> </w:t>
      </w:r>
      <w:r>
        <w:rPr>
          <w:b/>
          <w:bCs/>
        </w:rPr>
        <w:t xml:space="preserve">146 ever-</w:t>
      </w:r>
      <w:r>
        <w:rPr>
          <w:b/>
          <w:bCs/>
        </w:rPr>
        <w:t xml:space="preserve"> </w:t>
      </w:r>
      <w:r>
        <w:rPr>
          <w:b/>
          <w:bCs/>
        </w:rPr>
        <w:t xml:space="preserve">included symbols</w:t>
      </w:r>
      <w:r>
        <w:t xml:space="preserve">, of which</w:t>
      </w:r>
      <w:r>
        <w:t xml:space="preserve"> </w:t>
      </w:r>
      <w:r>
        <w:rPr>
          <w:b/>
          <w:bCs/>
        </w:rPr>
        <w:t xml:space="preserve">97 were dropped during the window</w:t>
      </w:r>
      <w:r>
        <w:t xml:space="preserve"> </w:t>
      </w:r>
      <w:r>
        <w:t xml:space="preserve">before 2026-05-18 (Figure </w:t>
      </w:r>
      <w:hyperlink w:anchor="fig:pit_evol">
        <w:r>
          <w:rPr>
            <w:rStyle w:val="Hyperlink"/>
          </w:rPr>
          <w:t xml:space="preserve">1</w:t>
        </w:r>
      </w:hyperlink>
      <w:r>
        <w:t xml:space="preserve">). The MACI 2025 dataset</w:t>
      </w:r>
      <w:r>
        <w:t xml:space="preserve"> </w:t>
      </w:r>
      <w:r>
        <w:t xml:space="preserve">contained only 50 currently-trading symbols; by construction it</w:t>
      </w:r>
      <w:r>
        <w:t xml:space="preserve"> </w:t>
      </w:r>
      <w:r>
        <w:t xml:space="preserve">could not include the assets this work explicitly captures.</w:t>
      </w:r>
    </w:p>
    <w:p>
      <w:pPr>
        <w:pStyle w:val="BodyText"/>
      </w:pPr>
      <w:r>
        <w:t xml:space="preserve">We treat liquidation of an exiting position at 2</w:t>
      </w:r>
      <m:oMath>
        <m:r>
          <m:rPr>
            <m:sty m:val="p"/>
          </m:rPr>
          <m:t>×</m:t>
        </m:r>
      </m:oMath>
      <w:r>
        <w:t xml:space="preserve"> </w:t>
      </w:r>
      <w:r>
        <w:t xml:space="preserve">normal</w:t>
      </w:r>
      <w:r>
        <w:t xml:space="preserve"> </w:t>
      </w:r>
      <w:r>
        <w:t xml:space="preserve">slippage cost (Spec 03 §2.4). On terminology:</w:t>
      </w:r>
      <w:r>
        <w:t xml:space="preserve"> </w:t>
      </w:r>
      <w:r>
        <w:t xml:space="preserve">“delisted”</w:t>
      </w:r>
      <w:r>
        <w:t xml:space="preserve"> </w:t>
      </w:r>
      <w:r>
        <w:t xml:space="preserve">in this</w:t>
      </w:r>
      <w:r>
        <w:t xml:space="preserve"> </w:t>
      </w:r>
      <w:r>
        <w:t xml:space="preserve">paper means either Binance</w:t>
      </w:r>
      <w:r>
        <w:t xml:space="preserve"> </w:t>
      </w:r>
      <w:r>
        <w:rPr>
          <w:rStyle w:val="VerbatimChar"/>
        </w:rPr>
        <w:t xml:space="preserve">status=BREAK</w:t>
      </w:r>
      <w:r>
        <w:t xml:space="preserve"> </w:t>
      </w:r>
      <w:r>
        <w:t xml:space="preserve">on the USDT pair</w:t>
      </w:r>
      <w:r>
        <w:t xml:space="preserve"> </w:t>
      </w:r>
      <w:r>
        <w:t xml:space="preserve">(the conventional meaning),</w:t>
      </w:r>
      <w:r>
        <w:t xml:space="preserve"> </w:t>
      </w:r>
      <w:r>
        <w:rPr>
          <w:i/>
          <w:iCs/>
        </w:rPr>
        <w:t xml:space="preserve">or</w:t>
      </w:r>
      <w:r>
        <w:t xml:space="preserve"> </w:t>
      </w:r>
      <w:r>
        <w:t xml:space="preserve">the token suffered an effective</w:t>
      </w:r>
      <w:r>
        <w:t xml:space="preserve"> </w:t>
      </w:r>
      <w:r>
        <w:t xml:space="preserve">value collapse with subsequent rebranding. The latter category includes</w:t>
      </w:r>
      <w:r>
        <w:t xml:space="preserve"> </w:t>
      </w:r>
      <w:r>
        <w:t xml:space="preserve">LUNA (the Terra Classic chain collapsed in May 2022; Binance renamed</w:t>
      </w:r>
      <w:r>
        <w:t xml:space="preserve"> </w:t>
      </w:r>
      <w:r>
        <w:t xml:space="preserve">the original token to LUNC and reassigned the</w:t>
      </w:r>
      <w:r>
        <w:t xml:space="preserve"> </w:t>
      </w:r>
      <w:r>
        <w:rPr>
          <w:rStyle w:val="VerbatimChar"/>
        </w:rPr>
        <w:t xml:space="preserve">LUNAUSDT</w:t>
      </w:r>
      <w:r>
        <w:t xml:space="preserve"> </w:t>
      </w:r>
      <w:r>
        <w:t xml:space="preserve">ticker</w:t>
      </w:r>
      <w:r>
        <w:t xml:space="preserve"> </w:t>
      </w:r>
      <w:r>
        <w:t xml:space="preserve">to Terra 2.0; the pair itself was never technically delisted, but</w:t>
      </w:r>
      <w:r>
        <w:t xml:space="preserve"> </w:t>
      </w:r>
      <w:r>
        <w:t xml:space="preserve">the original asset effectively died) and FTT (the FTX exchange collapse</w:t>
      </w:r>
      <w:r>
        <w:t xml:space="preserve"> </w:t>
      </w:r>
      <w:r>
        <w:t xml:space="preserve">in November 2022 reduced FTT to near-zero value; the pair still trades</w:t>
      </w:r>
      <w:r>
        <w:t xml:space="preserve"> </w:t>
      </w:r>
      <w:r>
        <w:t xml:space="preserve">on Binance at trivial volume). Our</w:t>
      </w:r>
      <w:r>
        <w:t xml:space="preserve"> </w:t>
      </w:r>
      <w:r>
        <w:rPr>
          <w:rStyle w:val="VerbatimChar"/>
        </w:rPr>
        <w:t xml:space="preserve">binance_listings_manual.json</w:t>
      </w:r>
      <w:r>
        <w:t xml:space="preserve"> </w:t>
      </w:r>
      <w:r>
        <w:t xml:space="preserve">treats both as</w:t>
      </w:r>
      <w:r>
        <w:t xml:space="preserve"> </w:t>
      </w:r>
      <w:r>
        <w:t xml:space="preserve">“effectively delisted”</w:t>
      </w:r>
      <w:r>
        <w:t xml:space="preserve"> </w:t>
      </w:r>
      <w:r>
        <w:t xml:space="preserve">for the PIT-universe filter,</w:t>
      </w:r>
      <w:r>
        <w:t xml:space="preserve"> </w:t>
      </w:r>
      <w:r>
        <w:t xml:space="preserve">which is the right behaviour for portfolio purposes even though the</w:t>
      </w:r>
      <w:r>
        <w:t xml:space="preserve"> </w:t>
      </w:r>
      <w:r>
        <w:t xml:space="preserve">prose label is loose.</w:t>
      </w:r>
    </w:p>
    <w:bookmarkStart w:id="47" w:name="fig:pit_evol"/>
    <w:p>
      <w:pPr>
        <w:pStyle w:val="CaptionedFigure"/>
      </w:pPr>
      <w:r>
        <w:drawing>
          <wp:inline>
            <wp:extent cx="5067300" cy="1813070"/>
            <wp:effectExtent b="0" l="0" r="0" t="0"/>
            <wp:docPr descr="" title="" id="45" name="Picture"/>
            <a:graphic>
              <a:graphicData uri="http://schemas.openxmlformats.org/drawingml/2006/picture">
                <pic:pic>
                  <pic:nvPicPr>
                    <pic:cNvPr descr="../figures/pit_universe_evolution.png" id="46" name="Picture"/>
                    <pic:cNvPicPr>
                      <a:picLocks noChangeArrowheads="1" noChangeAspect="1"/>
                    </pic:cNvPicPr>
                  </pic:nvPicPr>
                  <pic:blipFill>
                    <a:blip r:embed="rId44"/>
                    <a:stretch>
                      <a:fillRect/>
                    </a:stretch>
                  </pic:blipFill>
                  <pic:spPr bwMode="auto">
                    <a:xfrm>
                      <a:off x="0" y="0"/>
                      <a:ext cx="5067300" cy="1813070"/>
                    </a:xfrm>
                    <a:prstGeom prst="rect">
                      <a:avLst/>
                    </a:prstGeom>
                    <a:noFill/>
                    <a:ln w="9525">
                      <a:noFill/>
                      <a:headEnd/>
                      <a:tailEnd/>
                    </a:ln>
                  </pic:spPr>
                </pic:pic>
              </a:graphicData>
            </a:graphic>
          </wp:inline>
        </w:drawing>
      </w:r>
    </w:p>
    <w:p>
      <w:pPr>
        <w:pStyle w:val="ImageCaption"/>
      </w:pPr>
      <w:r>
        <w:t xml:space="preserve">PIT universe size over time.</w:t>
      </w:r>
      <w:r>
        <w:t xml:space="preserve"> </w:t>
      </w:r>
      <w:r>
        <w:rPr>
          <w:i/>
          <w:iCs/>
        </w:rPr>
        <w:t xml:space="preserve">Eligible</w:t>
      </w:r>
      <w:r>
        <w:t xml:space="preserve">: passed all</w:t>
      </w:r>
      <w:r>
        <w:t xml:space="preserve"> </w:t>
      </w:r>
      <w:r>
        <w:t xml:space="preserve">filters at the snapshot date.</w:t>
      </w:r>
      <w:r>
        <w:t xml:space="preserve"> </w:t>
      </w:r>
      <w:r>
        <w:rPr>
          <w:i/>
          <w:iCs/>
        </w:rPr>
        <w:t xml:space="preserve">Included</w:t>
      </w:r>
      <w:r>
        <w:t xml:space="preserve">: in the universe after</w:t>
      </w:r>
      <w:r>
        <w:t xml:space="preserve"> </w:t>
      </w:r>
      <w:r>
        <w:t xml:space="preserve">entry/exit buffers. The 2018–2020 ramp reflects the gradual listing</w:t>
      </w:r>
      <w:r>
        <w:t xml:space="preserve"> </w:t>
      </w:r>
      <w:r>
        <w:t xml:space="preserve">of altcoins on Binance USDT spot. Steady-state</w:t>
      </w:r>
      <w:r>
        <w:t xml:space="preserve"> </w:t>
      </w:r>
      <m:oMath>
        <m:r>
          <m:rPr>
            <m:sty m:val="p"/>
          </m:rPr>
          <m:t>∼</m:t>
        </m:r>
      </m:oMath>
      <w:r>
        <w:t xml:space="preserve">49 included</w:t>
      </w:r>
      <w:r>
        <w:t xml:space="preserve"> </w:t>
      </w:r>
      <w:r>
        <w:t xml:space="preserve">symbols since mid-2020.</w:t>
      </w:r>
    </w:p>
    <w:bookmarkEnd w:id="47"/>
    <w:bookmarkEnd w:id="48"/>
    <w:bookmarkStart w:id="49" w:name="estimation-window"/>
    <w:p>
      <w:pPr>
        <w:pStyle w:val="Heading2"/>
      </w:pPr>
      <w:r>
        <w:t xml:space="preserve">Estimation window</w:t>
      </w:r>
    </w:p>
    <w:p>
      <w:pPr>
        <w:pStyle w:val="FirstParagraph"/>
      </w:pPr>
      <w:r>
        <w:t xml:space="preserve">365 daily returns of rolling lookback at each rebalance, with a per-asset</w:t>
      </w:r>
      <w:r>
        <w:t xml:space="preserve"> </w:t>
      </w:r>
      <w:r>
        <w:t xml:space="preserve">180-day minimum-observations filter. Assets failing the filter are</w:t>
      </w:r>
      <w:r>
        <w:t xml:space="preserve"> </w:t>
      </w:r>
      <w:r>
        <w:t xml:space="preserve">dropped from that snapshot’s strategy universe. Rationale: several</w:t>
      </w:r>
      <w:r>
        <w:t xml:space="preserve"> </w:t>
      </w:r>
      <w:r>
        <w:t xml:space="preserve">newer assets (JUP, ENA, WIF,</w:t>
      </w:r>
      <w:r>
        <w:t xml:space="preserve"> </w:t>
      </w:r>
      <m:oMath>
        <m:r>
          <m:rPr>
            <m:sty m:val="p"/>
          </m:rPr>
          <m:t>…</m:t>
        </m:r>
      </m:oMath>
      <w:r>
        <w:t xml:space="preserve">) are admitted via the 180-day</w:t>
      </w:r>
      <w:r>
        <w:t xml:space="preserve"> </w:t>
      </w:r>
      <w:r>
        <w:t xml:space="preserve">age filter but do not yet have 730 days of history.</w:t>
      </w:r>
    </w:p>
    <w:bookmarkEnd w:id="49"/>
    <w:bookmarkEnd w:id="50"/>
    <w:bookmarkStart w:id="55" w:name="sec:backtest"/>
    <w:p>
      <w:pPr>
        <w:pStyle w:val="Heading1"/>
      </w:pPr>
      <w:r>
        <w:t xml:space="preserve">Backtest Protocol</w:t>
      </w:r>
    </w:p>
    <w:bookmarkStart w:id="51" w:name="scenarios"/>
    <w:p>
      <w:pPr>
        <w:pStyle w:val="Heading2"/>
      </w:pPr>
      <w:r>
        <w:t xml:space="preserve">Scenarios</w:t>
      </w:r>
    </w:p>
    <w:p>
      <w:pPr>
        <w:pStyle w:val="FirstParagraph"/>
      </w:pPr>
      <w:r>
        <w:rPr>
          <w:b/>
          <w:bCs/>
        </w:rPr>
        <w:t xml:space="preserve">B</w:t>
      </w:r>
      <w:r>
        <w:t xml:space="preserve"> </w:t>
      </w:r>
      <w:r>
        <w:t xml:space="preserve">(calendar): monthly rebalancing; the headline scenario.</w:t>
      </w:r>
      <w:r>
        <w:t xml:space="preserve"> </w:t>
      </w:r>
      <w:r>
        <w:rPr>
          <w:b/>
          <w:bCs/>
        </w:rPr>
        <w:t xml:space="preserve">C</w:t>
      </w:r>
      <w:r>
        <w:t xml:space="preserve"> </w:t>
      </w:r>
      <w:r>
        <w:t xml:space="preserve">(threshold): rebalance only when max absolute weight drift</w:t>
      </w:r>
      <w:r>
        <w:t xml:space="preserve"> </w:t>
      </w:r>
      <w:r>
        <w:t xml:space="preserve">exceeds 5% from target.</w:t>
      </w:r>
      <w:r>
        <w:t xml:space="preserve"> </w:t>
      </w:r>
      <w:r>
        <w:rPr>
          <w:b/>
          <w:bCs/>
        </w:rPr>
        <w:t xml:space="preserve">C</w:t>
      </w:r>
      <m:oMath>
        <m:r>
          <m:rPr>
            <m:sty m:val="p"/>
          </m:rPr>
          <m:t>′</m:t>
        </m:r>
      </m:oMath>
      <w:r>
        <w:t xml:space="preserve"> </w:t>
      </w:r>
      <w:r>
        <w:t xml:space="preserve">(smoothed): C with linear smoothing</w:t>
      </w:r>
      <w:r>
        <w:t xml:space="preserve"> </w:t>
      </w:r>
      <m:oMath>
        <m:sSub>
          <m:e>
            <m:r>
              <m:t>w</m:t>
            </m:r>
          </m:e>
          <m:sub>
            <m:r>
              <m:rPr>
                <m:nor/>
                <m:sty m:val="p"/>
              </m:rPr>
              <m:t>traded</m:t>
            </m:r>
          </m:sub>
        </m:sSub>
        <m:r>
          <m:rPr>
            <m:sty m:val="p"/>
          </m:rPr>
          <m:t>=</m:t>
        </m:r>
        <m:r>
          <m:t>η</m:t>
        </m:r>
        <m:r>
          <m:t> </m:t>
        </m:r>
        <m:sSub>
          <m:e>
            <m:r>
              <m:t>w</m:t>
            </m:r>
          </m:e>
          <m:sub>
            <m:r>
              <m:rPr>
                <m:nor/>
                <m:sty m:val="p"/>
              </m:rPr>
              <m:t>prev</m:t>
            </m:r>
          </m:sub>
        </m:sSub>
        <m:r>
          <m:rPr>
            <m:sty m:val="p"/>
          </m:rPr>
          <m:t>+</m:t>
        </m:r>
        <m:r>
          <m:rPr>
            <m:sty m:val="p"/>
          </m:rPr>
          <m:t>(</m:t>
        </m:r>
        <m:r>
          <m:t>1</m:t>
        </m:r>
        <m:r>
          <m:rPr>
            <m:sty m:val="p"/>
          </m:rPr>
          <m:t>−</m:t>
        </m:r>
        <m:r>
          <m:t>η</m:t>
        </m:r>
        <m:r>
          <m:rPr>
            <m:sty m:val="p"/>
          </m:rPr>
          <m:t>)</m:t>
        </m:r>
        <m:r>
          <m:t> </m:t>
        </m:r>
        <m:sSub>
          <m:e>
            <m:r>
              <m:t>w</m:t>
            </m:r>
          </m:e>
          <m:sub>
            <m:r>
              <m:rPr>
                <m:nor/>
                <m:sty m:val="p"/>
              </m:rPr>
              <m:t>target</m:t>
            </m:r>
          </m:sub>
        </m:sSub>
      </m:oMath>
      <w:r>
        <w:t xml:space="preserve">,</w:t>
      </w:r>
      <w:r>
        <w:t xml:space="preserve"> </w:t>
      </w:r>
      <m:oMath>
        <m:r>
          <m:t>η</m:t>
        </m:r>
        <m:r>
          <m:rPr>
            <m:sty m:val="p"/>
          </m:rPr>
          <m:t>=</m:t>
        </m:r>
        <m:r>
          <m:t>0.25</m:t>
        </m:r>
      </m:oMath>
      <w:r>
        <w:t xml:space="preserve">, plus a 25 bps min-trade filter.</w:t>
      </w:r>
      <w:r>
        <w:t xml:space="preserve"> </w:t>
      </w:r>
      <w:r>
        <w:rPr>
          <w:b/>
          <w:bCs/>
        </w:rPr>
        <w:t xml:space="preserve">Weekly</w:t>
      </w:r>
      <w:r>
        <w:t xml:space="preserve">: a robustness check rebalancing every Friday (universe</w:t>
      </w:r>
      <w:r>
        <w:t xml:space="preserve"> </w:t>
      </w:r>
      <w:r>
        <w:t xml:space="preserve">membership carried from the latest month-end PIT snapshot, weights</w:t>
      </w:r>
      <w:r>
        <w:t xml:space="preserve"> </w:t>
      </w:r>
      <w:r>
        <w:t xml:space="preserve">recomputed weekly on the rolling window),</w:t>
      </w:r>
      <w:r>
        <w:t xml:space="preserve"> </w:t>
      </w:r>
      <m:oMath>
        <m:r>
          <m:rPr>
            <m:sty m:val="p"/>
          </m:rPr>
          <m:t>∼</m:t>
        </m:r>
      </m:oMath>
      <w:r>
        <w:t xml:space="preserve">330 rebalances</w:t>
      </w:r>
      <w:r>
        <w:t xml:space="preserve"> </w:t>
      </w:r>
      <w:r>
        <w:t xml:space="preserve">instead of 76, to probe whether higher cadence sharpens inference.</w:t>
      </w:r>
    </w:p>
    <w:bookmarkEnd w:id="51"/>
    <w:bookmarkStart w:id="52" w:name="cost-grid"/>
    <w:p>
      <w:pPr>
        <w:pStyle w:val="Heading2"/>
      </w:pPr>
      <w:r>
        <w:t xml:space="preserve">Cost grid</w:t>
      </w:r>
    </w:p>
    <w:p>
      <w:pPr>
        <w:pStyle w:val="FirstParagraph"/>
      </w:pPr>
      <w:r>
        <w:t xml:space="preserve">Linear cost</w:t>
      </w:r>
      <w:r>
        <w:t xml:space="preserve"> </w:t>
      </w:r>
      <m:oMath>
        <m:r>
          <m:rPr>
            <m:sty m:val="p"/>
          </m:rPr>
          <m:t>=</m:t>
        </m:r>
        <m:r>
          <m:rPr>
            <m:sty m:val="p"/>
          </m:rPr>
          <m:t>(</m:t>
        </m:r>
        <m:sSub>
          <m:e>
            <m:r>
              <m:rPr>
                <m:nor/>
                <m:sty m:val="p"/>
              </m:rPr>
              <m:t>fee</m:t>
            </m:r>
          </m:e>
          <m:sub>
            <m:r>
              <m:rPr>
                <m:nor/>
                <m:sty m:val="p"/>
              </m:rPr>
              <m:t>bps</m:t>
            </m:r>
          </m:sub>
        </m:sSub>
        <m:r>
          <m:rPr>
            <m:sty m:val="p"/>
          </m:rPr>
          <m:t>+</m:t>
        </m:r>
        <m:sSub>
          <m:e>
            <m:r>
              <m:rPr>
                <m:nor/>
                <m:sty m:val="p"/>
              </m:rPr>
              <m:t>slippage</m:t>
            </m:r>
          </m:e>
          <m:sub>
            <m:r>
              <m:rPr>
                <m:nor/>
                <m:sty m:val="p"/>
              </m:rPr>
              <m:t>bps</m:t>
            </m:r>
          </m:sub>
        </m:sSub>
        <m:r>
          <m:rPr>
            <m:sty m:val="p"/>
          </m:rPr>
          <m:t>)</m:t>
        </m:r>
        <m:r>
          <m:rPr>
            <m:sty m:val="p"/>
          </m:rPr>
          <m:t>×</m:t>
        </m:r>
        <m:sSub>
          <m:e>
            <m:r>
              <m:rPr>
                <m:nor/>
                <m:sty m:val="p"/>
              </m:rPr>
              <m:t>turnover</m:t>
            </m:r>
          </m:e>
          <m:sub>
            <m:sSub>
              <m:e>
                <m:r>
                  <m:t>L</m:t>
                </m:r>
              </m:e>
              <m:sub>
                <m:r>
                  <m:t>1</m:t>
                </m:r>
              </m:sub>
            </m:sSub>
          </m:sub>
        </m:sSub>
      </m:oMath>
      <w:r>
        <w:t xml:space="preserve">,</w:t>
      </w:r>
      <w:r>
        <w:t xml:space="preserve"> </w:t>
      </w:r>
      <w:r>
        <w:t xml:space="preserve">with a 2</w:t>
      </w:r>
      <m:oMath>
        <m:r>
          <m:rPr>
            <m:sty m:val="p"/>
          </m:rPr>
          <m:t>×</m:t>
        </m:r>
      </m:oMath>
      <w:r>
        <w:t xml:space="preserve"> </w:t>
      </w:r>
      <w:r>
        <w:t xml:space="preserve">multiplier for forced liquidation of exiting</w:t>
      </w:r>
      <w:r>
        <w:t xml:space="preserve"> </w:t>
      </w:r>
      <w:r>
        <w:t xml:space="preserve">positions. Four scenarios:</w:t>
      </w:r>
      <w:r>
        <w:t xml:space="preserve"> </w:t>
      </w:r>
      <w:r>
        <w:rPr>
          <w:i/>
          <w:iCs/>
        </w:rPr>
        <w:t xml:space="preserve">zero</w:t>
      </w:r>
      <w:r>
        <w:t xml:space="preserve"> </w:t>
      </w:r>
      <w:r>
        <w:t xml:space="preserve">(cost-free academic check),</w:t>
      </w:r>
      <w:r>
        <w:t xml:space="preserve"> </w:t>
      </w:r>
      <w:r>
        <w:rPr>
          <w:i/>
          <w:iCs/>
        </w:rPr>
        <w:t xml:space="preserve">conservative CEX</w:t>
      </w:r>
      <w:r>
        <w:t xml:space="preserve"> </w:t>
      </w:r>
      <w:r>
        <w:t xml:space="preserve">(10 bps fee + 2 bps slippage; our headline),</w:t>
      </w:r>
      <w:r>
        <w:t xml:space="preserve"> </w:t>
      </w:r>
      <w:r>
        <w:rPr>
          <w:i/>
          <w:iCs/>
        </w:rPr>
        <w:t xml:space="preserve">optimistic CEX</w:t>
      </w:r>
      <w:r>
        <w:t xml:space="preserve"> </w:t>
      </w:r>
      <w:r>
        <w:t xml:space="preserve">(7.5 bps + 1 bps), and</w:t>
      </w:r>
      <w:r>
        <w:t xml:space="preserve"> </w:t>
      </w:r>
      <w:r>
        <w:rPr>
          <w:i/>
          <w:iCs/>
        </w:rPr>
        <w:t xml:space="preserve">stress</w:t>
      </w:r>
      <w:r>
        <w:t xml:space="preserve"> </w:t>
      </w:r>
      <w:r>
        <w:t xml:space="preserve">(10 bps + 4 bps).</w:t>
      </w:r>
    </w:p>
    <w:bookmarkEnd w:id="52"/>
    <w:bookmarkStart w:id="53" w:name="statistical-inference"/>
    <w:p>
      <w:pPr>
        <w:pStyle w:val="Heading2"/>
      </w:pPr>
      <w:r>
        <w:t xml:space="preserve">Statistical inference</w:t>
      </w:r>
    </w:p>
    <w:p>
      <w:pPr>
        <w:pStyle w:val="FirstParagraph"/>
      </w:pPr>
      <w:r>
        <w:t xml:space="preserve">For each candidate versus baseline HRP, the Ledoit–Wolf (2008)</w:t>
      </w:r>
      <w:r>
        <w:t xml:space="preserve"> </w:t>
      </w:r>
      <w:r>
        <w:t xml:space="preserve">Sharpe-difference test</w:t>
      </w:r>
      <w:r>
        <w:t xml:space="preserve"> </w:t>
      </w:r>
      <w:r>
        <w:t xml:space="preserve">(Ledoit and Wolf 2008)</w:t>
      </w:r>
      <w:r>
        <w:t xml:space="preserve">: the observed</w:t>
      </w:r>
      <w:r>
        <w:t xml:space="preserve"> </w:t>
      </w:r>
      <w:r>
        <w:t xml:space="preserve">annualised Sharpe difference is studentized by a delta-method</w:t>
      </w:r>
      <w:r>
        <w:t xml:space="preserve"> </w:t>
      </w:r>
      <w:r>
        <w:t xml:space="preserve">HAC standard error, and the two-sided</w:t>
      </w:r>
      <w:r>
        <w:t xml:space="preserve"> </w:t>
      </w:r>
      <m:oMath>
        <m:r>
          <m:t>p</m:t>
        </m:r>
      </m:oMath>
      <w:r>
        <w:t xml:space="preserve">-value is read off a</w:t>
      </w:r>
      <w:r>
        <w:t xml:space="preserve"> </w:t>
      </w:r>
      <w:r>
        <w:rPr>
          <w:i/>
          <w:iCs/>
        </w:rPr>
        <w:t xml:space="preserve">studentized</w:t>
      </w:r>
      <w:r>
        <w:t xml:space="preserve"> </w:t>
      </w:r>
      <w:r>
        <w:t xml:space="preserve">stationary-block bootstrap (studentising both the</w:t>
      </w:r>
      <w:r>
        <w:t xml:space="preserve"> </w:t>
      </w:r>
      <w:r>
        <w:t xml:space="preserve">observed and the resampled statistic, as the method requires; a</w:t>
      </w:r>
      <w:r>
        <w:t xml:space="preserve"> </w:t>
      </w:r>
      <w:r>
        <w:t xml:space="preserve">plain percentile bootstrap lacks the asymptotic refinement). Across all</w:t>
      </w:r>
      <w:r>
        <w:t xml:space="preserve"> </w:t>
      </w:r>
      <w:r>
        <w:t xml:space="preserve">candidates jointly, the Hansen Superior Predictive Ability test</w:t>
      </w:r>
      <w:r>
        <w:t xml:space="preserve"> </w:t>
      </w:r>
      <w:r>
        <w:t xml:space="preserve">(Hansen 2005)</w:t>
      </w:r>
      <w:r>
        <w:t xml:space="preserve">, computed with the reference</w:t>
      </w:r>
      <w:r>
        <w:t xml:space="preserve"> </w:t>
      </w:r>
      <w:r>
        <w:rPr>
          <w:rStyle w:val="VerbatimChar"/>
        </w:rPr>
        <w:t xml:space="preserve">arch</w:t>
      </w:r>
      <w:r>
        <w:t xml:space="preserve"> </w:t>
      </w:r>
      <w:r>
        <w:t xml:space="preserve">implementation, which reports the lower, consistent and upper</w:t>
      </w:r>
      <w:r>
        <w:t xml:space="preserve"> </w:t>
      </w:r>
      <w:r>
        <w:t xml:space="preserve">recentering schemes. Headline-metric confidence intervals use the</w:t>
      </w:r>
      <w:r>
        <w:t xml:space="preserve"> </w:t>
      </w:r>
      <w:r>
        <w:t xml:space="preserve">Politis–Romano stationary block bootstrap</w:t>
      </w:r>
      <w:r>
        <w:t xml:space="preserve"> </w:t>
      </w:r>
      <w:r>
        <w:t xml:space="preserve">(Politis and Romano 1994)</w:t>
      </w:r>
      <w:r>
        <w:t xml:space="preserve"> </w:t>
      </w:r>
      <w:r>
        <w:t xml:space="preserve">with Politis–White automatic block length</w:t>
      </w:r>
      <w:r>
        <w:t xml:space="preserve"> </w:t>
      </w:r>
      <w:r>
        <w:t xml:space="preserve">(Politis and White 2004)</w:t>
      </w:r>
      <w:r>
        <w:t xml:space="preserve">.</w:t>
      </w:r>
      <w:r>
        <w:t xml:space="preserve"> </w:t>
      </w:r>
      <w:r>
        <w:t xml:space="preserve">A power analysis (§</w:t>
      </w:r>
      <w:hyperlink w:anchor="sec:results-power">
        <w:r>
          <w:rPr>
            <w:rStyle w:val="Hyperlink"/>
          </w:rPr>
          <w:t xml:space="preserve">6.2.0.4</w:t>
        </w:r>
      </w:hyperlink>
      <w:r>
        <w:t xml:space="preserve">) reports the Sharpe edge the</w:t>
      </w:r>
      <w:r>
        <w:t xml:space="preserve"> </w:t>
      </w:r>
      <w:r>
        <w:t xml:space="preserve">design could detect.</w:t>
      </w:r>
    </w:p>
    <w:bookmarkEnd w:id="53"/>
    <w:bookmarkStart w:id="54" w:name="cluster-stability"/>
    <w:p>
      <w:pPr>
        <w:pStyle w:val="Heading2"/>
      </w:pPr>
      <w:r>
        <w:t xml:space="preserve">Cluster stability</w:t>
      </w:r>
    </w:p>
    <w:p>
      <w:pPr>
        <w:pStyle w:val="FirstParagraph"/>
      </w:pPr>
      <w:r>
        <w:t xml:space="preserve">At each rebalance snapshot, we compute the</w:t>
      </w:r>
      <w:r>
        <w:t xml:space="preserve"> </w:t>
      </w:r>
      <w:r>
        <w:rPr>
          <w:i/>
          <w:iCs/>
        </w:rPr>
        <w:t xml:space="preserve">cophenetic correlation</w:t>
      </w:r>
      <w:r>
        <w:t xml:space="preserve"> </w:t>
      </w:r>
      <w:r>
        <w:t xml:space="preserve">of the dendrogram (Pearson correlation between cophenetic distance</w:t>
      </w:r>
      <w:r>
        <w:t xml:space="preserve"> </w:t>
      </w:r>
      <w:r>
        <w:t xml:space="preserve">and original pairwise distance) and the</w:t>
      </w:r>
      <w:r>
        <w:t xml:space="preserve"> </w:t>
      </w:r>
      <w:r>
        <w:rPr>
          <w:i/>
          <w:iCs/>
        </w:rPr>
        <w:t xml:space="preserve">Adjusted Rand Index</w:t>
      </w:r>
      <w:r>
        <w:t xml:space="preserve"> </w:t>
      </w:r>
      <w:r>
        <w:t xml:space="preserve">(Hubert and Arabie 1985)</w:t>
      </w:r>
      <w:r>
        <w:t xml:space="preserve"> </w:t>
      </w:r>
      <w:r>
        <w:t xml:space="preserve">between the cluster assignment at snapshot</w:t>
      </w:r>
      <w:r>
        <w:t xml:space="preserve"> </w:t>
      </w:r>
      <m:oMath>
        <m:r>
          <m:t>t</m:t>
        </m:r>
      </m:oMath>
      <w:r>
        <w:t xml:space="preserve"> </w:t>
      </w:r>
      <w:r>
        <w:t xml:space="preserve">and snapshot</w:t>
      </w:r>
      <w:r>
        <w:t xml:space="preserve"> </w:t>
      </w:r>
      <m:oMath>
        <m:r>
          <m:t>t</m:t>
        </m:r>
        <m:r>
          <m:rPr>
            <m:sty m:val="p"/>
          </m:rPr>
          <m:t>−</m:t>
        </m:r>
        <m:r>
          <m:t>1</m:t>
        </m:r>
      </m:oMath>
      <w:r>
        <w:t xml:space="preserve">, cut at</w:t>
      </w:r>
      <w:r>
        <w:t xml:space="preserve"> </w:t>
      </w:r>
      <m:oMath>
        <m:r>
          <m:t>K</m:t>
        </m:r>
        <m:r>
          <m:rPr>
            <m:sty m:val="p"/>
          </m:rPr>
          <m:t>=</m:t>
        </m:r>
        <m:r>
          <m:t>5</m:t>
        </m:r>
      </m:oMath>
      <w:r>
        <w:t xml:space="preserve"> </w:t>
      </w:r>
      <w:r>
        <w:t xml:space="preserve">clusters via</w:t>
      </w:r>
      <w:r>
        <w:t xml:space="preserve"> </w:t>
      </w:r>
      <w:r>
        <w:rPr>
          <w:rStyle w:val="VerbatimChar"/>
        </w:rPr>
        <w:t xml:space="preserve">fcluster</w:t>
      </w:r>
      <w:r>
        <w:t xml:space="preserve">.</w:t>
      </w:r>
    </w:p>
    <w:bookmarkEnd w:id="54"/>
    <w:bookmarkEnd w:id="55"/>
    <w:bookmarkStart w:id="120" w:name="sec:results"/>
    <w:p>
      <w:pPr>
        <w:pStyle w:val="Heading1"/>
      </w:pPr>
      <w:r>
        <w:t xml:space="preserve">Results</w:t>
      </w:r>
    </w:p>
    <w:bookmarkStart w:id="78" w:name="scenario-b-headline-performance"/>
    <w:p>
      <w:pPr>
        <w:pStyle w:val="Heading2"/>
      </w:pPr>
      <w:r>
        <w:t xml:space="preserve">Scenario B headline performance</w:t>
      </w:r>
    </w:p>
    <w:p>
      <w:pPr>
        <w:pStyle w:val="FirstParagraph"/>
      </w:pPr>
      <w:r>
        <w:t xml:space="preserve">Table </w:t>
      </w:r>
      <w:hyperlink w:anchor="tab:scenarioB">
        <w:r>
          <w:rPr>
            <w:rStyle w:val="Hyperlink"/>
          </w:rPr>
          <w:t xml:space="preserve">1</w:t>
        </w:r>
      </w:hyperlink>
      <w:r>
        <w:t xml:space="preserve"> </w:t>
      </w:r>
      <w:r>
        <w:t xml:space="preserve">reports the headline comparison under</w:t>
      </w:r>
      <w:r>
        <w:t xml:space="preserve"> </w:t>
      </w:r>
      <w:r>
        <w:t xml:space="preserve">monthly rebalancing with conservative CEX costs over 2020-02</w:t>
      </w:r>
      <w:r>
        <w:t xml:space="preserve"> </w:t>
      </w:r>
      <w:r>
        <w:t xml:space="preserve">through 2026-05-18. The strategy return panel contains 2</w:t>
      </w:r>
      <w:r>
        <w:t xml:space="preserve">,</w:t>
      </w:r>
      <w:r>
        <w:t xml:space="preserve">299 daily</w:t>
      </w:r>
      <w:r>
        <w:t xml:space="preserve"> </w:t>
      </w:r>
      <w:r>
        <w:t xml:space="preserve">observations for the PIT-traded strategies; once the passive</w:t>
      </w:r>
      <w:r>
        <w:t xml:space="preserve"> </w:t>
      </w:r>
      <w:r>
        <w:t xml:space="preserve">HODL_BTC benchmark is included, the common aligned panel used for the</w:t>
      </w:r>
      <w:r>
        <w:t xml:space="preserve"> </w:t>
      </w:r>
      <w:r>
        <w:t xml:space="preserve">Ledoit–Wolf and Hansen SPA inference contains 2</w:t>
      </w:r>
      <w:r>
        <w:t xml:space="preserve">,</w:t>
      </w:r>
      <w:r>
        <w:t xml:space="preserve">297 observations.</w:t>
      </w:r>
      <w:r>
        <w:t xml:space="preserve"> </w:t>
      </w:r>
      <w:r>
        <w:t xml:space="preserve">Figures </w:t>
      </w:r>
      <w:hyperlink w:anchor="fig:cum_b">
        <w:r>
          <w:rPr>
            <w:rStyle w:val="Hyperlink"/>
          </w:rPr>
          <w:t xml:space="preserve">2</w:t>
        </w:r>
      </w:hyperlink>
      <w:r>
        <w:t xml:space="preserve"> </w:t>
      </w:r>
      <w:r>
        <w:t xml:space="preserve">and</w:t>
      </w:r>
      <w:r>
        <w:t xml:space="preserve"> </w:t>
      </w:r>
      <w:hyperlink w:anchor="fig:risk_return">
        <w:r>
          <w:rPr>
            <w:rStyle w:val="Hyperlink"/>
          </w:rPr>
          <w:t xml:space="preserve">3</w:t>
        </w:r>
      </w:hyperlink>
      <w:r>
        <w:t xml:space="preserve"> </w:t>
      </w:r>
      <w:r>
        <w:t xml:space="preserve">visualise the equity curves and the risk–return positioning. The</w:t>
      </w:r>
      <w:r>
        <w:t xml:space="preserve"> </w:t>
      </w:r>
      <w:r>
        <w:t xml:space="preserve">Sortino and Calmar ratios track the Sharpe ranking closely; the one</w:t>
      </w:r>
      <w:r>
        <w:t xml:space="preserve"> </w:t>
      </w:r>
      <w:r>
        <w:t xml:space="preserve">strategy they re-order materially is RM_MOM, whose volatility-targeting</w:t>
      </w:r>
      <w:r>
        <w:t xml:space="preserve"> </w:t>
      </w:r>
      <w:r>
        <w:t xml:space="preserve">overlay gives it the table’s mildest drawdown (</w:t>
      </w:r>
      <m:oMath>
        <m:r>
          <m:rPr>
            <m:sty m:val="p"/>
          </m:rPr>
          <m:t>−</m:t>
        </m:r>
        <m:r>
          <m:t>40</m:t>
        </m:r>
        <m:r>
          <m:rPr>
            <m:sty m:val="p"/>
          </m:rPr>
          <m:t>%</m:t>
        </m:r>
      </m:oMath>
      <w:r>
        <w:t xml:space="preserve">, against the</w:t>
      </w:r>
      <w:r>
        <w:t xml:space="preserve"> </w:t>
      </w:r>
      <m:oMath>
        <m:r>
          <m:rPr>
            <m:sty m:val="p"/>
          </m:rPr>
          <m:t>−</m:t>
        </m:r>
        <m:r>
          <m:t>77</m:t>
        </m:r>
        <m:r>
          <m:rPr>
            <m:sty m:val="p"/>
          </m:rPr>
          <m:t>%</m:t>
        </m:r>
      </m:oMath>
      <w:r>
        <w:t xml:space="preserve"> </w:t>
      </w:r>
      <w:r>
        <w:t xml:space="preserve">to</w:t>
      </w:r>
      <w:r>
        <w:t xml:space="preserve"> </w:t>
      </w:r>
      <m:oMath>
        <m:r>
          <m:rPr>
            <m:sty m:val="p"/>
          </m:rPr>
          <m:t>−</m:t>
        </m:r>
        <m:r>
          <m:t>93</m:t>
        </m:r>
        <m:r>
          <m:rPr>
            <m:sty m:val="p"/>
          </m:rPr>
          <m:t>%</m:t>
        </m:r>
      </m:oMath>
      <w:r>
        <w:t xml:space="preserve"> </w:t>
      </w:r>
      <w:r>
        <w:t xml:space="preserve">of every other strategy) and lifts its Sortino well</w:t>
      </w:r>
      <w:r>
        <w:t xml:space="preserve"> </w:t>
      </w:r>
      <w:r>
        <w:t xml:space="preserve">above its Sharpe rank.</w:t>
      </w:r>
    </w:p>
    <w:bookmarkStart w:id="56" w:name="tab:scenarioB"/>
    <w:p>
      <w:pPr>
        <w:pStyle w:val="TableCaption"/>
      </w:pPr>
      <w:r>
        <w:t xml:space="preserve">Scenario B headline results (Conservative CEX cost, 76 monthly</w:t>
      </w:r>
      <w:r>
        <w:t xml:space="preserve"> </w:t>
      </w:r>
      <w:r>
        <w:t xml:space="preserve">rebalances over 2020-02 to 2026-05, expanded 146-symbol PIT universe).</w:t>
      </w:r>
      <w:r>
        <w:t xml:space="preserve"> </w:t>
      </w:r>
      <w:r>
        <w:t xml:space="preserve">Sharpe is the annualised arithmetic ratio (mean / standard deviation</w:t>
      </w:r>
      <w:r>
        <w:t xml:space="preserve"> </w:t>
      </w:r>
      <m:oMath>
        <m:r>
          <m:rPr>
            <m:sty m:val="p"/>
          </m:rPr>
          <m:t>×</m:t>
        </m:r>
        <m:rad>
          <m:radPr>
            <m:degHide m:val="on"/>
          </m:radPr>
          <m:deg/>
          <m:e>
            <m:r>
              <m:t>365</m:t>
            </m:r>
          </m:e>
        </m:rad>
      </m:oMath>
      <w:r>
        <w:t xml:space="preserve">); Sortino and Calmar are annualised; Max DD is the</w:t>
      </w:r>
      <w:r>
        <w:t xml:space="preserve"> </w:t>
      </w:r>
      <w:r>
        <w:t xml:space="preserve">peak-to-trough drawdown. All ratios use raw returns with the</w:t>
      </w:r>
      <w:r>
        <w:t xml:space="preserve"> </w:t>
      </w:r>
      <w:r>
        <w:t xml:space="preserve">risk-free rate set to zero, the standard convention for crypto Sharpe</w:t>
      </w:r>
      <w:r>
        <w:t xml:space="preserve"> </w:t>
      </w:r>
      <w:r>
        <w:t xml:space="preserve">ratios.</w:t>
      </w:r>
      <w:r>
        <w:t xml:space="preserve"> </w:t>
      </w:r>
      <w:r>
        <w:t xml:space="preserve">“LW</w:t>
      </w:r>
      <w:r>
        <w:t xml:space="preserve"> </w:t>
      </w:r>
      <m:oMath>
        <m:r>
          <m:t>p</m:t>
        </m:r>
      </m:oMath>
      <w:r>
        <w:t xml:space="preserve">”</w:t>
      </w:r>
      <w:r>
        <w:t xml:space="preserve"> </w:t>
      </w:r>
      <w:r>
        <w:t xml:space="preserve">is the studentized Ledoit–Wolf</w:t>
      </w:r>
      <w:r>
        <w:t xml:space="preserve"> </w:t>
      </w:r>
      <w:r>
        <w:t xml:space="preserve">Sharpe-difference test vs. baseline HRP (bold:</w:t>
      </w:r>
      <w:r>
        <w:t xml:space="preserve"> </w:t>
      </w:r>
      <m:oMath>
        <m:r>
          <m:t>p</m:t>
        </m:r>
        <m:r>
          <m:rPr>
            <m:sty m:val="p"/>
          </m:rPr>
          <m:t>&lt;</m:t>
        </m:r>
        <m:r>
          <m:t>0.05</m:t>
        </m:r>
      </m:oMath>
      <w:r>
        <w:t xml:space="preserve">). HODL_BTC is</w:t>
      </w:r>
      <w:r>
        <w:t xml:space="preserve"> </w:t>
      </w:r>
      <w:r>
        <w:t xml:space="preserve">a passive benchmark, not a strategy.</w:t>
      </w:r>
    </w:p>
    <w:tbl>
      <w:tblPr>
        <w:tblStyle w:val="Table"/>
        <w:tblW w:type="auto" w:w="0"/>
        <w:tblLook w:firstRow="1" w:lastRow="0" w:firstColumn="0" w:lastColumn="0" w:noHBand="0" w:noVBand="0" w:val="0020"/>
        <w:tblCaption w:val="Scenario B headline results (Conservative CEX cost, 76 monthly rebalances over 2020-02 to 2026-05, expanded 146-symbol PIT universe). Sharpe is the annualised arithmetic ratio (mean / standard deviation \times\sqrt{365}); Sortino and Calmar are annualised; Max DD is the peak-to-trough drawdown. All ratios use raw returns with the risk-free rate set to zero, the standard convention for crypto Sharpe ratios. “LW p” is the studentized Ledoit–Wolf Sharpe-difference test vs. baseline HRP (bold: p&lt;0.05). HODL_BTC is a passive benchmark, not a strategy."/>
      </w:tblPr>
      <w:tblGrid>
        <w:gridCol w:w="1131"/>
        <w:gridCol w:w="1131"/>
        <w:gridCol w:w="1131"/>
        <w:gridCol w:w="1131"/>
        <w:gridCol w:w="1131"/>
        <w:gridCol w:w="1131"/>
        <w:gridCol w:w="1131"/>
      </w:tblGrid>
      <w:tr>
        <w:trPr>
          <w:tblHeader w:val="on"/>
        </w:trPr>
        <w:tc>
          <w:tcPr/>
          <w:p>
            <w:pPr>
              <w:pStyle w:val="Compact"/>
              <w:jc w:val="left"/>
            </w:pPr>
            <w:r>
              <w:t xml:space="preserve">Strategy</w:t>
            </w:r>
          </w:p>
        </w:tc>
        <w:tc>
          <w:tcPr/>
          <w:p>
            <w:pPr>
              <w:pStyle w:val="Compact"/>
              <w:jc w:val="right"/>
            </w:pPr>
            <w:r>
              <w:t xml:space="preserve">Sharpe</w:t>
            </w:r>
          </w:p>
        </w:tc>
        <w:tc>
          <w:tcPr/>
          <w:p>
            <w:pPr>
              <w:pStyle w:val="Compact"/>
              <w:jc w:val="right"/>
            </w:pPr>
            <w:r>
              <w:t xml:space="preserve">Sortino</w:t>
            </w:r>
          </w:p>
        </w:tc>
        <w:tc>
          <w:tcPr/>
          <w:p>
            <w:pPr>
              <w:pStyle w:val="Compact"/>
              <w:jc w:val="right"/>
            </w:pPr>
            <w:r>
              <w:t xml:space="preserve">Calmar</w:t>
            </w:r>
          </w:p>
        </w:tc>
        <w:tc>
          <w:tcPr/>
          <w:p>
            <w:pPr>
              <w:pStyle w:val="Compact"/>
              <w:jc w:val="right"/>
            </w:pPr>
            <w:r>
              <w:t xml:space="preserve">Total Return</w:t>
            </w:r>
          </w:p>
        </w:tc>
        <w:tc>
          <w:tcPr/>
          <w:p>
            <w:pPr>
              <w:pStyle w:val="Compact"/>
              <w:jc w:val="right"/>
            </w:pPr>
            <w:r>
              <w:t xml:space="preserve">Max DD</w:t>
            </w:r>
          </w:p>
        </w:tc>
        <w:tc>
          <w:tcPr/>
          <w:p>
            <w:pPr>
              <w:pStyle w:val="Compact"/>
              <w:jc w:val="right"/>
            </w:pPr>
            <w:r>
              <w:t xml:space="preserve">LW</w:t>
            </w:r>
            <w:r>
              <w:t xml:space="preserve"> </w:t>
            </w:r>
            <m:oMath>
              <m:r>
                <m:t>p</m:t>
              </m:r>
            </m:oMath>
          </w:p>
        </w:tc>
      </w:tr>
      <w:tr>
        <w:tc>
          <w:tcPr/>
          <w:p>
            <w:pPr>
              <w:pStyle w:val="Compact"/>
              <w:jc w:val="left"/>
            </w:pPr>
            <w:r>
              <w:rPr>
                <w:b/>
                <w:bCs/>
              </w:rPr>
              <w:t xml:space="preserve">MVP</w:t>
            </w:r>
          </w:p>
        </w:tc>
        <w:tc>
          <w:tcPr/>
          <w:p>
            <w:pPr>
              <w:pStyle w:val="Compact"/>
              <w:jc w:val="right"/>
            </w:pPr>
            <w:r>
              <w:t xml:space="preserve">1.057</w:t>
            </w:r>
          </w:p>
        </w:tc>
        <w:tc>
          <w:tcPr/>
          <w:p>
            <w:pPr>
              <w:pStyle w:val="Compact"/>
              <w:jc w:val="right"/>
            </w:pPr>
            <w:r>
              <w:t xml:space="preserve">1.293</w:t>
            </w:r>
          </w:p>
        </w:tc>
        <w:tc>
          <w:tcPr/>
          <w:p>
            <w:pPr>
              <w:pStyle w:val="Compact"/>
              <w:jc w:val="right"/>
            </w:pPr>
            <w:r>
              <w:t xml:space="preserve">0.896</w:t>
            </w:r>
          </w:p>
        </w:tc>
        <w:tc>
          <w:tcPr/>
          <w:p>
            <w:pPr>
              <w:pStyle w:val="Compact"/>
              <w:jc w:val="right"/>
            </w:pPr>
            <w:r>
              <w:t xml:space="preserve">+2867%</w:t>
            </w:r>
          </w:p>
        </w:tc>
        <w:tc>
          <w:tcPr/>
          <w:p>
            <w:pPr>
              <w:pStyle w:val="Compact"/>
              <w:jc w:val="right"/>
            </w:pPr>
            <w:r>
              <w:t xml:space="preserve">–80%</w:t>
            </w:r>
          </w:p>
        </w:tc>
        <w:tc>
          <w:tcPr/>
          <w:p>
            <w:pPr>
              <w:pStyle w:val="Compact"/>
              <w:jc w:val="right"/>
            </w:pPr>
            <w:r>
              <w:t xml:space="preserve">0.059</w:t>
            </w:r>
          </w:p>
        </w:tc>
      </w:tr>
      <w:tr>
        <w:tc>
          <w:tcPr/>
          <w:p>
            <w:pPr>
              <w:pStyle w:val="Compact"/>
              <w:jc w:val="left"/>
            </w:pPr>
            <w:r>
              <w:rPr>
                <w:b/>
                <w:bCs/>
              </w:rPr>
              <w:t xml:space="preserve">CRISP</w:t>
            </w:r>
          </w:p>
        </w:tc>
        <w:tc>
          <w:tcPr/>
          <w:p>
            <w:pPr>
              <w:pStyle w:val="Compact"/>
              <w:jc w:val="right"/>
            </w:pPr>
            <w:r>
              <w:t xml:space="preserve">0.989</w:t>
            </w:r>
          </w:p>
        </w:tc>
        <w:tc>
          <w:tcPr/>
          <w:p>
            <w:pPr>
              <w:pStyle w:val="Compact"/>
              <w:jc w:val="right"/>
            </w:pPr>
            <w:r>
              <w:t xml:space="preserve">1.000</w:t>
            </w:r>
          </w:p>
        </w:tc>
        <w:tc>
          <w:tcPr/>
          <w:p>
            <w:pPr>
              <w:pStyle w:val="Compact"/>
              <w:jc w:val="right"/>
            </w:pPr>
            <w:r>
              <w:t xml:space="preserve">0.726</w:t>
            </w:r>
          </w:p>
        </w:tc>
        <w:tc>
          <w:tcPr/>
          <w:p>
            <w:pPr>
              <w:pStyle w:val="Compact"/>
              <w:jc w:val="right"/>
            </w:pPr>
            <w:r>
              <w:t xml:space="preserve">+1693%</w:t>
            </w:r>
          </w:p>
        </w:tc>
        <w:tc>
          <w:tcPr/>
          <w:p>
            <w:pPr>
              <w:pStyle w:val="Compact"/>
              <w:jc w:val="right"/>
            </w:pPr>
            <w:r>
              <w:t xml:space="preserve">–80%</w:t>
            </w:r>
          </w:p>
        </w:tc>
        <w:tc>
          <w:tcPr/>
          <w:p>
            <w:pPr>
              <w:pStyle w:val="Compact"/>
              <w:jc w:val="right"/>
            </w:pPr>
            <w:r>
              <w:rPr>
                <w:b/>
                <w:bCs/>
              </w:rPr>
              <w:t xml:space="preserve">0.012</w:t>
            </w:r>
          </w:p>
        </w:tc>
      </w:tr>
      <w:tr>
        <w:tc>
          <w:tcPr/>
          <w:p>
            <w:pPr>
              <w:pStyle w:val="Compact"/>
              <w:jc w:val="left"/>
            </w:pPr>
            <w:r>
              <w:rPr>
                <w:b/>
                <w:bCs/>
              </w:rPr>
              <w:t xml:space="preserve">NCO_CRISP</w:t>
            </w:r>
          </w:p>
        </w:tc>
        <w:tc>
          <w:tcPr/>
          <w:p>
            <w:pPr>
              <w:pStyle w:val="Compact"/>
              <w:jc w:val="right"/>
            </w:pPr>
            <w:r>
              <w:t xml:space="preserve">0.977</w:t>
            </w:r>
          </w:p>
        </w:tc>
        <w:tc>
          <w:tcPr/>
          <w:p>
            <w:pPr>
              <w:pStyle w:val="Compact"/>
              <w:jc w:val="right"/>
            </w:pPr>
            <w:r>
              <w:t xml:space="preserve">0.930</w:t>
            </w:r>
          </w:p>
        </w:tc>
        <w:tc>
          <w:tcPr/>
          <w:p>
            <w:pPr>
              <w:pStyle w:val="Compact"/>
              <w:jc w:val="right"/>
            </w:pPr>
            <w:r>
              <w:t xml:space="preserve">0.702</w:t>
            </w:r>
          </w:p>
        </w:tc>
        <w:tc>
          <w:tcPr/>
          <w:p>
            <w:pPr>
              <w:pStyle w:val="Compact"/>
              <w:jc w:val="right"/>
            </w:pPr>
            <w:r>
              <w:t xml:space="preserve">+1613%</w:t>
            </w:r>
          </w:p>
        </w:tc>
        <w:tc>
          <w:tcPr/>
          <w:p>
            <w:pPr>
              <w:pStyle w:val="Compact"/>
              <w:jc w:val="right"/>
            </w:pPr>
            <w:r>
              <w:t xml:space="preserve">–81%</w:t>
            </w:r>
          </w:p>
        </w:tc>
        <w:tc>
          <w:tcPr/>
          <w:p>
            <w:pPr>
              <w:pStyle w:val="Compact"/>
              <w:jc w:val="right"/>
            </w:pPr>
            <w:r>
              <w:rPr>
                <w:b/>
                <w:bCs/>
              </w:rPr>
              <w:t xml:space="preserve">0.011</w:t>
            </w:r>
          </w:p>
        </w:tc>
      </w:tr>
      <w:tr>
        <w:tc>
          <w:tcPr/>
          <w:p>
            <w:pPr>
              <w:pStyle w:val="Compact"/>
              <w:jc w:val="left"/>
            </w:pPr>
            <w:r>
              <w:rPr>
                <w:b/>
                <w:bCs/>
              </w:rPr>
              <w:t xml:space="preserve">NCO</w:t>
            </w:r>
          </w:p>
        </w:tc>
        <w:tc>
          <w:tcPr/>
          <w:p>
            <w:pPr>
              <w:pStyle w:val="Compact"/>
              <w:jc w:val="right"/>
            </w:pPr>
            <w:r>
              <w:t xml:space="preserve">0.933</w:t>
            </w:r>
          </w:p>
        </w:tc>
        <w:tc>
          <w:tcPr/>
          <w:p>
            <w:pPr>
              <w:pStyle w:val="Compact"/>
              <w:jc w:val="right"/>
            </w:pPr>
            <w:r>
              <w:t xml:space="preserve">0.979</w:t>
            </w:r>
          </w:p>
        </w:tc>
        <w:tc>
          <w:tcPr/>
          <w:p>
            <w:pPr>
              <w:pStyle w:val="Compact"/>
              <w:jc w:val="right"/>
            </w:pPr>
            <w:r>
              <w:t xml:space="preserve">0.672</w:t>
            </w:r>
          </w:p>
        </w:tc>
        <w:tc>
          <w:tcPr/>
          <w:p>
            <w:pPr>
              <w:pStyle w:val="Compact"/>
              <w:jc w:val="right"/>
            </w:pPr>
            <w:r>
              <w:t xml:space="preserve">+1503%</w:t>
            </w:r>
          </w:p>
        </w:tc>
        <w:tc>
          <w:tcPr/>
          <w:p>
            <w:pPr>
              <w:pStyle w:val="Compact"/>
              <w:jc w:val="right"/>
            </w:pPr>
            <w:r>
              <w:t xml:space="preserve">–82%</w:t>
            </w:r>
          </w:p>
        </w:tc>
        <w:tc>
          <w:tcPr/>
          <w:p>
            <w:pPr>
              <w:pStyle w:val="Compact"/>
              <w:jc w:val="right"/>
            </w:pPr>
            <w:r>
              <w:t xml:space="preserve">0.218</w:t>
            </w:r>
          </w:p>
        </w:tc>
      </w:tr>
      <w:tr>
        <w:tc>
          <w:tcPr/>
          <w:p>
            <w:pPr>
              <w:pStyle w:val="Compact"/>
              <w:jc w:val="left"/>
            </w:pPr>
            <w:r>
              <w:rPr>
                <w:i/>
                <w:iCs/>
              </w:rPr>
              <w:t xml:space="preserve">HODL_BTC</w:t>
            </w:r>
          </w:p>
        </w:tc>
        <w:tc>
          <w:tcPr/>
          <w:p>
            <w:pPr>
              <w:pStyle w:val="Compact"/>
              <w:jc w:val="right"/>
            </w:pPr>
            <w:r>
              <w:t xml:space="preserve">0.868</w:t>
            </w:r>
          </w:p>
        </w:tc>
        <w:tc>
          <w:tcPr/>
          <w:p>
            <w:pPr>
              <w:pStyle w:val="Compact"/>
              <w:jc w:val="right"/>
            </w:pPr>
            <w:r>
              <w:t xml:space="preserve">0.881</w:t>
            </w:r>
          </w:p>
        </w:tc>
        <w:tc>
          <w:tcPr/>
          <w:p>
            <w:pPr>
              <w:pStyle w:val="Compact"/>
              <w:jc w:val="right"/>
            </w:pPr>
            <w:r>
              <w:t xml:space="preserve">0.528</w:t>
            </w:r>
          </w:p>
        </w:tc>
        <w:tc>
          <w:tcPr/>
          <w:p>
            <w:pPr>
              <w:pStyle w:val="Compact"/>
              <w:jc w:val="right"/>
            </w:pPr>
            <w:r>
              <w:t xml:space="preserve">+749%</w:t>
            </w:r>
          </w:p>
        </w:tc>
        <w:tc>
          <w:tcPr/>
          <w:p>
            <w:pPr>
              <w:pStyle w:val="Compact"/>
              <w:jc w:val="right"/>
            </w:pPr>
            <w:r>
              <w:t xml:space="preserve">–77%</w:t>
            </w:r>
          </w:p>
        </w:tc>
        <w:tc>
          <w:tcPr/>
          <w:p>
            <w:pPr>
              <w:pStyle w:val="Compact"/>
              <w:jc w:val="right"/>
            </w:pPr>
            <w:r>
              <w:t xml:space="preserve">0.606</w:t>
            </w:r>
          </w:p>
        </w:tc>
      </w:tr>
      <w:tr>
        <w:tc>
          <w:tcPr/>
          <w:p>
            <w:pPr>
              <w:pStyle w:val="Compact"/>
              <w:jc w:val="left"/>
            </w:pPr>
            <w:r>
              <w:t xml:space="preserve">NCOML</w:t>
            </w:r>
          </w:p>
        </w:tc>
        <w:tc>
          <w:tcPr/>
          <w:p>
            <w:pPr>
              <w:pStyle w:val="Compact"/>
              <w:jc w:val="right"/>
            </w:pPr>
            <w:r>
              <w:t xml:space="preserve">0.804</w:t>
            </w:r>
          </w:p>
        </w:tc>
        <w:tc>
          <w:tcPr/>
          <w:p>
            <w:pPr>
              <w:pStyle w:val="Compact"/>
              <w:jc w:val="right"/>
            </w:pPr>
            <w:r>
              <w:t xml:space="preserve">0.492</w:t>
            </w:r>
          </w:p>
        </w:tc>
        <w:tc>
          <w:tcPr/>
          <w:p>
            <w:pPr>
              <w:pStyle w:val="Compact"/>
              <w:jc w:val="right"/>
            </w:pPr>
            <w:r>
              <w:t xml:space="preserve">0.415</w:t>
            </w:r>
          </w:p>
        </w:tc>
        <w:tc>
          <w:tcPr/>
          <w:p>
            <w:pPr>
              <w:pStyle w:val="Compact"/>
              <w:jc w:val="right"/>
            </w:pPr>
            <w:r>
              <w:t xml:space="preserve">+567%</w:t>
            </w:r>
          </w:p>
        </w:tc>
        <w:tc>
          <w:tcPr/>
          <w:p>
            <w:pPr>
              <w:pStyle w:val="Compact"/>
              <w:jc w:val="right"/>
            </w:pPr>
            <w:r>
              <w:t xml:space="preserve">–85%</w:t>
            </w:r>
          </w:p>
        </w:tc>
        <w:tc>
          <w:tcPr/>
          <w:p>
            <w:pPr>
              <w:pStyle w:val="Compact"/>
              <w:jc w:val="right"/>
            </w:pPr>
            <w:r>
              <w:t xml:space="preserve">0.804</w:t>
            </w:r>
          </w:p>
        </w:tc>
      </w:tr>
      <w:tr>
        <w:tc>
          <w:tcPr/>
          <w:p>
            <w:pPr>
              <w:pStyle w:val="Compact"/>
              <w:jc w:val="left"/>
            </w:pPr>
            <w:r>
              <w:t xml:space="preserve">HRP_Dynamic_94</w:t>
            </w:r>
          </w:p>
        </w:tc>
        <w:tc>
          <w:tcPr/>
          <w:p>
            <w:pPr>
              <w:pStyle w:val="Compact"/>
              <w:jc w:val="right"/>
            </w:pPr>
            <w:r>
              <w:t xml:space="preserve">0.749</w:t>
            </w:r>
          </w:p>
        </w:tc>
        <w:tc>
          <w:tcPr/>
          <w:p>
            <w:pPr>
              <w:pStyle w:val="Compact"/>
              <w:jc w:val="right"/>
            </w:pPr>
            <w:r>
              <w:t xml:space="preserve">0.477</w:t>
            </w:r>
          </w:p>
        </w:tc>
        <w:tc>
          <w:tcPr/>
          <w:p>
            <w:pPr>
              <w:pStyle w:val="Compact"/>
              <w:jc w:val="right"/>
            </w:pPr>
            <w:r>
              <w:t xml:space="preserve">0.363</w:t>
            </w:r>
          </w:p>
        </w:tc>
        <w:tc>
          <w:tcPr/>
          <w:p>
            <w:pPr>
              <w:pStyle w:val="Compact"/>
              <w:jc w:val="right"/>
            </w:pPr>
            <w:r>
              <w:t xml:space="preserve">+442%</w:t>
            </w:r>
          </w:p>
        </w:tc>
        <w:tc>
          <w:tcPr/>
          <w:p>
            <w:pPr>
              <w:pStyle w:val="Compact"/>
              <w:jc w:val="right"/>
            </w:pPr>
            <w:r>
              <w:t xml:space="preserve">–85%</w:t>
            </w:r>
          </w:p>
        </w:tc>
        <w:tc>
          <w:tcPr/>
          <w:p>
            <w:pPr>
              <w:pStyle w:val="Compact"/>
              <w:jc w:val="right"/>
            </w:pPr>
            <w:r>
              <w:t xml:space="preserve">0.823</w:t>
            </w:r>
          </w:p>
        </w:tc>
      </w:tr>
      <w:tr>
        <w:tc>
          <w:tcPr/>
          <w:p>
            <w:pPr>
              <w:pStyle w:val="Compact"/>
              <w:jc w:val="left"/>
            </w:pPr>
            <w:r>
              <w:t xml:space="preserve">HRP_ShrunkCov</w:t>
            </w:r>
          </w:p>
        </w:tc>
        <w:tc>
          <w:tcPr/>
          <w:p>
            <w:pPr>
              <w:pStyle w:val="Compact"/>
              <w:jc w:val="right"/>
            </w:pPr>
            <w:r>
              <w:t xml:space="preserve">0.746</w:t>
            </w:r>
          </w:p>
        </w:tc>
        <w:tc>
          <w:tcPr/>
          <w:p>
            <w:pPr>
              <w:pStyle w:val="Compact"/>
              <w:jc w:val="right"/>
            </w:pPr>
            <w:r>
              <w:t xml:space="preserve">0.461</w:t>
            </w:r>
          </w:p>
        </w:tc>
        <w:tc>
          <w:tcPr/>
          <w:p>
            <w:pPr>
              <w:pStyle w:val="Compact"/>
              <w:jc w:val="right"/>
            </w:pPr>
            <w:r>
              <w:t xml:space="preserve">0.355</w:t>
            </w:r>
          </w:p>
        </w:tc>
        <w:tc>
          <w:tcPr/>
          <w:p>
            <w:pPr>
              <w:pStyle w:val="Compact"/>
              <w:jc w:val="right"/>
            </w:pPr>
            <w:r>
              <w:t xml:space="preserve">+428%</w:t>
            </w:r>
          </w:p>
        </w:tc>
        <w:tc>
          <w:tcPr/>
          <w:p>
            <w:pPr>
              <w:pStyle w:val="Compact"/>
              <w:jc w:val="right"/>
            </w:pPr>
            <w:r>
              <w:t xml:space="preserve">–85%</w:t>
            </w:r>
          </w:p>
        </w:tc>
        <w:tc>
          <w:tcPr/>
          <w:p>
            <w:pPr>
              <w:pStyle w:val="Compact"/>
              <w:jc w:val="right"/>
            </w:pPr>
            <w:r>
              <w:t xml:space="preserve">0.779</w:t>
            </w:r>
          </w:p>
        </w:tc>
      </w:tr>
      <w:tr>
        <w:tc>
          <w:tcPr/>
          <w:p>
            <w:pPr>
              <w:pStyle w:val="Compact"/>
              <w:jc w:val="left"/>
            </w:pPr>
            <w:r>
              <w:rPr>
                <w:b/>
                <w:bCs/>
              </w:rPr>
              <w:t xml:space="preserve">HRP (baseline)</w:t>
            </w:r>
          </w:p>
        </w:tc>
        <w:tc>
          <w:tcPr/>
          <w:p>
            <w:pPr>
              <w:pStyle w:val="Compact"/>
              <w:jc w:val="right"/>
            </w:pPr>
            <w:r>
              <w:t xml:space="preserve">0.741</w:t>
            </w:r>
          </w:p>
        </w:tc>
        <w:tc>
          <w:tcPr/>
          <w:p>
            <w:pPr>
              <w:pStyle w:val="Compact"/>
              <w:jc w:val="right"/>
            </w:pPr>
            <w:r>
              <w:t xml:space="preserve">0.455</w:t>
            </w:r>
          </w:p>
        </w:tc>
        <w:tc>
          <w:tcPr/>
          <w:p>
            <w:pPr>
              <w:pStyle w:val="Compact"/>
              <w:jc w:val="right"/>
            </w:pPr>
            <w:r>
              <w:t xml:space="preserve">0.351</w:t>
            </w:r>
          </w:p>
        </w:tc>
        <w:tc>
          <w:tcPr/>
          <w:p>
            <w:pPr>
              <w:pStyle w:val="Compact"/>
              <w:jc w:val="right"/>
            </w:pPr>
            <w:r>
              <w:t xml:space="preserve">+417%</w:t>
            </w:r>
          </w:p>
        </w:tc>
        <w:tc>
          <w:tcPr/>
          <w:p>
            <w:pPr>
              <w:pStyle w:val="Compact"/>
              <w:jc w:val="right"/>
            </w:pPr>
            <w:r>
              <w:t xml:space="preserve">–85%</w:t>
            </w:r>
          </w:p>
        </w:tc>
        <w:tc>
          <w:tcPr/>
          <w:p>
            <w:pPr>
              <w:pStyle w:val="Compact"/>
              <w:jc w:val="right"/>
            </w:pPr>
            <w:r>
              <w:t xml:space="preserve">—</w:t>
            </w:r>
          </w:p>
        </w:tc>
      </w:tr>
      <w:tr>
        <w:tc>
          <w:tcPr/>
          <w:p>
            <w:pPr>
              <w:pStyle w:val="Compact"/>
              <w:jc w:val="left"/>
            </w:pPr>
            <w:r>
              <w:t xml:space="preserve">HRP_VolStd</w:t>
            </w:r>
          </w:p>
        </w:tc>
        <w:tc>
          <w:tcPr/>
          <w:p>
            <w:pPr>
              <w:pStyle w:val="Compact"/>
              <w:jc w:val="right"/>
            </w:pPr>
            <w:r>
              <w:t xml:space="preserve">0.735</w:t>
            </w:r>
          </w:p>
        </w:tc>
        <w:tc>
          <w:tcPr/>
          <w:p>
            <w:pPr>
              <w:pStyle w:val="Compact"/>
              <w:jc w:val="right"/>
            </w:pPr>
            <w:r>
              <w:t xml:space="preserve">0.447</w:t>
            </w:r>
          </w:p>
        </w:tc>
        <w:tc>
          <w:tcPr/>
          <w:p>
            <w:pPr>
              <w:pStyle w:val="Compact"/>
              <w:jc w:val="right"/>
            </w:pPr>
            <w:r>
              <w:t xml:space="preserve">0.341</w:t>
            </w:r>
          </w:p>
        </w:tc>
        <w:tc>
          <w:tcPr/>
          <w:p>
            <w:pPr>
              <w:pStyle w:val="Compact"/>
              <w:jc w:val="right"/>
            </w:pPr>
            <w:r>
              <w:t xml:space="preserve">+402%</w:t>
            </w:r>
          </w:p>
        </w:tc>
        <w:tc>
          <w:tcPr/>
          <w:p>
            <w:pPr>
              <w:pStyle w:val="Compact"/>
              <w:jc w:val="right"/>
            </w:pPr>
            <w:r>
              <w:t xml:space="preserve">–86%</w:t>
            </w:r>
          </w:p>
        </w:tc>
        <w:tc>
          <w:tcPr/>
          <w:p>
            <w:pPr>
              <w:pStyle w:val="Compact"/>
              <w:jc w:val="right"/>
            </w:pPr>
            <w:r>
              <w:t xml:space="preserve">0.748</w:t>
            </w:r>
          </w:p>
        </w:tc>
      </w:tr>
      <w:tr>
        <w:tc>
          <w:tcPr/>
          <w:p>
            <w:pPr>
              <w:pStyle w:val="Compact"/>
              <w:jc w:val="left"/>
            </w:pPr>
            <w:r>
              <w:t xml:space="preserve">MOM_HRP</w:t>
            </w:r>
          </w:p>
        </w:tc>
        <w:tc>
          <w:tcPr/>
          <w:p>
            <w:pPr>
              <w:pStyle w:val="Compact"/>
              <w:jc w:val="right"/>
            </w:pPr>
            <w:r>
              <w:t xml:space="preserve">0.726</w:t>
            </w:r>
          </w:p>
        </w:tc>
        <w:tc>
          <w:tcPr/>
          <w:p>
            <w:pPr>
              <w:pStyle w:val="Compact"/>
              <w:jc w:val="right"/>
            </w:pPr>
            <w:r>
              <w:t xml:space="preserve">0.402</w:t>
            </w:r>
          </w:p>
        </w:tc>
        <w:tc>
          <w:tcPr/>
          <w:p>
            <w:pPr>
              <w:pStyle w:val="Compact"/>
              <w:jc w:val="right"/>
            </w:pPr>
            <w:r>
              <w:t xml:space="preserve">0.299</w:t>
            </w:r>
          </w:p>
        </w:tc>
        <w:tc>
          <w:tcPr/>
          <w:p>
            <w:pPr>
              <w:pStyle w:val="Compact"/>
              <w:jc w:val="right"/>
            </w:pPr>
            <w:r>
              <w:t xml:space="preserve">+351%</w:t>
            </w:r>
          </w:p>
        </w:tc>
        <w:tc>
          <w:tcPr/>
          <w:p>
            <w:pPr>
              <w:pStyle w:val="Compact"/>
              <w:jc w:val="right"/>
            </w:pPr>
            <w:r>
              <w:t xml:space="preserve">–91%</w:t>
            </w:r>
          </w:p>
        </w:tc>
        <w:tc>
          <w:tcPr/>
          <w:p>
            <w:pPr>
              <w:pStyle w:val="Compact"/>
              <w:jc w:val="right"/>
            </w:pPr>
            <w:r>
              <w:t xml:space="preserve">0.942</w:t>
            </w:r>
          </w:p>
        </w:tc>
      </w:tr>
      <w:tr>
        <w:tc>
          <w:tcPr/>
          <w:p>
            <w:pPr>
              <w:pStyle w:val="Compact"/>
              <w:jc w:val="left"/>
            </w:pPr>
            <w:r>
              <w:t xml:space="preserve">HRP_PartialCorr</w:t>
            </w:r>
          </w:p>
        </w:tc>
        <w:tc>
          <w:tcPr/>
          <w:p>
            <w:pPr>
              <w:pStyle w:val="Compact"/>
              <w:jc w:val="right"/>
            </w:pPr>
            <w:r>
              <w:t xml:space="preserve">0.720</w:t>
            </w:r>
          </w:p>
        </w:tc>
        <w:tc>
          <w:tcPr/>
          <w:p>
            <w:pPr>
              <w:pStyle w:val="Compact"/>
              <w:jc w:val="right"/>
            </w:pPr>
            <w:r>
              <w:t xml:space="preserve">0.429</w:t>
            </w:r>
          </w:p>
        </w:tc>
        <w:tc>
          <w:tcPr/>
          <w:p>
            <w:pPr>
              <w:pStyle w:val="Compact"/>
              <w:jc w:val="right"/>
            </w:pPr>
            <w:r>
              <w:t xml:space="preserve">0.329</w:t>
            </w:r>
          </w:p>
        </w:tc>
        <w:tc>
          <w:tcPr/>
          <w:p>
            <w:pPr>
              <w:pStyle w:val="Compact"/>
              <w:jc w:val="right"/>
            </w:pPr>
            <w:r>
              <w:t xml:space="preserve">+366%</w:t>
            </w:r>
          </w:p>
        </w:tc>
        <w:tc>
          <w:tcPr/>
          <w:p>
            <w:pPr>
              <w:pStyle w:val="Compact"/>
              <w:jc w:val="right"/>
            </w:pPr>
            <w:r>
              <w:t xml:space="preserve">–84%</w:t>
            </w:r>
          </w:p>
        </w:tc>
        <w:tc>
          <w:tcPr/>
          <w:p>
            <w:pPr>
              <w:pStyle w:val="Compact"/>
              <w:jc w:val="right"/>
            </w:pPr>
            <w:r>
              <w:t xml:space="preserve">0.477</w:t>
            </w:r>
          </w:p>
        </w:tc>
      </w:tr>
      <w:tr>
        <w:tc>
          <w:tcPr/>
          <w:p>
            <w:pPr>
              <w:pStyle w:val="Compact"/>
              <w:jc w:val="left"/>
            </w:pPr>
            <w:r>
              <w:t xml:space="preserve">MaxDiv</w:t>
            </w:r>
          </w:p>
        </w:tc>
        <w:tc>
          <w:tcPr/>
          <w:p>
            <w:pPr>
              <w:pStyle w:val="Compact"/>
              <w:jc w:val="right"/>
            </w:pPr>
            <w:r>
              <w:t xml:space="preserve">0.719</w:t>
            </w:r>
          </w:p>
        </w:tc>
        <w:tc>
          <w:tcPr/>
          <w:p>
            <w:pPr>
              <w:pStyle w:val="Compact"/>
              <w:jc w:val="right"/>
            </w:pPr>
            <w:r>
              <w:t xml:space="preserve">0.396</w:t>
            </w:r>
          </w:p>
        </w:tc>
        <w:tc>
          <w:tcPr/>
          <w:p>
            <w:pPr>
              <w:pStyle w:val="Compact"/>
              <w:jc w:val="right"/>
            </w:pPr>
            <w:r>
              <w:t xml:space="preserve">0.297</w:t>
            </w:r>
          </w:p>
        </w:tc>
        <w:tc>
          <w:tcPr/>
          <w:p>
            <w:pPr>
              <w:pStyle w:val="Compact"/>
              <w:jc w:val="right"/>
            </w:pPr>
            <w:r>
              <w:t xml:space="preserve">+364%</w:t>
            </w:r>
          </w:p>
        </w:tc>
        <w:tc>
          <w:tcPr/>
          <w:p>
            <w:pPr>
              <w:pStyle w:val="Compact"/>
              <w:jc w:val="right"/>
            </w:pPr>
            <w:r>
              <w:t xml:space="preserve">–93%</w:t>
            </w:r>
          </w:p>
        </w:tc>
        <w:tc>
          <w:tcPr/>
          <w:p>
            <w:pPr>
              <w:pStyle w:val="Compact"/>
              <w:jc w:val="right"/>
            </w:pPr>
            <w:r>
              <w:t xml:space="preserve">0.919</w:t>
            </w:r>
          </w:p>
        </w:tc>
      </w:tr>
      <w:tr>
        <w:tc>
          <w:tcPr/>
          <w:p>
            <w:pPr>
              <w:pStyle w:val="Compact"/>
              <w:jc w:val="left"/>
            </w:pPr>
            <w:r>
              <w:t xml:space="preserve">HRP_PathSig</w:t>
            </w:r>
          </w:p>
        </w:tc>
        <w:tc>
          <w:tcPr/>
          <w:p>
            <w:pPr>
              <w:pStyle w:val="Compact"/>
              <w:jc w:val="right"/>
            </w:pPr>
            <w:r>
              <w:t xml:space="preserve">0.714</w:t>
            </w:r>
          </w:p>
        </w:tc>
        <w:tc>
          <w:tcPr/>
          <w:p>
            <w:pPr>
              <w:pStyle w:val="Compact"/>
              <w:jc w:val="right"/>
            </w:pPr>
            <w:r>
              <w:t xml:space="preserve">0.417</w:t>
            </w:r>
          </w:p>
        </w:tc>
        <w:tc>
          <w:tcPr/>
          <w:p>
            <w:pPr>
              <w:pStyle w:val="Compact"/>
              <w:jc w:val="right"/>
            </w:pPr>
            <w:r>
              <w:t xml:space="preserve">0.316</w:t>
            </w:r>
          </w:p>
        </w:tc>
        <w:tc>
          <w:tcPr/>
          <w:p>
            <w:pPr>
              <w:pStyle w:val="Compact"/>
              <w:jc w:val="right"/>
            </w:pPr>
            <w:r>
              <w:t xml:space="preserve">+351%</w:t>
            </w:r>
          </w:p>
        </w:tc>
        <w:tc>
          <w:tcPr/>
          <w:p>
            <w:pPr>
              <w:pStyle w:val="Compact"/>
              <w:jc w:val="right"/>
            </w:pPr>
            <w:r>
              <w:t xml:space="preserve">–86%</w:t>
            </w:r>
          </w:p>
        </w:tc>
        <w:tc>
          <w:tcPr/>
          <w:p>
            <w:pPr>
              <w:pStyle w:val="Compact"/>
              <w:jc w:val="right"/>
            </w:pPr>
            <w:r>
              <w:t xml:space="preserve">0.277</w:t>
            </w:r>
          </w:p>
        </w:tc>
      </w:tr>
      <w:tr>
        <w:tc>
          <w:tcPr/>
          <w:p>
            <w:pPr>
              <w:pStyle w:val="Compact"/>
              <w:jc w:val="left"/>
            </w:pPr>
            <w:r>
              <w:t xml:space="preserve">HERC</w:t>
            </w:r>
          </w:p>
        </w:tc>
        <w:tc>
          <w:tcPr/>
          <w:p>
            <w:pPr>
              <w:pStyle w:val="Compact"/>
              <w:jc w:val="right"/>
            </w:pPr>
            <w:r>
              <w:t xml:space="preserve">0.712</w:t>
            </w:r>
          </w:p>
        </w:tc>
        <w:tc>
          <w:tcPr/>
          <w:p>
            <w:pPr>
              <w:pStyle w:val="Compact"/>
              <w:jc w:val="right"/>
            </w:pPr>
            <w:r>
              <w:t xml:space="preserve">0.387</w:t>
            </w:r>
          </w:p>
        </w:tc>
        <w:tc>
          <w:tcPr/>
          <w:p>
            <w:pPr>
              <w:pStyle w:val="Compact"/>
              <w:jc w:val="right"/>
            </w:pPr>
            <w:r>
              <w:t xml:space="preserve">0.300</w:t>
            </w:r>
          </w:p>
        </w:tc>
        <w:tc>
          <w:tcPr/>
          <w:p>
            <w:pPr>
              <w:pStyle w:val="Compact"/>
              <w:jc w:val="right"/>
            </w:pPr>
            <w:r>
              <w:t xml:space="preserve">+333%</w:t>
            </w:r>
          </w:p>
        </w:tc>
        <w:tc>
          <w:tcPr/>
          <w:p>
            <w:pPr>
              <w:pStyle w:val="Compact"/>
              <w:jc w:val="right"/>
            </w:pPr>
            <w:r>
              <w:t xml:space="preserve">–87%</w:t>
            </w:r>
          </w:p>
        </w:tc>
        <w:tc>
          <w:tcPr/>
          <w:p>
            <w:pPr>
              <w:pStyle w:val="Compact"/>
              <w:jc w:val="right"/>
            </w:pPr>
            <w:r>
              <w:t xml:space="preserve">0.783</w:t>
            </w:r>
          </w:p>
        </w:tc>
      </w:tr>
      <w:tr>
        <w:tc>
          <w:tcPr/>
          <w:p>
            <w:pPr>
              <w:pStyle w:val="Compact"/>
              <w:jc w:val="left"/>
            </w:pPr>
            <w:r>
              <w:t xml:space="preserve">HRP_Denoised</w:t>
            </w:r>
          </w:p>
        </w:tc>
        <w:tc>
          <w:tcPr/>
          <w:p>
            <w:pPr>
              <w:pStyle w:val="Compact"/>
              <w:jc w:val="right"/>
            </w:pPr>
            <w:r>
              <w:t xml:space="preserve">0.712</w:t>
            </w:r>
          </w:p>
        </w:tc>
        <w:tc>
          <w:tcPr/>
          <w:p>
            <w:pPr>
              <w:pStyle w:val="Compact"/>
              <w:jc w:val="right"/>
            </w:pPr>
            <w:r>
              <w:t xml:space="preserve">0.412</w:t>
            </w:r>
          </w:p>
        </w:tc>
        <w:tc>
          <w:tcPr/>
          <w:p>
            <w:pPr>
              <w:pStyle w:val="Compact"/>
              <w:jc w:val="right"/>
            </w:pPr>
            <w:r>
              <w:t xml:space="preserve">0.317</w:t>
            </w:r>
          </w:p>
        </w:tc>
        <w:tc>
          <w:tcPr/>
          <w:p>
            <w:pPr>
              <w:pStyle w:val="Compact"/>
              <w:jc w:val="right"/>
            </w:pPr>
            <w:r>
              <w:t xml:space="preserve">+346%</w:t>
            </w:r>
          </w:p>
        </w:tc>
        <w:tc>
          <w:tcPr/>
          <w:p>
            <w:pPr>
              <w:pStyle w:val="Compact"/>
              <w:jc w:val="right"/>
            </w:pPr>
            <w:r>
              <w:t xml:space="preserve">–84%</w:t>
            </w:r>
          </w:p>
        </w:tc>
        <w:tc>
          <w:tcPr/>
          <w:p>
            <w:pPr>
              <w:pStyle w:val="Compact"/>
              <w:jc w:val="right"/>
            </w:pPr>
            <w:r>
              <w:t xml:space="preserve">0.111</w:t>
            </w:r>
          </w:p>
        </w:tc>
      </w:tr>
      <w:tr>
        <w:tc>
          <w:tcPr/>
          <w:p>
            <w:pPr>
              <w:pStyle w:val="Compact"/>
              <w:jc w:val="left"/>
            </w:pPr>
            <w:r>
              <w:t xml:space="preserve">HRP_Contrastive</w:t>
            </w:r>
          </w:p>
        </w:tc>
        <w:tc>
          <w:tcPr/>
          <w:p>
            <w:pPr>
              <w:pStyle w:val="Compact"/>
              <w:jc w:val="right"/>
            </w:pPr>
            <w:r>
              <w:t xml:space="preserve">0.710</w:t>
            </w:r>
          </w:p>
        </w:tc>
        <w:tc>
          <w:tcPr/>
          <w:p>
            <w:pPr>
              <w:pStyle w:val="Compact"/>
              <w:jc w:val="right"/>
            </w:pPr>
            <w:r>
              <w:t xml:space="preserve">0.408</w:t>
            </w:r>
          </w:p>
        </w:tc>
        <w:tc>
          <w:tcPr/>
          <w:p>
            <w:pPr>
              <w:pStyle w:val="Compact"/>
              <w:jc w:val="right"/>
            </w:pPr>
            <w:r>
              <w:t xml:space="preserve">0.313</w:t>
            </w:r>
          </w:p>
        </w:tc>
        <w:tc>
          <w:tcPr/>
          <w:p>
            <w:pPr>
              <w:pStyle w:val="Compact"/>
              <w:jc w:val="right"/>
            </w:pPr>
            <w:r>
              <w:t xml:space="preserve">+341%</w:t>
            </w:r>
          </w:p>
        </w:tc>
        <w:tc>
          <w:tcPr/>
          <w:p>
            <w:pPr>
              <w:pStyle w:val="Compact"/>
              <w:jc w:val="right"/>
            </w:pPr>
            <w:r>
              <w:t xml:space="preserve">–85%</w:t>
            </w:r>
          </w:p>
        </w:tc>
        <w:tc>
          <w:tcPr/>
          <w:p>
            <w:pPr>
              <w:pStyle w:val="Compact"/>
              <w:jc w:val="right"/>
            </w:pPr>
            <w:r>
              <w:t xml:space="preserve">0.238</w:t>
            </w:r>
          </w:p>
        </w:tc>
      </w:tr>
      <w:tr>
        <w:tc>
          <w:tcPr/>
          <w:p>
            <w:pPr>
              <w:pStyle w:val="Compact"/>
              <w:jc w:val="left"/>
            </w:pPr>
            <w:r>
              <w:t xml:space="preserve">HRP_Detoned</w:t>
            </w:r>
          </w:p>
        </w:tc>
        <w:tc>
          <w:tcPr/>
          <w:p>
            <w:pPr>
              <w:pStyle w:val="Compact"/>
              <w:jc w:val="right"/>
            </w:pPr>
            <w:r>
              <w:t xml:space="preserve">0.708</w:t>
            </w:r>
          </w:p>
        </w:tc>
        <w:tc>
          <w:tcPr/>
          <w:p>
            <w:pPr>
              <w:pStyle w:val="Compact"/>
              <w:jc w:val="right"/>
            </w:pPr>
            <w:r>
              <w:t xml:space="preserve">0.403</w:t>
            </w:r>
          </w:p>
        </w:tc>
        <w:tc>
          <w:tcPr/>
          <w:p>
            <w:pPr>
              <w:pStyle w:val="Compact"/>
              <w:jc w:val="right"/>
            </w:pPr>
            <w:r>
              <w:t xml:space="preserve">0.309</w:t>
            </w:r>
          </w:p>
        </w:tc>
        <w:tc>
          <w:tcPr/>
          <w:p>
            <w:pPr>
              <w:pStyle w:val="Compact"/>
              <w:jc w:val="right"/>
            </w:pPr>
            <w:r>
              <w:t xml:space="preserve">+334%</w:t>
            </w:r>
          </w:p>
        </w:tc>
        <w:tc>
          <w:tcPr/>
          <w:p>
            <w:pPr>
              <w:pStyle w:val="Compact"/>
              <w:jc w:val="right"/>
            </w:pPr>
            <w:r>
              <w:t xml:space="preserve">–85%</w:t>
            </w:r>
          </w:p>
        </w:tc>
        <w:tc>
          <w:tcPr/>
          <w:p>
            <w:pPr>
              <w:pStyle w:val="Compact"/>
              <w:jc w:val="right"/>
            </w:pPr>
            <w:r>
              <w:t xml:space="preserve">0.403</w:t>
            </w:r>
          </w:p>
        </w:tc>
      </w:tr>
      <w:tr>
        <w:tc>
          <w:tcPr/>
          <w:p>
            <w:pPr>
              <w:pStyle w:val="Compact"/>
              <w:jc w:val="left"/>
            </w:pPr>
            <w:r>
              <w:t xml:space="preserve">HRP_TailDep</w:t>
            </w:r>
          </w:p>
        </w:tc>
        <w:tc>
          <w:tcPr/>
          <w:p>
            <w:pPr>
              <w:pStyle w:val="Compact"/>
              <w:jc w:val="right"/>
            </w:pPr>
            <w:r>
              <w:t xml:space="preserve">0.708</w:t>
            </w:r>
          </w:p>
        </w:tc>
        <w:tc>
          <w:tcPr/>
          <w:p>
            <w:pPr>
              <w:pStyle w:val="Compact"/>
              <w:jc w:val="right"/>
            </w:pPr>
            <w:r>
              <w:t xml:space="preserve">0.406</w:t>
            </w:r>
          </w:p>
        </w:tc>
        <w:tc>
          <w:tcPr/>
          <w:p>
            <w:pPr>
              <w:pStyle w:val="Compact"/>
              <w:jc w:val="right"/>
            </w:pPr>
            <w:r>
              <w:t xml:space="preserve">0.310</w:t>
            </w:r>
          </w:p>
        </w:tc>
        <w:tc>
          <w:tcPr/>
          <w:p>
            <w:pPr>
              <w:pStyle w:val="Compact"/>
              <w:jc w:val="right"/>
            </w:pPr>
            <w:r>
              <w:t xml:space="preserve">+337%</w:t>
            </w:r>
          </w:p>
        </w:tc>
        <w:tc>
          <w:tcPr/>
          <w:p>
            <w:pPr>
              <w:pStyle w:val="Compact"/>
              <w:jc w:val="right"/>
            </w:pPr>
            <w:r>
              <w:t xml:space="preserve">–85%</w:t>
            </w:r>
          </w:p>
        </w:tc>
        <w:tc>
          <w:tcPr/>
          <w:p>
            <w:pPr>
              <w:pStyle w:val="Compact"/>
              <w:jc w:val="right"/>
            </w:pPr>
            <w:r>
              <w:t xml:space="preserve">0.114</w:t>
            </w:r>
          </w:p>
        </w:tc>
      </w:tr>
      <w:tr>
        <w:tc>
          <w:tcPr/>
          <w:p>
            <w:pPr>
              <w:pStyle w:val="Compact"/>
              <w:jc w:val="left"/>
            </w:pPr>
            <w:r>
              <w:t xml:space="preserve">HRP_NodeEmbed</w:t>
            </w:r>
          </w:p>
        </w:tc>
        <w:tc>
          <w:tcPr/>
          <w:p>
            <w:pPr>
              <w:pStyle w:val="Compact"/>
              <w:jc w:val="right"/>
            </w:pPr>
            <w:r>
              <w:t xml:space="preserve">0.705</w:t>
            </w:r>
          </w:p>
        </w:tc>
        <w:tc>
          <w:tcPr/>
          <w:p>
            <w:pPr>
              <w:pStyle w:val="Compact"/>
              <w:jc w:val="right"/>
            </w:pPr>
            <w:r>
              <w:t xml:space="preserve">0.401</w:t>
            </w:r>
          </w:p>
        </w:tc>
        <w:tc>
          <w:tcPr/>
          <w:p>
            <w:pPr>
              <w:pStyle w:val="Compact"/>
              <w:jc w:val="right"/>
            </w:pPr>
            <w:r>
              <w:t xml:space="preserve">0.306</w:t>
            </w:r>
          </w:p>
        </w:tc>
        <w:tc>
          <w:tcPr/>
          <w:p>
            <w:pPr>
              <w:pStyle w:val="Compact"/>
              <w:jc w:val="right"/>
            </w:pPr>
            <w:r>
              <w:t xml:space="preserve">+330%</w:t>
            </w:r>
          </w:p>
        </w:tc>
        <w:tc>
          <w:tcPr/>
          <w:p>
            <w:pPr>
              <w:pStyle w:val="Compact"/>
              <w:jc w:val="right"/>
            </w:pPr>
            <w:r>
              <w:t xml:space="preserve">–85%</w:t>
            </w:r>
          </w:p>
        </w:tc>
        <w:tc>
          <w:tcPr/>
          <w:p>
            <w:pPr>
              <w:pStyle w:val="Compact"/>
              <w:jc w:val="right"/>
            </w:pPr>
            <w:r>
              <w:t xml:space="preserve">0.187</w:t>
            </w:r>
          </w:p>
        </w:tc>
      </w:tr>
      <w:tr>
        <w:tc>
          <w:tcPr/>
          <w:p>
            <w:pPr>
              <w:pStyle w:val="Compact"/>
              <w:jc w:val="left"/>
            </w:pPr>
            <w:r>
              <w:t xml:space="preserve">HRP_TS2Vec</w:t>
            </w:r>
          </w:p>
        </w:tc>
        <w:tc>
          <w:tcPr/>
          <w:p>
            <w:pPr>
              <w:pStyle w:val="Compact"/>
              <w:jc w:val="right"/>
            </w:pPr>
            <w:r>
              <w:t xml:space="preserve">0.703</w:t>
            </w:r>
          </w:p>
        </w:tc>
        <w:tc>
          <w:tcPr/>
          <w:p>
            <w:pPr>
              <w:pStyle w:val="Compact"/>
              <w:jc w:val="right"/>
            </w:pPr>
            <w:r>
              <w:t xml:space="preserve">0.394</w:t>
            </w:r>
          </w:p>
        </w:tc>
        <w:tc>
          <w:tcPr/>
          <w:p>
            <w:pPr>
              <w:pStyle w:val="Compact"/>
              <w:jc w:val="right"/>
            </w:pPr>
            <w:r>
              <w:t xml:space="preserve">0.302</w:t>
            </w:r>
          </w:p>
        </w:tc>
        <w:tc>
          <w:tcPr/>
          <w:p>
            <w:pPr>
              <w:pStyle w:val="Compact"/>
              <w:jc w:val="right"/>
            </w:pPr>
            <w:r>
              <w:t xml:space="preserve">+325%</w:t>
            </w:r>
          </w:p>
        </w:tc>
        <w:tc>
          <w:tcPr/>
          <w:p>
            <w:pPr>
              <w:pStyle w:val="Compact"/>
              <w:jc w:val="right"/>
            </w:pPr>
            <w:r>
              <w:t xml:space="preserve">–85%</w:t>
            </w:r>
          </w:p>
        </w:tc>
        <w:tc>
          <w:tcPr/>
          <w:p>
            <w:pPr>
              <w:pStyle w:val="Compact"/>
              <w:jc w:val="right"/>
            </w:pPr>
            <w:r>
              <w:t xml:space="preserve">0.106</w:t>
            </w:r>
          </w:p>
        </w:tc>
      </w:tr>
      <w:tr>
        <w:tc>
          <w:tcPr/>
          <w:p>
            <w:pPr>
              <w:pStyle w:val="Compact"/>
              <w:jc w:val="left"/>
            </w:pPr>
            <w:r>
              <w:t xml:space="preserve">HRP_TailDepShrunk</w:t>
            </w:r>
          </w:p>
        </w:tc>
        <w:tc>
          <w:tcPr/>
          <w:p>
            <w:pPr>
              <w:pStyle w:val="Compact"/>
              <w:jc w:val="right"/>
            </w:pPr>
            <w:r>
              <w:t xml:space="preserve">0.701</w:t>
            </w:r>
          </w:p>
        </w:tc>
        <w:tc>
          <w:tcPr/>
          <w:p>
            <w:pPr>
              <w:pStyle w:val="Compact"/>
              <w:jc w:val="right"/>
            </w:pPr>
            <w:r>
              <w:t xml:space="preserve">0.390</w:t>
            </w:r>
          </w:p>
        </w:tc>
        <w:tc>
          <w:tcPr/>
          <w:p>
            <w:pPr>
              <w:pStyle w:val="Compact"/>
              <w:jc w:val="right"/>
            </w:pPr>
            <w:r>
              <w:t xml:space="preserve">0.300</w:t>
            </w:r>
          </w:p>
        </w:tc>
        <w:tc>
          <w:tcPr/>
          <w:p>
            <w:pPr>
              <w:pStyle w:val="Compact"/>
              <w:jc w:val="right"/>
            </w:pPr>
            <w:r>
              <w:t xml:space="preserve">+318%</w:t>
            </w:r>
          </w:p>
        </w:tc>
        <w:tc>
          <w:tcPr/>
          <w:p>
            <w:pPr>
              <w:pStyle w:val="Compact"/>
              <w:jc w:val="right"/>
            </w:pPr>
            <w:r>
              <w:t xml:space="preserve">–85%</w:t>
            </w:r>
          </w:p>
        </w:tc>
        <w:tc>
          <w:tcPr/>
          <w:p>
            <w:pPr>
              <w:pStyle w:val="Compact"/>
              <w:jc w:val="right"/>
            </w:pPr>
            <w:r>
              <w:t xml:space="preserve">0.071</w:t>
            </w:r>
          </w:p>
        </w:tc>
      </w:tr>
      <w:tr>
        <w:tc>
          <w:tcPr/>
          <w:p>
            <w:pPr>
              <w:pStyle w:val="Compact"/>
              <w:jc w:val="left"/>
            </w:pPr>
            <w:r>
              <w:t xml:space="preserve">IVP</w:t>
            </w:r>
          </w:p>
        </w:tc>
        <w:tc>
          <w:tcPr/>
          <w:p>
            <w:pPr>
              <w:pStyle w:val="Compact"/>
              <w:jc w:val="right"/>
            </w:pPr>
            <w:r>
              <w:t xml:space="preserve">0.697</w:t>
            </w:r>
          </w:p>
        </w:tc>
        <w:tc>
          <w:tcPr/>
          <w:p>
            <w:pPr>
              <w:pStyle w:val="Compact"/>
              <w:jc w:val="right"/>
            </w:pPr>
            <w:r>
              <w:t xml:space="preserve">0.388</w:t>
            </w:r>
          </w:p>
        </w:tc>
        <w:tc>
          <w:tcPr/>
          <w:p>
            <w:pPr>
              <w:pStyle w:val="Compact"/>
              <w:jc w:val="right"/>
            </w:pPr>
            <w:r>
              <w:t xml:space="preserve">0.297</w:t>
            </w:r>
          </w:p>
        </w:tc>
        <w:tc>
          <w:tcPr/>
          <w:p>
            <w:pPr>
              <w:pStyle w:val="Compact"/>
              <w:jc w:val="right"/>
            </w:pPr>
            <w:r>
              <w:t xml:space="preserve">+311%</w:t>
            </w:r>
          </w:p>
        </w:tc>
        <w:tc>
          <w:tcPr/>
          <w:p>
            <w:pPr>
              <w:pStyle w:val="Compact"/>
              <w:jc w:val="right"/>
            </w:pPr>
            <w:r>
              <w:t xml:space="preserve">–85%</w:t>
            </w:r>
          </w:p>
        </w:tc>
        <w:tc>
          <w:tcPr/>
          <w:p>
            <w:pPr>
              <w:pStyle w:val="Compact"/>
              <w:jc w:val="right"/>
            </w:pPr>
            <w:r>
              <w:t xml:space="preserve">0.212</w:t>
            </w:r>
          </w:p>
        </w:tc>
      </w:tr>
      <w:tr>
        <w:tc>
          <w:tcPr/>
          <w:p>
            <w:pPr>
              <w:pStyle w:val="Compact"/>
              <w:jc w:val="left"/>
            </w:pPr>
            <w:r>
              <w:t xml:space="preserve">CS_MOM_eq21</w:t>
            </w:r>
          </w:p>
        </w:tc>
        <w:tc>
          <w:tcPr/>
          <w:p>
            <w:pPr>
              <w:pStyle w:val="Compact"/>
              <w:jc w:val="right"/>
            </w:pPr>
            <w:r>
              <w:t xml:space="preserve">0.663</w:t>
            </w:r>
          </w:p>
        </w:tc>
        <w:tc>
          <w:tcPr/>
          <w:p>
            <w:pPr>
              <w:pStyle w:val="Compact"/>
              <w:jc w:val="right"/>
            </w:pPr>
            <w:r>
              <w:t xml:space="preserve">0.298</w:t>
            </w:r>
          </w:p>
        </w:tc>
        <w:tc>
          <w:tcPr/>
          <w:p>
            <w:pPr>
              <w:pStyle w:val="Compact"/>
              <w:jc w:val="right"/>
            </w:pPr>
            <w:r>
              <w:t xml:space="preserve">0.218</w:t>
            </w:r>
          </w:p>
        </w:tc>
        <w:tc>
          <w:tcPr/>
          <w:p>
            <w:pPr>
              <w:pStyle w:val="Compact"/>
              <w:jc w:val="right"/>
            </w:pPr>
            <w:r>
              <w:t xml:space="preserve">+217%</w:t>
            </w:r>
          </w:p>
        </w:tc>
        <w:tc>
          <w:tcPr/>
          <w:p>
            <w:pPr>
              <w:pStyle w:val="Compact"/>
              <w:jc w:val="right"/>
            </w:pPr>
            <w:r>
              <w:t xml:space="preserve">–92%</w:t>
            </w:r>
          </w:p>
        </w:tc>
        <w:tc>
          <w:tcPr/>
          <w:p>
            <w:pPr>
              <w:pStyle w:val="Compact"/>
              <w:jc w:val="right"/>
            </w:pPr>
            <w:r>
              <w:t xml:space="preserve">0.548</w:t>
            </w:r>
          </w:p>
        </w:tc>
      </w:tr>
      <w:tr>
        <w:tc>
          <w:tcPr/>
          <w:p>
            <w:pPr>
              <w:pStyle w:val="Compact"/>
              <w:jc w:val="left"/>
            </w:pPr>
            <w:r>
              <w:t xml:space="preserve">RM_MOM</w:t>
            </w:r>
          </w:p>
        </w:tc>
        <w:tc>
          <w:tcPr/>
          <w:p>
            <w:pPr>
              <w:pStyle w:val="Compact"/>
              <w:jc w:val="right"/>
            </w:pPr>
            <w:r>
              <w:t xml:space="preserve">0.663</w:t>
            </w:r>
          </w:p>
        </w:tc>
        <w:tc>
          <w:tcPr/>
          <w:p>
            <w:pPr>
              <w:pStyle w:val="Compact"/>
              <w:jc w:val="right"/>
            </w:pPr>
            <w:r>
              <w:t xml:space="preserve">0.782</w:t>
            </w:r>
          </w:p>
        </w:tc>
        <w:tc>
          <w:tcPr/>
          <w:p>
            <w:pPr>
              <w:pStyle w:val="Compact"/>
              <w:jc w:val="right"/>
            </w:pPr>
            <w:r>
              <w:t xml:space="preserve">0.332</w:t>
            </w:r>
          </w:p>
        </w:tc>
        <w:tc>
          <w:tcPr/>
          <w:p>
            <w:pPr>
              <w:pStyle w:val="Compact"/>
              <w:jc w:val="right"/>
            </w:pPr>
            <w:r>
              <w:t xml:space="preserve">+118%</w:t>
            </w:r>
          </w:p>
        </w:tc>
        <w:tc>
          <w:tcPr/>
          <w:p>
            <w:pPr>
              <w:pStyle w:val="Compact"/>
              <w:jc w:val="right"/>
            </w:pPr>
            <w:r>
              <w:t xml:space="preserve">–40%</w:t>
            </w:r>
          </w:p>
        </w:tc>
        <w:tc>
          <w:tcPr/>
          <w:p>
            <w:pPr>
              <w:pStyle w:val="Compact"/>
              <w:jc w:val="right"/>
            </w:pPr>
            <w:r>
              <w:t xml:space="preserve">0.548</w:t>
            </w:r>
          </w:p>
        </w:tc>
      </w:tr>
      <w:tr>
        <w:tc>
          <w:tcPr/>
          <w:p>
            <w:pPr>
              <w:pStyle w:val="Compact"/>
              <w:jc w:val="left"/>
            </w:pPr>
            <w:r>
              <w:t xml:space="preserve">ERC</w:t>
            </w:r>
          </w:p>
        </w:tc>
        <w:tc>
          <w:tcPr/>
          <w:p>
            <w:pPr>
              <w:pStyle w:val="Compact"/>
              <w:jc w:val="right"/>
            </w:pPr>
            <w:r>
              <w:t xml:space="preserve">0.663</w:t>
            </w:r>
          </w:p>
        </w:tc>
        <w:tc>
          <w:tcPr/>
          <w:p>
            <w:pPr>
              <w:pStyle w:val="Compact"/>
              <w:jc w:val="right"/>
            </w:pPr>
            <w:r>
              <w:t xml:space="preserve">0.315</w:t>
            </w:r>
          </w:p>
        </w:tc>
        <w:tc>
          <w:tcPr/>
          <w:p>
            <w:pPr>
              <w:pStyle w:val="Compact"/>
              <w:jc w:val="right"/>
            </w:pPr>
            <w:r>
              <w:t xml:space="preserve">0.242</w:t>
            </w:r>
          </w:p>
        </w:tc>
        <w:tc>
          <w:tcPr/>
          <w:p>
            <w:pPr>
              <w:pStyle w:val="Compact"/>
              <w:jc w:val="right"/>
            </w:pPr>
            <w:r>
              <w:t xml:space="preserve">+233%</w:t>
            </w:r>
          </w:p>
        </w:tc>
        <w:tc>
          <w:tcPr/>
          <w:p>
            <w:pPr>
              <w:pStyle w:val="Compact"/>
              <w:jc w:val="right"/>
            </w:pPr>
            <w:r>
              <w:t xml:space="preserve">–87%</w:t>
            </w:r>
          </w:p>
        </w:tc>
        <w:tc>
          <w:tcPr/>
          <w:p>
            <w:pPr>
              <w:pStyle w:val="Compact"/>
              <w:jc w:val="right"/>
            </w:pPr>
            <w:r>
              <w:t xml:space="preserve">0.051</w:t>
            </w:r>
          </w:p>
        </w:tc>
      </w:tr>
      <w:tr>
        <w:tc>
          <w:tcPr/>
          <w:p>
            <w:pPr>
              <w:pStyle w:val="Compact"/>
              <w:jc w:val="left"/>
            </w:pPr>
            <w:r>
              <w:t xml:space="preserve">HRPSigmaMu</w:t>
            </w:r>
          </w:p>
        </w:tc>
        <w:tc>
          <w:tcPr/>
          <w:p>
            <w:pPr>
              <w:pStyle w:val="Compact"/>
              <w:jc w:val="right"/>
            </w:pPr>
            <w:r>
              <w:t xml:space="preserve">0.607</w:t>
            </w:r>
          </w:p>
        </w:tc>
        <w:tc>
          <w:tcPr/>
          <w:p>
            <w:pPr>
              <w:pStyle w:val="Compact"/>
              <w:jc w:val="right"/>
            </w:pPr>
            <w:r>
              <w:t xml:space="preserve">0.241</w:t>
            </w:r>
          </w:p>
        </w:tc>
        <w:tc>
          <w:tcPr/>
          <w:p>
            <w:pPr>
              <w:pStyle w:val="Compact"/>
              <w:jc w:val="right"/>
            </w:pPr>
            <w:r>
              <w:t xml:space="preserve">0.189</w:t>
            </w:r>
          </w:p>
        </w:tc>
        <w:tc>
          <w:tcPr/>
          <w:p>
            <w:pPr>
              <w:pStyle w:val="Compact"/>
              <w:jc w:val="right"/>
            </w:pPr>
            <w:r>
              <w:t xml:space="preserve">+153%</w:t>
            </w:r>
          </w:p>
        </w:tc>
        <w:tc>
          <w:tcPr/>
          <w:p>
            <w:pPr>
              <w:pStyle w:val="Compact"/>
              <w:jc w:val="right"/>
            </w:pPr>
            <w:r>
              <w:t xml:space="preserve">–84%</w:t>
            </w:r>
          </w:p>
        </w:tc>
        <w:tc>
          <w:tcPr/>
          <w:p>
            <w:pPr>
              <w:pStyle w:val="Compact"/>
              <w:jc w:val="right"/>
            </w:pPr>
            <w:r>
              <w:t xml:space="preserve">0.203</w:t>
            </w:r>
          </w:p>
        </w:tc>
      </w:tr>
      <w:tr>
        <w:tc>
          <w:tcPr/>
          <w:p>
            <w:pPr>
              <w:pStyle w:val="Compact"/>
              <w:jc w:val="left"/>
            </w:pPr>
            <w:r>
              <w:t xml:space="preserve">NCO_RT</w:t>
            </w:r>
          </w:p>
        </w:tc>
        <w:tc>
          <w:tcPr/>
          <w:p>
            <w:pPr>
              <w:pStyle w:val="Compact"/>
              <w:jc w:val="right"/>
            </w:pPr>
            <w:r>
              <w:t xml:space="preserve">0.003</w:t>
            </w:r>
          </w:p>
        </w:tc>
        <w:tc>
          <w:tcPr/>
          <w:p>
            <w:pPr>
              <w:pStyle w:val="Compact"/>
              <w:jc w:val="right"/>
            </w:pPr>
            <w:r>
              <w:t xml:space="preserve">–0.569</w:t>
            </w:r>
          </w:p>
        </w:tc>
        <w:tc>
          <w:tcPr/>
          <w:p>
            <w:pPr>
              <w:pStyle w:val="Compact"/>
              <w:jc w:val="right"/>
            </w:pPr>
            <w:r>
              <w:t xml:space="preserve">–0.436</w:t>
            </w:r>
          </w:p>
        </w:tc>
        <w:tc>
          <w:tcPr/>
          <w:p>
            <w:pPr>
              <w:pStyle w:val="Compact"/>
              <w:jc w:val="right"/>
            </w:pPr>
            <w:r>
              <w:t xml:space="preserve">–97%</w:t>
            </w:r>
          </w:p>
        </w:tc>
        <w:tc>
          <w:tcPr/>
          <w:p>
            <w:pPr>
              <w:pStyle w:val="Compact"/>
              <w:jc w:val="right"/>
            </w:pPr>
            <w:r>
              <w:t xml:space="preserve">–99%</w:t>
            </w:r>
          </w:p>
        </w:tc>
        <w:tc>
          <w:tcPr/>
          <w:p>
            <w:pPr>
              <w:pStyle w:val="Compact"/>
              <w:jc w:val="right"/>
            </w:pPr>
            <w:r>
              <w:rPr>
                <w:b/>
                <w:bCs/>
              </w:rPr>
              <w:t xml:space="preserve">0.009</w:t>
            </w:r>
          </w:p>
        </w:tc>
      </w:tr>
    </w:tbl>
    <w:bookmarkEnd w:id="56"/>
    <w:bookmarkStart w:id="57" w:name="tab:behaviour"/>
    <w:p>
      <w:pPr>
        <w:pStyle w:val="TableCaption"/>
      </w:pPr>
      <w:r>
        <w:t xml:space="preserve">Portfolio behaviour metrics for the headline comparison, in</w:t>
      </w:r>
      <w:r>
        <w:t xml:space="preserve"> </w:t>
      </w:r>
      <w:r>
        <w:t xml:space="preserve">the same row order as Table </w:t>
      </w:r>
      <w:hyperlink w:anchor="tab:scenarioB">
        <w:r>
          <w:rPr>
            <w:rStyle w:val="Hyperlink"/>
          </w:rPr>
          <w:t xml:space="preserve">1</w:t>
        </w:r>
      </w:hyperlink>
      <w:r>
        <w:t xml:space="preserve">.</w:t>
      </w:r>
      <w:r>
        <w:t xml:space="preserve"> </w:t>
      </w:r>
      <w:r>
        <w:t xml:space="preserve">“Ann return”</w:t>
      </w:r>
      <w:r>
        <w:t xml:space="preserve"> </w:t>
      </w:r>
      <w:r>
        <w:t xml:space="preserve">is the</w:t>
      </w:r>
      <w:r>
        <w:t xml:space="preserve"> </w:t>
      </w:r>
      <w:r>
        <w:t xml:space="preserve">compound annualised return on the rebalanced equity curve.</w:t>
      </w:r>
      <w:r>
        <w:t xml:space="preserve"> </w:t>
      </w:r>
      <w:r>
        <w:t xml:space="preserve">“Ann vol”</w:t>
      </w:r>
      <w:r>
        <w:t xml:space="preserve"> </w:t>
      </w:r>
      <w:r>
        <w:t xml:space="preserve">is annualised return standard deviation.</w:t>
      </w:r>
      <w:r>
        <w:t xml:space="preserve"> </w:t>
      </w:r>
      <w:r>
        <w:t xml:space="preserve">“Turnover”</w:t>
      </w:r>
      <w:r>
        <w:t xml:space="preserve"> </w:t>
      </w:r>
      <w:r>
        <w:t xml:space="preserve">is the average</w:t>
      </w:r>
      <w:r>
        <w:t xml:space="preserve"> </w:t>
      </w:r>
      <w:r>
        <w:t xml:space="preserve">per-rebalance</w:t>
      </w:r>
      <w:r>
        <w:t xml:space="preserve"> </w:t>
      </w:r>
      <m:oMath>
        <m:sSub>
          <m:e>
            <m:r>
              <m:t>L</m:t>
            </m:r>
          </m:e>
          <m:sub>
            <m:r>
              <m:t>1</m:t>
            </m:r>
          </m:sub>
        </m:sSub>
      </m:oMath>
      <w:r>
        <w:t xml:space="preserve"> </w:t>
      </w:r>
      <w:r>
        <w:t xml:space="preserve">turnover (sum of absolute weight changes between</w:t>
      </w:r>
      <w:r>
        <w:t xml:space="preserve"> </w:t>
      </w:r>
      <w:r>
        <w:t xml:space="preserve">two consecutive snapshots).</w:t>
      </w:r>
      <w:r>
        <w:t xml:space="preserve"> </w:t>
      </w:r>
      <w:r>
        <w:t xml:space="preserve">“Max wt”</w:t>
      </w:r>
      <w:r>
        <w:t xml:space="preserve"> </w:t>
      </w:r>
      <w:r>
        <w:t xml:space="preserve">is the average across snapshots</w:t>
      </w:r>
      <w:r>
        <w:t xml:space="preserve"> </w:t>
      </w:r>
      <w:r>
        <w:t xml:space="preserve">of each portfolio’s largest single-asset weight.</w:t>
      </w:r>
      <w:r>
        <w:t xml:space="preserve"> </w:t>
      </w:r>
      <w:r>
        <w:t xml:space="preserve">“Eff</w:t>
      </w:r>
      <w:r>
        <w:t xml:space="preserve"> </w:t>
      </w:r>
      <m:oMath>
        <m:r>
          <m:t>N</m:t>
        </m:r>
      </m:oMath>
      <w:r>
        <w:t xml:space="preserve">”</w:t>
      </w:r>
      <w:r>
        <w:t xml:space="preserve"> </w:t>
      </w:r>
      <w:r>
        <w:t xml:space="preserve">is the</w:t>
      </w:r>
      <w:r>
        <w:t xml:space="preserve"> </w:t>
      </w:r>
      <w:r>
        <w:t xml:space="preserve">inverse-Herfindahl effective number of assets, averaged across</w:t>
      </w:r>
      <w:r>
        <w:t xml:space="preserve"> </w:t>
      </w:r>
      <w:r>
        <w:t xml:space="preserve">snapshots; the HRP family sits at</w:t>
      </w:r>
      <w:r>
        <w:t xml:space="preserve"> </w:t>
      </w:r>
      <m:oMath>
        <m:r>
          <m:rPr>
            <m:sty m:val="p"/>
          </m:rPr>
          <m:t>≈</m:t>
        </m:r>
        <m:r>
          <m:t>30</m:t>
        </m:r>
      </m:oMath>
      <w:r>
        <w:t xml:space="preserve">, MVP / NCO / NCOML</w:t>
      </w:r>
      <w:r>
        <w:t xml:space="preserve"> </w:t>
      </w:r>
      <w:r>
        <w:t xml:space="preserve">concentrate to</w:t>
      </w:r>
      <w:r>
        <w:t xml:space="preserve"> </w:t>
      </w:r>
      <m:oMath>
        <m:r>
          <m:rPr>
            <m:sty m:val="p"/>
          </m:rPr>
          <m:t>≤</m:t>
        </m:r>
        <m:r>
          <m:t>5</m:t>
        </m:r>
      </m:oMath>
      <w:r>
        <w:t xml:space="preserve">. HODL_BTC is passive (one asset, no</w:t>
      </w:r>
      <w:r>
        <w:t xml:space="preserve"> </w:t>
      </w:r>
      <w:r>
        <w:t xml:space="preserve">rebalancing).</w:t>
      </w:r>
    </w:p>
    <w:tbl>
      <w:tblPr>
        <w:tblStyle w:val="Table"/>
        <w:tblW w:type="auto" w:w="0"/>
        <w:tblLook w:firstRow="1" w:lastRow="0" w:firstColumn="0" w:lastColumn="0" w:noHBand="0" w:noVBand="0" w:val="0020"/>
        <w:tblCaption w:val="Portfolio behaviour metrics for the headline comparison, in the same row order as Table 1. “Ann return” is the compound annualised return on the rebalanced equity curve. “Ann vol” is annualised return standard deviation. “Turnover” is the average per-rebalance L_1 turnover (sum of absolute weight changes between two consecutive snapshots). “Max wt” is the average across snapshots of each portfolio’s largest single-asset weight. “Eff N” is the inverse-Herfindahl effective number of assets, averaged across snapshots; the HRP family sits at \approx 30, MVP / NCO / NCOML concentrate to \le 5. HODL_BTC is passive (one asset, no rebalancing)."/>
      </w:tblPr>
      <w:tblGrid>
        <w:gridCol w:w="1320"/>
        <w:gridCol w:w="1320"/>
        <w:gridCol w:w="1320"/>
        <w:gridCol w:w="1320"/>
        <w:gridCol w:w="1320"/>
        <w:gridCol w:w="1320"/>
      </w:tblGrid>
      <w:tr>
        <w:trPr>
          <w:tblHeader w:val="on"/>
        </w:trPr>
        <w:tc>
          <w:tcPr/>
          <w:p>
            <w:pPr>
              <w:pStyle w:val="Compact"/>
              <w:jc w:val="left"/>
            </w:pPr>
            <w:r>
              <w:t xml:space="preserve">Strategy</w:t>
            </w:r>
          </w:p>
        </w:tc>
        <w:tc>
          <w:tcPr/>
          <w:p>
            <w:pPr>
              <w:pStyle w:val="Compact"/>
              <w:jc w:val="right"/>
            </w:pPr>
            <w:r>
              <w:t xml:space="preserve">Ann return</w:t>
            </w:r>
          </w:p>
        </w:tc>
        <w:tc>
          <w:tcPr/>
          <w:p>
            <w:pPr>
              <w:pStyle w:val="Compact"/>
              <w:jc w:val="right"/>
            </w:pPr>
            <w:r>
              <w:t xml:space="preserve">Ann vol</w:t>
            </w:r>
          </w:p>
        </w:tc>
        <w:tc>
          <w:tcPr/>
          <w:p>
            <w:pPr>
              <w:pStyle w:val="Compact"/>
              <w:jc w:val="right"/>
            </w:pPr>
            <w:r>
              <w:t xml:space="preserve">Turnover</w:t>
            </w:r>
          </w:p>
        </w:tc>
        <w:tc>
          <w:tcPr/>
          <w:p>
            <w:pPr>
              <w:pStyle w:val="Compact"/>
              <w:jc w:val="right"/>
            </w:pPr>
            <w:r>
              <w:t xml:space="preserve">Max wt</w:t>
            </w:r>
          </w:p>
        </w:tc>
        <w:tc>
          <w:tcPr/>
          <w:p>
            <w:pPr>
              <w:pStyle w:val="Compact"/>
              <w:jc w:val="right"/>
            </w:pPr>
            <w:r>
              <w:t xml:space="preserve">Eff</w:t>
            </w:r>
            <w:r>
              <w:t xml:space="preserve"> </w:t>
            </w:r>
            <m:oMath>
              <m:r>
                <m:t>N</m:t>
              </m:r>
            </m:oMath>
          </w:p>
        </w:tc>
      </w:tr>
      <w:tr>
        <w:tc>
          <w:tcPr/>
          <w:p>
            <w:pPr>
              <w:pStyle w:val="Compact"/>
              <w:jc w:val="left"/>
            </w:pPr>
            <w:r>
              <w:t xml:space="preserve">MVP</w:t>
            </w:r>
          </w:p>
        </w:tc>
        <w:tc>
          <w:tcPr/>
          <w:p>
            <w:pPr>
              <w:pStyle w:val="Compact"/>
              <w:jc w:val="right"/>
            </w:pPr>
            <m:oMath>
              <m:r>
                <m:rPr>
                  <m:sty m:val="p"/>
                </m:rPr>
                <m:t>+</m:t>
              </m:r>
              <m:r>
                <m:t>71</m:t>
              </m:r>
              <m:r>
                <m:rPr>
                  <m:sty m:val="p"/>
                </m:rPr>
                <m:t>%</m:t>
              </m:r>
            </m:oMath>
          </w:p>
        </w:tc>
        <w:tc>
          <w:tcPr/>
          <w:p>
            <w:pPr>
              <w:pStyle w:val="Compact"/>
              <w:jc w:val="right"/>
            </w:pPr>
            <w:r>
              <w:t xml:space="preserve">77%</w:t>
            </w:r>
          </w:p>
        </w:tc>
        <w:tc>
          <w:tcPr/>
          <w:p>
            <w:pPr>
              <w:pStyle w:val="Compact"/>
              <w:jc w:val="right"/>
            </w:pPr>
            <w:r>
              <w:t xml:space="preserve">0.38</w:t>
            </w:r>
          </w:p>
        </w:tc>
        <w:tc>
          <w:tcPr/>
          <w:p>
            <w:pPr>
              <w:pStyle w:val="Compact"/>
              <w:jc w:val="right"/>
            </w:pPr>
            <w:r>
              <w:t xml:space="preserve">0.50</w:t>
            </w:r>
          </w:p>
        </w:tc>
        <w:tc>
          <w:tcPr/>
          <w:p>
            <w:pPr>
              <w:pStyle w:val="Compact"/>
              <w:jc w:val="right"/>
            </w:pPr>
            <w:r>
              <w:t xml:space="preserve">3.3</w:t>
            </w:r>
          </w:p>
        </w:tc>
      </w:tr>
      <w:tr>
        <w:tc>
          <w:tcPr/>
          <w:p>
            <w:pPr>
              <w:pStyle w:val="Compact"/>
              <w:jc w:val="left"/>
            </w:pPr>
            <w:r>
              <w:t xml:space="preserve">CRISP</w:t>
            </w:r>
          </w:p>
        </w:tc>
        <w:tc>
          <w:tcPr/>
          <w:p>
            <w:pPr>
              <w:pStyle w:val="Compact"/>
              <w:jc w:val="right"/>
            </w:pPr>
            <m:oMath>
              <m:r>
                <m:rPr>
                  <m:sty m:val="p"/>
                </m:rPr>
                <m:t>+</m:t>
              </m:r>
              <m:r>
                <m:t>58</m:t>
              </m:r>
              <m:r>
                <m:rPr>
                  <m:sty m:val="p"/>
                </m:rPr>
                <m:t>%</m:t>
              </m:r>
            </m:oMath>
          </w:p>
        </w:tc>
        <w:tc>
          <w:tcPr/>
          <w:p>
            <w:pPr>
              <w:pStyle w:val="Compact"/>
              <w:jc w:val="right"/>
            </w:pPr>
            <w:r>
              <w:t xml:space="preserve">74%</w:t>
            </w:r>
          </w:p>
        </w:tc>
        <w:tc>
          <w:tcPr/>
          <w:p>
            <w:pPr>
              <w:pStyle w:val="Compact"/>
              <w:jc w:val="right"/>
            </w:pPr>
            <w:r>
              <w:t xml:space="preserve">0.30</w:t>
            </w:r>
          </w:p>
        </w:tc>
        <w:tc>
          <w:tcPr/>
          <w:p>
            <w:pPr>
              <w:pStyle w:val="Compact"/>
              <w:jc w:val="right"/>
            </w:pPr>
            <w:r>
              <w:t xml:space="preserve">0.31</w:t>
            </w:r>
          </w:p>
        </w:tc>
        <w:tc>
          <w:tcPr/>
          <w:p>
            <w:pPr>
              <w:pStyle w:val="Compact"/>
              <w:jc w:val="right"/>
            </w:pPr>
            <w:r>
              <w:t xml:space="preserve">7.1</w:t>
            </w:r>
          </w:p>
        </w:tc>
      </w:tr>
      <w:tr>
        <w:tc>
          <w:tcPr/>
          <w:p>
            <w:pPr>
              <w:pStyle w:val="Compact"/>
              <w:jc w:val="left"/>
            </w:pPr>
            <w:r>
              <w:t xml:space="preserve">NCO_CRISP</w:t>
            </w:r>
          </w:p>
        </w:tc>
        <w:tc>
          <w:tcPr/>
          <w:p>
            <w:pPr>
              <w:pStyle w:val="Compact"/>
              <w:jc w:val="right"/>
            </w:pPr>
            <m:oMath>
              <m:r>
                <m:rPr>
                  <m:sty m:val="p"/>
                </m:rPr>
                <m:t>+</m:t>
              </m:r>
              <m:r>
                <m:t>57</m:t>
              </m:r>
              <m:r>
                <m:rPr>
                  <m:sty m:val="p"/>
                </m:rPr>
                <m:t>%</m:t>
              </m:r>
            </m:oMath>
          </w:p>
        </w:tc>
        <w:tc>
          <w:tcPr/>
          <w:p>
            <w:pPr>
              <w:pStyle w:val="Compact"/>
              <w:jc w:val="right"/>
            </w:pPr>
            <w:r>
              <w:t xml:space="preserve">76%</w:t>
            </w:r>
          </w:p>
        </w:tc>
        <w:tc>
          <w:tcPr/>
          <w:p>
            <w:pPr>
              <w:pStyle w:val="Compact"/>
              <w:jc w:val="right"/>
            </w:pPr>
            <w:r>
              <w:t xml:space="preserve">0.45</w:t>
            </w:r>
          </w:p>
        </w:tc>
        <w:tc>
          <w:tcPr/>
          <w:p>
            <w:pPr>
              <w:pStyle w:val="Compact"/>
              <w:jc w:val="right"/>
            </w:pPr>
            <w:r>
              <w:t xml:space="preserve">0.31</w:t>
            </w:r>
          </w:p>
        </w:tc>
        <w:tc>
          <w:tcPr/>
          <w:p>
            <w:pPr>
              <w:pStyle w:val="Compact"/>
              <w:jc w:val="right"/>
            </w:pPr>
            <w:r>
              <w:t xml:space="preserve">9.1</w:t>
            </w:r>
          </w:p>
        </w:tc>
      </w:tr>
      <w:tr>
        <w:tc>
          <w:tcPr/>
          <w:p>
            <w:pPr>
              <w:pStyle w:val="Compact"/>
              <w:jc w:val="left"/>
            </w:pPr>
            <w:r>
              <w:t xml:space="preserve">NCO</w:t>
            </w:r>
          </w:p>
        </w:tc>
        <w:tc>
          <w:tcPr/>
          <w:p>
            <w:pPr>
              <w:pStyle w:val="Compact"/>
              <w:jc w:val="right"/>
            </w:pPr>
            <m:oMath>
              <m:r>
                <m:rPr>
                  <m:sty m:val="p"/>
                </m:rPr>
                <m:t>+</m:t>
              </m:r>
              <m:r>
                <m:t>55</m:t>
              </m:r>
              <m:r>
                <m:rPr>
                  <m:sty m:val="p"/>
                </m:rPr>
                <m:t>%</m:t>
              </m:r>
            </m:oMath>
          </w:p>
        </w:tc>
        <w:tc>
          <w:tcPr/>
          <w:p>
            <w:pPr>
              <w:pStyle w:val="Compact"/>
              <w:jc w:val="right"/>
            </w:pPr>
            <w:r>
              <w:t xml:space="preserve">78%</w:t>
            </w:r>
          </w:p>
        </w:tc>
        <w:tc>
          <w:tcPr/>
          <w:p>
            <w:pPr>
              <w:pStyle w:val="Compact"/>
              <w:jc w:val="right"/>
            </w:pPr>
            <w:r>
              <w:t xml:space="preserve">0.58</w:t>
            </w:r>
          </w:p>
        </w:tc>
        <w:tc>
          <w:tcPr/>
          <w:p>
            <w:pPr>
              <w:pStyle w:val="Compact"/>
              <w:jc w:val="right"/>
            </w:pPr>
            <w:r>
              <w:t xml:space="preserve">0.42</w:t>
            </w:r>
          </w:p>
        </w:tc>
        <w:tc>
          <w:tcPr/>
          <w:p>
            <w:pPr>
              <w:pStyle w:val="Compact"/>
              <w:jc w:val="right"/>
            </w:pPr>
            <w:r>
              <w:t xml:space="preserve">5.3</w:t>
            </w:r>
          </w:p>
        </w:tc>
      </w:tr>
      <w:tr>
        <w:tc>
          <w:tcPr/>
          <w:p>
            <w:pPr>
              <w:pStyle w:val="Compact"/>
              <w:jc w:val="left"/>
            </w:pPr>
            <w:r>
              <w:rPr>
                <w:i/>
                <w:iCs/>
              </w:rPr>
              <w:t xml:space="preserve">HODL_BTC</w:t>
            </w:r>
          </w:p>
        </w:tc>
        <w:tc>
          <w:tcPr/>
          <w:p>
            <w:pPr>
              <w:pStyle w:val="Compact"/>
              <w:jc w:val="right"/>
            </w:pPr>
            <m:oMath>
              <m:r>
                <m:rPr>
                  <m:sty m:val="p"/>
                </m:rPr>
                <m:t>+</m:t>
              </m:r>
              <m:r>
                <m:t>40</m:t>
              </m:r>
              <m:r>
                <m:rPr>
                  <m:sty m:val="p"/>
                </m:rPr>
                <m:t>%</m:t>
              </m:r>
            </m:oMath>
          </w:p>
        </w:tc>
        <w:tc>
          <w:tcPr/>
          <w:p>
            <w:pPr>
              <w:pStyle w:val="Compact"/>
              <w:jc w:val="right"/>
            </w:pPr>
            <w:r>
              <w:t xml:space="preserve">61%</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NCOML</w:t>
            </w:r>
          </w:p>
        </w:tc>
        <w:tc>
          <w:tcPr/>
          <w:p>
            <w:pPr>
              <w:pStyle w:val="Compact"/>
              <w:jc w:val="right"/>
            </w:pPr>
            <m:oMath>
              <m:r>
                <m:rPr>
                  <m:sty m:val="p"/>
                </m:rPr>
                <m:t>+</m:t>
              </m:r>
              <m:r>
                <m:t>35</m:t>
              </m:r>
              <m:r>
                <m:rPr>
                  <m:sty m:val="p"/>
                </m:rPr>
                <m:t>%</m:t>
              </m:r>
            </m:oMath>
          </w:p>
        </w:tc>
        <w:tc>
          <w:tcPr/>
          <w:p>
            <w:pPr>
              <w:pStyle w:val="Compact"/>
              <w:jc w:val="right"/>
            </w:pPr>
            <w:r>
              <w:t xml:space="preserve">96%</w:t>
            </w:r>
          </w:p>
        </w:tc>
        <w:tc>
          <w:tcPr/>
          <w:p>
            <w:pPr>
              <w:pStyle w:val="Compact"/>
              <w:jc w:val="right"/>
            </w:pPr>
            <w:r>
              <w:t xml:space="preserve">1.59</w:t>
            </w:r>
          </w:p>
        </w:tc>
        <w:tc>
          <w:tcPr/>
          <w:p>
            <w:pPr>
              <w:pStyle w:val="Compact"/>
              <w:jc w:val="right"/>
            </w:pPr>
            <w:r>
              <w:t xml:space="preserve">0.68</w:t>
            </w:r>
          </w:p>
        </w:tc>
        <w:tc>
          <w:tcPr/>
          <w:p>
            <w:pPr>
              <w:pStyle w:val="Compact"/>
              <w:jc w:val="right"/>
            </w:pPr>
            <w:r>
              <w:t xml:space="preserve">2.5</w:t>
            </w:r>
          </w:p>
        </w:tc>
      </w:tr>
      <w:tr>
        <w:tc>
          <w:tcPr/>
          <w:p>
            <w:pPr>
              <w:pStyle w:val="Compact"/>
              <w:jc w:val="left"/>
            </w:pPr>
            <w:r>
              <w:t xml:space="preserve">HRP_Dynamic_94</w:t>
            </w:r>
          </w:p>
        </w:tc>
        <w:tc>
          <w:tcPr/>
          <w:p>
            <w:pPr>
              <w:pStyle w:val="Compact"/>
              <w:jc w:val="right"/>
            </w:pPr>
            <m:oMath>
              <m:r>
                <m:rPr>
                  <m:sty m:val="p"/>
                </m:rPr>
                <m:t>+</m:t>
              </m:r>
              <m:r>
                <m:t>31</m:t>
              </m:r>
              <m:r>
                <m:rPr>
                  <m:sty m:val="p"/>
                </m:rPr>
                <m:t>%</m:t>
              </m:r>
            </m:oMath>
          </w:p>
        </w:tc>
        <w:tc>
          <w:tcPr/>
          <w:p>
            <w:pPr>
              <w:pStyle w:val="Compact"/>
              <w:jc w:val="right"/>
            </w:pPr>
            <w:r>
              <w:t xml:space="preserve">81%</w:t>
            </w:r>
          </w:p>
        </w:tc>
        <w:tc>
          <w:tcPr/>
          <w:p>
            <w:pPr>
              <w:pStyle w:val="Compact"/>
              <w:jc w:val="right"/>
            </w:pPr>
            <w:r>
              <w:t xml:space="preserve">0.47</w:t>
            </w:r>
          </w:p>
        </w:tc>
        <w:tc>
          <w:tcPr/>
          <w:p>
            <w:pPr>
              <w:pStyle w:val="Compact"/>
              <w:jc w:val="right"/>
            </w:pPr>
            <w:r>
              <w:t xml:space="preserve">0.13</w:t>
            </w:r>
          </w:p>
        </w:tc>
        <w:tc>
          <w:tcPr/>
          <w:p>
            <w:pPr>
              <w:pStyle w:val="Compact"/>
              <w:jc w:val="right"/>
            </w:pPr>
            <w:r>
              <w:t xml:space="preserve">26.3</w:t>
            </w:r>
          </w:p>
        </w:tc>
      </w:tr>
      <w:tr>
        <w:tc>
          <w:tcPr/>
          <w:p>
            <w:pPr>
              <w:pStyle w:val="Compact"/>
              <w:jc w:val="left"/>
            </w:pPr>
            <w:r>
              <w:t xml:space="preserve">HRP_ShrunkCov</w:t>
            </w:r>
          </w:p>
        </w:tc>
        <w:tc>
          <w:tcPr/>
          <w:p>
            <w:pPr>
              <w:pStyle w:val="Compact"/>
              <w:jc w:val="right"/>
            </w:pPr>
            <m:oMath>
              <m:r>
                <m:rPr>
                  <m:sty m:val="p"/>
                </m:rPr>
                <m:t>+</m:t>
              </m:r>
              <m:r>
                <m:t>30</m:t>
              </m:r>
              <m:r>
                <m:rPr>
                  <m:sty m:val="p"/>
                </m:rPr>
                <m:t>%</m:t>
              </m:r>
            </m:oMath>
          </w:p>
        </w:tc>
        <w:tc>
          <w:tcPr/>
          <w:p>
            <w:pPr>
              <w:pStyle w:val="Compact"/>
              <w:jc w:val="right"/>
            </w:pPr>
            <w:r>
              <w:t xml:space="preserve">82%</w:t>
            </w:r>
          </w:p>
        </w:tc>
        <w:tc>
          <w:tcPr/>
          <w:p>
            <w:pPr>
              <w:pStyle w:val="Compact"/>
              <w:jc w:val="right"/>
            </w:pPr>
            <w:r>
              <w:t xml:space="preserve">0.35</w:t>
            </w:r>
          </w:p>
        </w:tc>
        <w:tc>
          <w:tcPr/>
          <w:p>
            <w:pPr>
              <w:pStyle w:val="Compact"/>
              <w:jc w:val="right"/>
            </w:pPr>
            <w:r>
              <w:t xml:space="preserve">0.10</w:t>
            </w:r>
          </w:p>
        </w:tc>
        <w:tc>
          <w:tcPr/>
          <w:p>
            <w:pPr>
              <w:pStyle w:val="Compact"/>
              <w:jc w:val="right"/>
            </w:pPr>
            <w:r>
              <w:t xml:space="preserve">30.5</w:t>
            </w:r>
          </w:p>
        </w:tc>
      </w:tr>
      <w:tr>
        <w:tc>
          <w:tcPr/>
          <w:p>
            <w:pPr>
              <w:pStyle w:val="Compact"/>
              <w:jc w:val="left"/>
            </w:pPr>
            <w:r>
              <w:rPr>
                <w:b/>
                <w:bCs/>
              </w:rPr>
              <w:t xml:space="preserve">HRP (baseline)</w:t>
            </w:r>
          </w:p>
        </w:tc>
        <w:tc>
          <w:tcPr/>
          <w:p>
            <w:pPr>
              <w:pStyle w:val="Compact"/>
              <w:jc w:val="right"/>
            </w:pPr>
            <m:oMath>
              <m:r>
                <m:rPr>
                  <m:sty m:val="p"/>
                </m:rPr>
                <m:t>+</m:t>
              </m:r>
              <m:r>
                <m:t>30</m:t>
              </m:r>
              <m:r>
                <m:rPr>
                  <m:sty m:val="p"/>
                </m:rPr>
                <m:t>%</m:t>
              </m:r>
            </m:oMath>
          </w:p>
        </w:tc>
        <w:tc>
          <w:tcPr/>
          <w:p>
            <w:pPr>
              <w:pStyle w:val="Compact"/>
              <w:jc w:val="right"/>
            </w:pPr>
            <w:r>
              <w:t xml:space="preserve">82%</w:t>
            </w:r>
          </w:p>
        </w:tc>
        <w:tc>
          <w:tcPr/>
          <w:p>
            <w:pPr>
              <w:pStyle w:val="Compact"/>
              <w:jc w:val="right"/>
            </w:pPr>
            <w:r>
              <w:t xml:space="preserve">0.36</w:t>
            </w:r>
          </w:p>
        </w:tc>
        <w:tc>
          <w:tcPr/>
          <w:p>
            <w:pPr>
              <w:pStyle w:val="Compact"/>
              <w:jc w:val="right"/>
            </w:pPr>
            <w:r>
              <w:t xml:space="preserve">0.11</w:t>
            </w:r>
          </w:p>
        </w:tc>
        <w:tc>
          <w:tcPr/>
          <w:p>
            <w:pPr>
              <w:pStyle w:val="Compact"/>
              <w:jc w:val="right"/>
            </w:pPr>
            <w:r>
              <w:t xml:space="preserve">29.8</w:t>
            </w:r>
          </w:p>
        </w:tc>
      </w:tr>
      <w:tr>
        <w:tc>
          <w:tcPr/>
          <w:p>
            <w:pPr>
              <w:pStyle w:val="Compact"/>
              <w:jc w:val="left"/>
            </w:pPr>
            <w:r>
              <w:t xml:space="preserve">HRP_VolStd</w:t>
            </w:r>
          </w:p>
        </w:tc>
        <w:tc>
          <w:tcPr/>
          <w:p>
            <w:pPr>
              <w:pStyle w:val="Compact"/>
              <w:jc w:val="right"/>
            </w:pPr>
            <m:oMath>
              <m:r>
                <m:rPr>
                  <m:sty m:val="p"/>
                </m:rPr>
                <m:t>+</m:t>
              </m:r>
              <m:r>
                <m:t>29</m:t>
              </m:r>
              <m:r>
                <m:rPr>
                  <m:sty m:val="p"/>
                </m:rPr>
                <m:t>%</m:t>
              </m:r>
            </m:oMath>
          </w:p>
        </w:tc>
        <w:tc>
          <w:tcPr/>
          <w:p>
            <w:pPr>
              <w:pStyle w:val="Compact"/>
              <w:jc w:val="right"/>
            </w:pPr>
            <w:r>
              <w:t xml:space="preserve">81%</w:t>
            </w:r>
          </w:p>
        </w:tc>
        <w:tc>
          <w:tcPr/>
          <w:p>
            <w:pPr>
              <w:pStyle w:val="Compact"/>
              <w:jc w:val="right"/>
            </w:pPr>
            <w:r>
              <w:t xml:space="preserve">0.37</w:t>
            </w:r>
          </w:p>
        </w:tc>
        <w:tc>
          <w:tcPr/>
          <w:p>
            <w:pPr>
              <w:pStyle w:val="Compact"/>
              <w:jc w:val="right"/>
            </w:pPr>
            <w:r>
              <w:t xml:space="preserve">0.11</w:t>
            </w:r>
          </w:p>
        </w:tc>
        <w:tc>
          <w:tcPr/>
          <w:p>
            <w:pPr>
              <w:pStyle w:val="Compact"/>
              <w:jc w:val="right"/>
            </w:pPr>
            <w:r>
              <w:t xml:space="preserve">29.5</w:t>
            </w:r>
          </w:p>
        </w:tc>
      </w:tr>
      <w:tr>
        <w:tc>
          <w:tcPr/>
          <w:p>
            <w:pPr>
              <w:pStyle w:val="Compact"/>
              <w:jc w:val="left"/>
            </w:pPr>
            <w:r>
              <w:t xml:space="preserve">MOM_HRP</w:t>
            </w:r>
          </w:p>
        </w:tc>
        <w:tc>
          <w:tcPr/>
          <w:p>
            <w:pPr>
              <w:pStyle w:val="Compact"/>
              <w:jc w:val="right"/>
            </w:pPr>
            <m:oMath>
              <m:r>
                <m:rPr>
                  <m:sty m:val="p"/>
                </m:rPr>
                <m:t>+</m:t>
              </m:r>
              <m:r>
                <m:t>27</m:t>
              </m:r>
              <m:r>
                <m:rPr>
                  <m:sty m:val="p"/>
                </m:rPr>
                <m:t>%</m:t>
              </m:r>
            </m:oMath>
          </w:p>
        </w:tc>
        <w:tc>
          <w:tcPr/>
          <w:p>
            <w:pPr>
              <w:pStyle w:val="Compact"/>
              <w:jc w:val="right"/>
            </w:pPr>
            <w:r>
              <w:t xml:space="preserve">89%</w:t>
            </w:r>
          </w:p>
        </w:tc>
        <w:tc>
          <w:tcPr/>
          <w:p>
            <w:pPr>
              <w:pStyle w:val="Compact"/>
              <w:jc w:val="right"/>
            </w:pPr>
            <w:r>
              <w:t xml:space="preserve">1.44</w:t>
            </w:r>
          </w:p>
        </w:tc>
        <w:tc>
          <w:tcPr/>
          <w:p>
            <w:pPr>
              <w:pStyle w:val="Compact"/>
              <w:jc w:val="right"/>
            </w:pPr>
            <w:r>
              <w:t xml:space="preserve">0.18</w:t>
            </w:r>
          </w:p>
        </w:tc>
        <w:tc>
          <w:tcPr/>
          <w:p>
            <w:pPr>
              <w:pStyle w:val="Compact"/>
              <w:jc w:val="right"/>
            </w:pPr>
            <w:r>
              <w:t xml:space="preserve">12.6</w:t>
            </w:r>
          </w:p>
        </w:tc>
      </w:tr>
      <w:tr>
        <w:tc>
          <w:tcPr/>
          <w:p>
            <w:pPr>
              <w:pStyle w:val="Compact"/>
              <w:jc w:val="left"/>
            </w:pPr>
            <w:r>
              <w:t xml:space="preserve">HRP_PartialCorr</w:t>
            </w:r>
          </w:p>
        </w:tc>
        <w:tc>
          <w:tcPr/>
          <w:p>
            <w:pPr>
              <w:pStyle w:val="Compact"/>
              <w:jc w:val="right"/>
            </w:pPr>
            <m:oMath>
              <m:r>
                <m:rPr>
                  <m:sty m:val="p"/>
                </m:rPr>
                <m:t>+</m:t>
              </m:r>
              <m:r>
                <m:t>28</m:t>
              </m:r>
              <m:r>
                <m:rPr>
                  <m:sty m:val="p"/>
                </m:rPr>
                <m:t>%</m:t>
              </m:r>
            </m:oMath>
          </w:p>
        </w:tc>
        <w:tc>
          <w:tcPr/>
          <w:p>
            <w:pPr>
              <w:pStyle w:val="Compact"/>
              <w:jc w:val="right"/>
            </w:pPr>
            <w:r>
              <w:t xml:space="preserve">81%</w:t>
            </w:r>
          </w:p>
        </w:tc>
        <w:tc>
          <w:tcPr/>
          <w:p>
            <w:pPr>
              <w:pStyle w:val="Compact"/>
              <w:jc w:val="right"/>
            </w:pPr>
            <w:r>
              <w:t xml:space="preserve">0.24</w:t>
            </w:r>
          </w:p>
        </w:tc>
        <w:tc>
          <w:tcPr/>
          <w:p>
            <w:pPr>
              <w:pStyle w:val="Compact"/>
              <w:jc w:val="right"/>
            </w:pPr>
            <w:r>
              <w:t xml:space="preserve">0.10</w:t>
            </w:r>
          </w:p>
        </w:tc>
        <w:tc>
          <w:tcPr/>
          <w:p>
            <w:pPr>
              <w:pStyle w:val="Compact"/>
              <w:jc w:val="right"/>
            </w:pPr>
            <w:r>
              <w:t xml:space="preserve">29.6</w:t>
            </w:r>
          </w:p>
        </w:tc>
      </w:tr>
      <w:tr>
        <w:tc>
          <w:tcPr/>
          <w:p>
            <w:pPr>
              <w:pStyle w:val="Compact"/>
              <w:jc w:val="left"/>
            </w:pPr>
            <w:r>
              <w:t xml:space="preserve">MaxDiv</w:t>
            </w:r>
          </w:p>
        </w:tc>
        <w:tc>
          <w:tcPr/>
          <w:p>
            <w:pPr>
              <w:pStyle w:val="Compact"/>
              <w:jc w:val="right"/>
            </w:pPr>
            <m:oMath>
              <m:r>
                <m:rPr>
                  <m:sty m:val="p"/>
                </m:rPr>
                <m:t>+</m:t>
              </m:r>
              <m:r>
                <m:t>28</m:t>
              </m:r>
              <m:r>
                <m:rPr>
                  <m:sty m:val="p"/>
                </m:rPr>
                <m:t>%</m:t>
              </m:r>
            </m:oMath>
          </w:p>
        </w:tc>
        <w:tc>
          <w:tcPr/>
          <w:p>
            <w:pPr>
              <w:pStyle w:val="Compact"/>
              <w:jc w:val="right"/>
            </w:pPr>
            <w:r>
              <w:t xml:space="preserve">93%</w:t>
            </w:r>
          </w:p>
        </w:tc>
        <w:tc>
          <w:tcPr/>
          <w:p>
            <w:pPr>
              <w:pStyle w:val="Compact"/>
              <w:jc w:val="right"/>
            </w:pPr>
            <w:r>
              <w:t xml:space="preserve">0.55</w:t>
            </w:r>
          </w:p>
        </w:tc>
        <w:tc>
          <w:tcPr/>
          <w:p>
            <w:pPr>
              <w:pStyle w:val="Compact"/>
              <w:jc w:val="right"/>
            </w:pPr>
            <w:r>
              <w:t xml:space="preserve">0.22</w:t>
            </w:r>
          </w:p>
        </w:tc>
        <w:tc>
          <w:tcPr/>
          <w:p>
            <w:pPr>
              <w:pStyle w:val="Compact"/>
              <w:jc w:val="right"/>
            </w:pPr>
            <w:r>
              <w:t xml:space="preserve">8.4</w:t>
            </w:r>
          </w:p>
        </w:tc>
      </w:tr>
      <w:tr>
        <w:tc>
          <w:tcPr/>
          <w:p>
            <w:pPr>
              <w:pStyle w:val="Compact"/>
              <w:jc w:val="left"/>
            </w:pPr>
            <w:r>
              <w:t xml:space="preserve">HRP_PathSig</w:t>
            </w:r>
          </w:p>
        </w:tc>
        <w:tc>
          <w:tcPr/>
          <w:p>
            <w:pPr>
              <w:pStyle w:val="Compact"/>
              <w:jc w:val="right"/>
            </w:pPr>
            <m:oMath>
              <m:r>
                <m:rPr>
                  <m:sty m:val="p"/>
                </m:rPr>
                <m:t>+</m:t>
              </m:r>
              <m:r>
                <m:t>27</m:t>
              </m:r>
              <m:r>
                <m:rPr>
                  <m:sty m:val="p"/>
                </m:rPr>
                <m:t>%</m:t>
              </m:r>
            </m:oMath>
          </w:p>
        </w:tc>
        <w:tc>
          <w:tcPr/>
          <w:p>
            <w:pPr>
              <w:pStyle w:val="Compact"/>
              <w:jc w:val="right"/>
            </w:pPr>
            <w:r>
              <w:t xml:space="preserve">81%</w:t>
            </w:r>
          </w:p>
        </w:tc>
        <w:tc>
          <w:tcPr/>
          <w:p>
            <w:pPr>
              <w:pStyle w:val="Compact"/>
              <w:jc w:val="right"/>
            </w:pPr>
            <w:r>
              <w:t xml:space="preserve">0.38</w:t>
            </w:r>
          </w:p>
        </w:tc>
        <w:tc>
          <w:tcPr/>
          <w:p>
            <w:pPr>
              <w:pStyle w:val="Compact"/>
              <w:jc w:val="right"/>
            </w:pPr>
            <w:r>
              <w:t xml:space="preserve">0.10</w:t>
            </w:r>
          </w:p>
        </w:tc>
        <w:tc>
          <w:tcPr/>
          <w:p>
            <w:pPr>
              <w:pStyle w:val="Compact"/>
              <w:jc w:val="right"/>
            </w:pPr>
            <w:r>
              <w:t xml:space="preserve">29.4</w:t>
            </w:r>
          </w:p>
        </w:tc>
      </w:tr>
      <w:tr>
        <w:tc>
          <w:tcPr/>
          <w:p>
            <w:pPr>
              <w:pStyle w:val="Compact"/>
              <w:jc w:val="left"/>
            </w:pPr>
            <w:r>
              <w:t xml:space="preserve">HERC</w:t>
            </w:r>
          </w:p>
        </w:tc>
        <w:tc>
          <w:tcPr/>
          <w:p>
            <w:pPr>
              <w:pStyle w:val="Compact"/>
              <w:jc w:val="right"/>
            </w:pPr>
            <m:oMath>
              <m:r>
                <m:rPr>
                  <m:sty m:val="p"/>
                </m:rPr>
                <m:t>+</m:t>
              </m:r>
              <m:r>
                <m:t>26</m:t>
              </m:r>
              <m:r>
                <m:rPr>
                  <m:sty m:val="p"/>
                </m:rPr>
                <m:t>%</m:t>
              </m:r>
            </m:oMath>
          </w:p>
        </w:tc>
        <w:tc>
          <w:tcPr/>
          <w:p>
            <w:pPr>
              <w:pStyle w:val="Compact"/>
              <w:jc w:val="right"/>
            </w:pPr>
            <w:r>
              <w:t xml:space="preserve">84%</w:t>
            </w:r>
          </w:p>
        </w:tc>
        <w:tc>
          <w:tcPr/>
          <w:p>
            <w:pPr>
              <w:pStyle w:val="Compact"/>
              <w:jc w:val="right"/>
            </w:pPr>
            <w:r>
              <w:t xml:space="preserve">0.57</w:t>
            </w:r>
          </w:p>
        </w:tc>
        <w:tc>
          <w:tcPr/>
          <w:p>
            <w:pPr>
              <w:pStyle w:val="Compact"/>
              <w:jc w:val="right"/>
            </w:pPr>
            <w:r>
              <w:t xml:space="preserve">0.15</w:t>
            </w:r>
          </w:p>
        </w:tc>
        <w:tc>
          <w:tcPr/>
          <w:p>
            <w:pPr>
              <w:pStyle w:val="Compact"/>
              <w:jc w:val="right"/>
            </w:pPr>
            <w:r>
              <w:t xml:space="preserve">18.8</w:t>
            </w:r>
          </w:p>
        </w:tc>
      </w:tr>
      <w:tr>
        <w:tc>
          <w:tcPr/>
          <w:p>
            <w:pPr>
              <w:pStyle w:val="Compact"/>
              <w:jc w:val="left"/>
            </w:pPr>
            <w:r>
              <w:t xml:space="preserve">HRP_Denoised</w:t>
            </w:r>
          </w:p>
        </w:tc>
        <w:tc>
          <w:tcPr/>
          <w:p>
            <w:pPr>
              <w:pStyle w:val="Compact"/>
              <w:jc w:val="right"/>
            </w:pPr>
            <m:oMath>
              <m:r>
                <m:rPr>
                  <m:sty m:val="p"/>
                </m:rPr>
                <m:t>+</m:t>
              </m:r>
              <m:r>
                <m:t>27</m:t>
              </m:r>
              <m:r>
                <m:rPr>
                  <m:sty m:val="p"/>
                </m:rPr>
                <m:t>%</m:t>
              </m:r>
            </m:oMath>
          </w:p>
        </w:tc>
        <w:tc>
          <w:tcPr/>
          <w:p>
            <w:pPr>
              <w:pStyle w:val="Compact"/>
              <w:jc w:val="right"/>
            </w:pPr>
            <w:r>
              <w:t xml:space="preserve">82%</w:t>
            </w:r>
          </w:p>
        </w:tc>
        <w:tc>
          <w:tcPr/>
          <w:p>
            <w:pPr>
              <w:pStyle w:val="Compact"/>
              <w:jc w:val="right"/>
            </w:pPr>
            <w:r>
              <w:t xml:space="preserve">0.33</w:t>
            </w:r>
          </w:p>
        </w:tc>
        <w:tc>
          <w:tcPr/>
          <w:p>
            <w:pPr>
              <w:pStyle w:val="Compact"/>
              <w:jc w:val="right"/>
            </w:pPr>
            <w:r>
              <w:t xml:space="preserve">0.10</w:t>
            </w:r>
          </w:p>
        </w:tc>
        <w:tc>
          <w:tcPr/>
          <w:p>
            <w:pPr>
              <w:pStyle w:val="Compact"/>
              <w:jc w:val="right"/>
            </w:pPr>
            <w:r>
              <w:t xml:space="preserve">30.6</w:t>
            </w:r>
          </w:p>
        </w:tc>
      </w:tr>
      <w:tr>
        <w:tc>
          <w:tcPr/>
          <w:p>
            <w:pPr>
              <w:pStyle w:val="Compact"/>
              <w:jc w:val="left"/>
            </w:pPr>
            <w:r>
              <w:t xml:space="preserve">HRP_Contrastive</w:t>
            </w:r>
          </w:p>
        </w:tc>
        <w:tc>
          <w:tcPr/>
          <w:p>
            <w:pPr>
              <w:pStyle w:val="Compact"/>
              <w:jc w:val="right"/>
            </w:pPr>
            <m:oMath>
              <m:r>
                <m:rPr>
                  <m:sty m:val="p"/>
                </m:rPr>
                <m:t>+</m:t>
              </m:r>
              <m:r>
                <m:t>27</m:t>
              </m:r>
              <m:r>
                <m:rPr>
                  <m:sty m:val="p"/>
                </m:rPr>
                <m:t>%</m:t>
              </m:r>
            </m:oMath>
          </w:p>
        </w:tc>
        <w:tc>
          <w:tcPr/>
          <w:p>
            <w:pPr>
              <w:pStyle w:val="Compact"/>
              <w:jc w:val="right"/>
            </w:pPr>
            <w:r>
              <w:t xml:space="preserve">81%</w:t>
            </w:r>
          </w:p>
        </w:tc>
        <w:tc>
          <w:tcPr/>
          <w:p>
            <w:pPr>
              <w:pStyle w:val="Compact"/>
              <w:jc w:val="right"/>
            </w:pPr>
            <w:r>
              <w:t xml:space="preserve">0.40</w:t>
            </w:r>
          </w:p>
        </w:tc>
        <w:tc>
          <w:tcPr/>
          <w:p>
            <w:pPr>
              <w:pStyle w:val="Compact"/>
              <w:jc w:val="right"/>
            </w:pPr>
            <w:r>
              <w:t xml:space="preserve">0.10</w:t>
            </w:r>
          </w:p>
        </w:tc>
        <w:tc>
          <w:tcPr/>
          <w:p>
            <w:pPr>
              <w:pStyle w:val="Compact"/>
              <w:jc w:val="right"/>
            </w:pPr>
            <w:r>
              <w:t xml:space="preserve">29.9</w:t>
            </w:r>
          </w:p>
        </w:tc>
      </w:tr>
      <w:tr>
        <w:tc>
          <w:tcPr/>
          <w:p>
            <w:pPr>
              <w:pStyle w:val="Compact"/>
              <w:jc w:val="left"/>
            </w:pPr>
            <w:r>
              <w:t xml:space="preserve">HRP_Detoned</w:t>
            </w:r>
          </w:p>
        </w:tc>
        <w:tc>
          <w:tcPr/>
          <w:p>
            <w:pPr>
              <w:pStyle w:val="Compact"/>
              <w:jc w:val="right"/>
            </w:pPr>
            <m:oMath>
              <m:r>
                <m:rPr>
                  <m:sty m:val="p"/>
                </m:rPr>
                <m:t>+</m:t>
              </m:r>
              <m:r>
                <m:t>26</m:t>
              </m:r>
              <m:r>
                <m:rPr>
                  <m:sty m:val="p"/>
                </m:rPr>
                <m:t>%</m:t>
              </m:r>
            </m:oMath>
          </w:p>
        </w:tc>
        <w:tc>
          <w:tcPr/>
          <w:p>
            <w:pPr>
              <w:pStyle w:val="Compact"/>
              <w:jc w:val="right"/>
            </w:pPr>
            <w:r>
              <w:t xml:space="preserve">82%</w:t>
            </w:r>
          </w:p>
        </w:tc>
        <w:tc>
          <w:tcPr/>
          <w:p>
            <w:pPr>
              <w:pStyle w:val="Compact"/>
              <w:jc w:val="right"/>
            </w:pPr>
            <w:r>
              <w:t xml:space="preserve">0.26</w:t>
            </w:r>
          </w:p>
        </w:tc>
        <w:tc>
          <w:tcPr/>
          <w:p>
            <w:pPr>
              <w:pStyle w:val="Compact"/>
              <w:jc w:val="right"/>
            </w:pPr>
            <w:r>
              <w:t xml:space="preserve">0.08</w:t>
            </w:r>
          </w:p>
        </w:tc>
        <w:tc>
          <w:tcPr/>
          <w:p>
            <w:pPr>
              <w:pStyle w:val="Compact"/>
              <w:jc w:val="right"/>
            </w:pPr>
            <w:r>
              <w:t xml:space="preserve">31.9</w:t>
            </w:r>
          </w:p>
        </w:tc>
      </w:tr>
      <w:tr>
        <w:tc>
          <w:tcPr/>
          <w:p>
            <w:pPr>
              <w:pStyle w:val="Compact"/>
              <w:jc w:val="left"/>
            </w:pPr>
            <w:r>
              <w:t xml:space="preserve">HRP_TailDep</w:t>
            </w:r>
          </w:p>
        </w:tc>
        <w:tc>
          <w:tcPr/>
          <w:p>
            <w:pPr>
              <w:pStyle w:val="Compact"/>
              <w:jc w:val="right"/>
            </w:pPr>
            <m:oMath>
              <m:r>
                <m:rPr>
                  <m:sty m:val="p"/>
                </m:rPr>
                <m:t>+</m:t>
              </m:r>
              <m:r>
                <m:t>26</m:t>
              </m:r>
              <m:r>
                <m:rPr>
                  <m:sty m:val="p"/>
                </m:rPr>
                <m:t>%</m:t>
              </m:r>
            </m:oMath>
          </w:p>
        </w:tc>
        <w:tc>
          <w:tcPr/>
          <w:p>
            <w:pPr>
              <w:pStyle w:val="Compact"/>
              <w:jc w:val="right"/>
            </w:pPr>
            <w:r>
              <w:t xml:space="preserve">81%</w:t>
            </w:r>
          </w:p>
        </w:tc>
        <w:tc>
          <w:tcPr/>
          <w:p>
            <w:pPr>
              <w:pStyle w:val="Compact"/>
              <w:jc w:val="right"/>
            </w:pPr>
            <w:r>
              <w:t xml:space="preserve">0.36</w:t>
            </w:r>
          </w:p>
        </w:tc>
        <w:tc>
          <w:tcPr/>
          <w:p>
            <w:pPr>
              <w:pStyle w:val="Compact"/>
              <w:jc w:val="right"/>
            </w:pPr>
            <w:r>
              <w:t xml:space="preserve">0.11</w:t>
            </w:r>
          </w:p>
        </w:tc>
        <w:tc>
          <w:tcPr/>
          <w:p>
            <w:pPr>
              <w:pStyle w:val="Compact"/>
              <w:jc w:val="right"/>
            </w:pPr>
            <w:r>
              <w:t xml:space="preserve">29.2</w:t>
            </w:r>
          </w:p>
        </w:tc>
      </w:tr>
      <w:tr>
        <w:tc>
          <w:tcPr/>
          <w:p>
            <w:pPr>
              <w:pStyle w:val="Compact"/>
              <w:jc w:val="left"/>
            </w:pPr>
            <w:r>
              <w:t xml:space="preserve">HRP_NodeEmbed</w:t>
            </w:r>
          </w:p>
        </w:tc>
        <w:tc>
          <w:tcPr/>
          <w:p>
            <w:pPr>
              <w:pStyle w:val="Compact"/>
              <w:jc w:val="right"/>
            </w:pPr>
            <m:oMath>
              <m:r>
                <m:rPr>
                  <m:sty m:val="p"/>
                </m:rPr>
                <m:t>+</m:t>
              </m:r>
              <m:r>
                <m:t>26</m:t>
              </m:r>
              <m:r>
                <m:rPr>
                  <m:sty m:val="p"/>
                </m:rPr>
                <m:t>%</m:t>
              </m:r>
            </m:oMath>
          </w:p>
        </w:tc>
        <w:tc>
          <w:tcPr/>
          <w:p>
            <w:pPr>
              <w:pStyle w:val="Compact"/>
              <w:jc w:val="right"/>
            </w:pPr>
            <w:r>
              <w:t xml:space="preserve">82%</w:t>
            </w:r>
          </w:p>
        </w:tc>
        <w:tc>
          <w:tcPr/>
          <w:p>
            <w:pPr>
              <w:pStyle w:val="Compact"/>
              <w:jc w:val="right"/>
            </w:pPr>
            <w:r>
              <w:t xml:space="preserve">0.39</w:t>
            </w:r>
          </w:p>
        </w:tc>
        <w:tc>
          <w:tcPr/>
          <w:p>
            <w:pPr>
              <w:pStyle w:val="Compact"/>
              <w:jc w:val="right"/>
            </w:pPr>
            <w:r>
              <w:t xml:space="preserve">0.10</w:t>
            </w:r>
          </w:p>
        </w:tc>
        <w:tc>
          <w:tcPr/>
          <w:p>
            <w:pPr>
              <w:pStyle w:val="Compact"/>
              <w:jc w:val="right"/>
            </w:pPr>
            <w:r>
              <w:t xml:space="preserve">30.1</w:t>
            </w:r>
          </w:p>
        </w:tc>
      </w:tr>
      <w:tr>
        <w:tc>
          <w:tcPr/>
          <w:p>
            <w:pPr>
              <w:pStyle w:val="Compact"/>
              <w:jc w:val="left"/>
            </w:pPr>
            <w:r>
              <w:t xml:space="preserve">HRP_TS2Vec</w:t>
            </w:r>
          </w:p>
        </w:tc>
        <w:tc>
          <w:tcPr/>
          <w:p>
            <w:pPr>
              <w:pStyle w:val="Compact"/>
              <w:jc w:val="right"/>
            </w:pPr>
            <m:oMath>
              <m:r>
                <m:rPr>
                  <m:sty m:val="p"/>
                </m:rPr>
                <m:t>+</m:t>
              </m:r>
              <m:r>
                <m:t>26</m:t>
              </m:r>
              <m:r>
                <m:rPr>
                  <m:sty m:val="p"/>
                </m:rPr>
                <m:t>%</m:t>
              </m:r>
            </m:oMath>
          </w:p>
        </w:tc>
        <w:tc>
          <w:tcPr/>
          <w:p>
            <w:pPr>
              <w:pStyle w:val="Compact"/>
              <w:jc w:val="right"/>
            </w:pPr>
            <w:r>
              <w:t xml:space="preserve">82%</w:t>
            </w:r>
          </w:p>
        </w:tc>
        <w:tc>
          <w:tcPr/>
          <w:p>
            <w:pPr>
              <w:pStyle w:val="Compact"/>
              <w:jc w:val="right"/>
            </w:pPr>
            <w:r>
              <w:t xml:space="preserve">0.38</w:t>
            </w:r>
          </w:p>
        </w:tc>
        <w:tc>
          <w:tcPr/>
          <w:p>
            <w:pPr>
              <w:pStyle w:val="Compact"/>
              <w:jc w:val="right"/>
            </w:pPr>
            <w:r>
              <w:t xml:space="preserve">0.10</w:t>
            </w:r>
          </w:p>
        </w:tc>
        <w:tc>
          <w:tcPr/>
          <w:p>
            <w:pPr>
              <w:pStyle w:val="Compact"/>
              <w:jc w:val="right"/>
            </w:pPr>
            <w:r>
              <w:t xml:space="preserve">30.5</w:t>
            </w:r>
          </w:p>
        </w:tc>
      </w:tr>
      <w:tr>
        <w:tc>
          <w:tcPr/>
          <w:p>
            <w:pPr>
              <w:pStyle w:val="Compact"/>
              <w:jc w:val="left"/>
            </w:pPr>
            <w:r>
              <w:t xml:space="preserve">HRP_TailDepShrunk</w:t>
            </w:r>
          </w:p>
        </w:tc>
        <w:tc>
          <w:tcPr/>
          <w:p>
            <w:pPr>
              <w:pStyle w:val="Compact"/>
              <w:jc w:val="right"/>
            </w:pPr>
            <m:oMath>
              <m:r>
                <m:rPr>
                  <m:sty m:val="p"/>
                </m:rPr>
                <m:t>+</m:t>
              </m:r>
              <m:r>
                <m:t>26</m:t>
              </m:r>
              <m:r>
                <m:rPr>
                  <m:sty m:val="p"/>
                </m:rPr>
                <m:t>%</m:t>
              </m:r>
            </m:oMath>
          </w:p>
        </w:tc>
        <w:tc>
          <w:tcPr/>
          <w:p>
            <w:pPr>
              <w:pStyle w:val="Compact"/>
              <w:jc w:val="right"/>
            </w:pPr>
            <w:r>
              <w:t xml:space="preserve">82%</w:t>
            </w:r>
          </w:p>
        </w:tc>
        <w:tc>
          <w:tcPr/>
          <w:p>
            <w:pPr>
              <w:pStyle w:val="Compact"/>
              <w:jc w:val="right"/>
            </w:pPr>
            <w:r>
              <w:t xml:space="preserve">0.35</w:t>
            </w:r>
          </w:p>
        </w:tc>
        <w:tc>
          <w:tcPr/>
          <w:p>
            <w:pPr>
              <w:pStyle w:val="Compact"/>
              <w:jc w:val="right"/>
            </w:pPr>
            <w:r>
              <w:t xml:space="preserve">0.10</w:t>
            </w:r>
          </w:p>
        </w:tc>
        <w:tc>
          <w:tcPr/>
          <w:p>
            <w:pPr>
              <w:pStyle w:val="Compact"/>
              <w:jc w:val="right"/>
            </w:pPr>
            <w:r>
              <w:t xml:space="preserve">31.5</w:t>
            </w:r>
          </w:p>
        </w:tc>
      </w:tr>
      <w:tr>
        <w:tc>
          <w:tcPr/>
          <w:p>
            <w:pPr>
              <w:pStyle w:val="Compact"/>
              <w:jc w:val="left"/>
            </w:pPr>
            <w:r>
              <w:t xml:space="preserve">IVP</w:t>
            </w:r>
          </w:p>
        </w:tc>
        <w:tc>
          <w:tcPr/>
          <w:p>
            <w:pPr>
              <w:pStyle w:val="Compact"/>
              <w:jc w:val="right"/>
            </w:pPr>
            <m:oMath>
              <m:r>
                <m:rPr>
                  <m:sty m:val="p"/>
                </m:rPr>
                <m:t>+</m:t>
              </m:r>
              <m:r>
                <m:t>25</m:t>
              </m:r>
              <m:r>
                <m:rPr>
                  <m:sty m:val="p"/>
                </m:rPr>
                <m:t>%</m:t>
              </m:r>
            </m:oMath>
          </w:p>
        </w:tc>
        <w:tc>
          <w:tcPr/>
          <w:p>
            <w:pPr>
              <w:pStyle w:val="Compact"/>
              <w:jc w:val="right"/>
            </w:pPr>
            <w:r>
              <w:t xml:space="preserve">82%</w:t>
            </w:r>
          </w:p>
        </w:tc>
        <w:tc>
          <w:tcPr/>
          <w:p>
            <w:pPr>
              <w:pStyle w:val="Compact"/>
              <w:jc w:val="right"/>
            </w:pPr>
            <w:r>
              <w:t xml:space="preserve">0.18</w:t>
            </w:r>
          </w:p>
        </w:tc>
        <w:tc>
          <w:tcPr/>
          <w:p>
            <w:pPr>
              <w:pStyle w:val="Compact"/>
              <w:jc w:val="right"/>
            </w:pPr>
            <w:r>
              <w:t xml:space="preserve">0.08</w:t>
            </w:r>
          </w:p>
        </w:tc>
        <w:tc>
          <w:tcPr/>
          <w:p>
            <w:pPr>
              <w:pStyle w:val="Compact"/>
              <w:jc w:val="right"/>
            </w:pPr>
            <w:r>
              <w:t xml:space="preserve">32.5</w:t>
            </w:r>
          </w:p>
        </w:tc>
      </w:tr>
      <w:tr>
        <w:tc>
          <w:tcPr/>
          <w:p>
            <w:pPr>
              <w:pStyle w:val="Compact"/>
              <w:jc w:val="left"/>
            </w:pPr>
            <w:r>
              <w:t xml:space="preserve">CS_MOM_eq21</w:t>
            </w:r>
          </w:p>
        </w:tc>
        <w:tc>
          <w:tcPr/>
          <w:p>
            <w:pPr>
              <w:pStyle w:val="Compact"/>
              <w:jc w:val="right"/>
            </w:pPr>
            <m:oMath>
              <m:r>
                <m:rPr>
                  <m:sty m:val="p"/>
                </m:rPr>
                <m:t>+</m:t>
              </m:r>
              <m:r>
                <m:t>20</m:t>
              </m:r>
              <m:r>
                <m:rPr>
                  <m:sty m:val="p"/>
                </m:rPr>
                <m:t>%</m:t>
              </m:r>
            </m:oMath>
          </w:p>
        </w:tc>
        <w:tc>
          <w:tcPr/>
          <w:p>
            <w:pPr>
              <w:pStyle w:val="Compact"/>
              <w:jc w:val="right"/>
            </w:pPr>
            <w:r>
              <w:t xml:space="preserve">90%</w:t>
            </w:r>
          </w:p>
        </w:tc>
        <w:tc>
          <w:tcPr/>
          <w:p>
            <w:pPr>
              <w:pStyle w:val="Compact"/>
              <w:jc w:val="right"/>
            </w:pPr>
            <w:r>
              <w:t xml:space="preserve">1.42</w:t>
            </w:r>
          </w:p>
        </w:tc>
        <w:tc>
          <w:tcPr/>
          <w:p>
            <w:pPr>
              <w:pStyle w:val="Compact"/>
              <w:jc w:val="right"/>
            </w:pPr>
            <w:r>
              <w:t xml:space="preserve">0.08</w:t>
            </w:r>
          </w:p>
        </w:tc>
        <w:tc>
          <w:tcPr/>
          <w:p>
            <w:pPr>
              <w:pStyle w:val="Compact"/>
              <w:jc w:val="right"/>
            </w:pPr>
            <w:r>
              <w:t xml:space="preserve">13.2</w:t>
            </w:r>
          </w:p>
        </w:tc>
      </w:tr>
      <w:tr>
        <w:tc>
          <w:tcPr/>
          <w:p>
            <w:pPr>
              <w:pStyle w:val="Compact"/>
              <w:jc w:val="left"/>
            </w:pPr>
            <w:r>
              <w:t xml:space="preserve">RM_MOM</w:t>
            </w:r>
          </w:p>
        </w:tc>
        <w:tc>
          <w:tcPr/>
          <w:p>
            <w:pPr>
              <w:pStyle w:val="Compact"/>
              <w:jc w:val="right"/>
            </w:pPr>
            <m:oMath>
              <m:r>
                <m:rPr>
                  <m:sty m:val="p"/>
                </m:rPr>
                <m:t>+</m:t>
              </m:r>
              <m:r>
                <m:t>13</m:t>
              </m:r>
              <m:r>
                <m:rPr>
                  <m:sty m:val="p"/>
                </m:rPr>
                <m:t>%</m:t>
              </m:r>
            </m:oMath>
          </w:p>
        </w:tc>
        <w:tc>
          <w:tcPr/>
          <w:p>
            <w:pPr>
              <w:pStyle w:val="Compact"/>
              <w:jc w:val="right"/>
            </w:pPr>
            <w:r>
              <w:t xml:space="preserve">23%</w:t>
            </w:r>
          </w:p>
        </w:tc>
        <w:tc>
          <w:tcPr/>
          <w:p>
            <w:pPr>
              <w:pStyle w:val="Compact"/>
              <w:jc w:val="right"/>
            </w:pPr>
            <w:r>
              <w:t xml:space="preserve">0.37</w:t>
            </w:r>
          </w:p>
        </w:tc>
        <w:tc>
          <w:tcPr/>
          <w:p>
            <w:pPr>
              <w:pStyle w:val="Compact"/>
              <w:jc w:val="right"/>
            </w:pPr>
            <w:r>
              <w:t xml:space="preserve">0.02</w:t>
            </w:r>
          </w:p>
        </w:tc>
        <w:tc>
          <w:tcPr/>
          <w:p>
            <w:pPr>
              <w:pStyle w:val="Compact"/>
              <w:jc w:val="right"/>
            </w:pPr>
            <w:r>
              <w:t xml:space="preserve">209.6</w:t>
            </w:r>
          </w:p>
        </w:tc>
      </w:tr>
      <w:tr>
        <w:tc>
          <w:tcPr/>
          <w:p>
            <w:pPr>
              <w:pStyle w:val="Compact"/>
              <w:jc w:val="left"/>
            </w:pPr>
            <w:r>
              <w:t xml:space="preserve">ERC</w:t>
            </w:r>
          </w:p>
        </w:tc>
        <w:tc>
          <w:tcPr/>
          <w:p>
            <w:pPr>
              <w:pStyle w:val="Compact"/>
              <w:jc w:val="right"/>
            </w:pPr>
            <m:oMath>
              <m:r>
                <m:rPr>
                  <m:sty m:val="p"/>
                </m:rPr>
                <m:t>+</m:t>
              </m:r>
              <m:r>
                <m:t>21</m:t>
              </m:r>
              <m:r>
                <m:rPr>
                  <m:sty m:val="p"/>
                </m:rPr>
                <m:t>%</m:t>
              </m:r>
            </m:oMath>
          </w:p>
        </w:tc>
        <w:tc>
          <w:tcPr/>
          <w:p>
            <w:pPr>
              <w:pStyle w:val="Compact"/>
              <w:jc w:val="right"/>
            </w:pPr>
            <w:r>
              <w:t xml:space="preserve">84%</w:t>
            </w:r>
          </w:p>
        </w:tc>
        <w:tc>
          <w:tcPr/>
          <w:p>
            <w:pPr>
              <w:pStyle w:val="Compact"/>
              <w:jc w:val="right"/>
            </w:pPr>
            <w:r>
              <w:t xml:space="preserve">0.19</w:t>
            </w:r>
          </w:p>
        </w:tc>
        <w:tc>
          <w:tcPr/>
          <w:p>
            <w:pPr>
              <w:pStyle w:val="Compact"/>
              <w:jc w:val="right"/>
            </w:pPr>
            <w:r>
              <w:t xml:space="preserve">0.05</w:t>
            </w:r>
          </w:p>
        </w:tc>
        <w:tc>
          <w:tcPr/>
          <w:p>
            <w:pPr>
              <w:pStyle w:val="Compact"/>
              <w:jc w:val="right"/>
            </w:pPr>
            <w:r>
              <w:t xml:space="preserve">41.9</w:t>
            </w:r>
          </w:p>
        </w:tc>
      </w:tr>
      <w:tr>
        <w:tc>
          <w:tcPr/>
          <w:p>
            <w:pPr>
              <w:pStyle w:val="Compact"/>
              <w:jc w:val="left"/>
            </w:pPr>
            <w:r>
              <w:t xml:space="preserve">HRPSigmaMu</w:t>
            </w:r>
          </w:p>
        </w:tc>
        <w:tc>
          <w:tcPr/>
          <w:p>
            <w:pPr>
              <w:pStyle w:val="Compact"/>
              <w:jc w:val="right"/>
            </w:pPr>
            <m:oMath>
              <m:r>
                <m:rPr>
                  <m:sty m:val="p"/>
                </m:rPr>
                <m:t>+</m:t>
              </m:r>
              <m:r>
                <m:t>16</m:t>
              </m:r>
              <m:r>
                <m:rPr>
                  <m:sty m:val="p"/>
                </m:rPr>
                <m:t>%</m:t>
              </m:r>
            </m:oMath>
          </w:p>
        </w:tc>
        <w:tc>
          <w:tcPr/>
          <w:p>
            <w:pPr>
              <w:pStyle w:val="Compact"/>
              <w:jc w:val="right"/>
            </w:pPr>
            <w:r>
              <w:t xml:space="preserve">83%</w:t>
            </w:r>
          </w:p>
        </w:tc>
        <w:tc>
          <w:tcPr/>
          <w:p>
            <w:pPr>
              <w:pStyle w:val="Compact"/>
              <w:jc w:val="right"/>
            </w:pPr>
            <w:r>
              <w:t xml:space="preserve">1.38</w:t>
            </w:r>
          </w:p>
        </w:tc>
        <w:tc>
          <w:tcPr/>
          <w:p>
            <w:pPr>
              <w:pStyle w:val="Compact"/>
              <w:jc w:val="right"/>
            </w:pPr>
            <w:r>
              <w:t xml:space="preserve">0.27</w:t>
            </w:r>
          </w:p>
        </w:tc>
        <w:tc>
          <w:tcPr/>
          <w:p>
            <w:pPr>
              <w:pStyle w:val="Compact"/>
              <w:jc w:val="right"/>
            </w:pPr>
            <w:r>
              <w:t xml:space="preserve">8.4</w:t>
            </w:r>
          </w:p>
        </w:tc>
      </w:tr>
      <w:tr>
        <w:tc>
          <w:tcPr/>
          <w:p>
            <w:pPr>
              <w:pStyle w:val="Compact"/>
              <w:jc w:val="left"/>
            </w:pPr>
            <w:r>
              <w:t xml:space="preserve">NCO_RT</w:t>
            </w:r>
          </w:p>
        </w:tc>
        <w:tc>
          <w:tcPr/>
          <w:p>
            <w:pPr>
              <w:pStyle w:val="Compact"/>
              <w:jc w:val="right"/>
            </w:pPr>
            <m:oMath>
              <m:r>
                <m:rPr>
                  <m:sty m:val="p"/>
                </m:rPr>
                <m:t>−</m:t>
              </m:r>
              <m:r>
                <m:t>43</m:t>
              </m:r>
              <m:r>
                <m:rPr>
                  <m:sty m:val="p"/>
                </m:rPr>
                <m:t>%</m:t>
              </m:r>
            </m:oMath>
          </w:p>
        </w:tc>
        <w:tc>
          <w:tcPr/>
          <w:p>
            <w:pPr>
              <w:pStyle w:val="Compact"/>
              <w:jc w:val="right"/>
            </w:pPr>
            <w:r>
              <w:t xml:space="preserve">106%</w:t>
            </w:r>
          </w:p>
        </w:tc>
        <w:tc>
          <w:tcPr/>
          <w:p>
            <w:pPr>
              <w:pStyle w:val="Compact"/>
              <w:jc w:val="right"/>
            </w:pPr>
            <w:r>
              <w:t xml:space="preserve">1.64</w:t>
            </w:r>
          </w:p>
        </w:tc>
        <w:tc>
          <w:tcPr/>
          <w:p>
            <w:pPr>
              <w:pStyle w:val="Compact"/>
              <w:jc w:val="right"/>
            </w:pPr>
            <w:r>
              <w:t xml:space="preserve">0.64</w:t>
            </w:r>
          </w:p>
        </w:tc>
        <w:tc>
          <w:tcPr/>
          <w:p>
            <w:pPr>
              <w:pStyle w:val="Compact"/>
              <w:jc w:val="right"/>
            </w:pPr>
            <w:r>
              <w:t xml:space="preserve">2.5</w:t>
            </w:r>
          </w:p>
        </w:tc>
      </w:tr>
    </w:tbl>
    <w:bookmarkEnd w:id="57"/>
    <w:bookmarkStart w:id="66" w:name="pairwise-significance-preview."/>
    <w:p>
      <w:pPr>
        <w:pStyle w:val="Heading4"/>
      </w:pPr>
      <w:r>
        <w:t xml:space="preserve">Pairwise significance (preview).</w:t>
      </w:r>
    </w:p>
    <w:p>
      <w:pPr>
        <w:pStyle w:val="FirstParagraph"/>
      </w:pPr>
      <w:r>
        <w:t xml:space="preserve">Under the studentized</w:t>
      </w:r>
      <w:r>
        <w:t xml:space="preserve"> </w:t>
      </w:r>
      <w:r>
        <w:t xml:space="preserve">Ledoit–Wolf test, two strategies beat baseline HRP at</w:t>
      </w:r>
      <w:r>
        <w:t xml:space="preserve"> </w:t>
      </w:r>
      <m:oMath>
        <m:r>
          <m:t>p</m:t>
        </m:r>
        <m:r>
          <m:rPr>
            <m:sty m:val="p"/>
          </m:rPr>
          <m:t>&lt;</m:t>
        </m:r>
        <m:r>
          <m:t>0.05</m:t>
        </m:r>
      </m:oMath>
      <w:r>
        <w:t xml:space="preserve"> </w:t>
      </w:r>
      <w:r>
        <w:t xml:space="preserve">(CRISP</w:t>
      </w:r>
      <w:r>
        <w:t xml:space="preserve"> </w:t>
      </w:r>
      <w:r>
        <w:t xml:space="preserve">and the NCO–CRISP hybrid); full pairwise figures and the</w:t>
      </w:r>
      <w:r>
        <w:t xml:space="preserve"> </w:t>
      </w:r>
      <w:r>
        <w:t xml:space="preserve">multiple-testing correction are deferred to</w:t>
      </w:r>
      <w:r>
        <w:t xml:space="preserve"> </w:t>
      </w:r>
      <w:r>
        <w:t xml:space="preserve">§</w:t>
      </w:r>
      <w:hyperlink w:anchor="sec:results-inference">
        <w:r>
          <w:rPr>
            <w:rStyle w:val="Hyperlink"/>
          </w:rPr>
          <w:t xml:space="preserve">6.2</w:t>
        </w:r>
      </w:hyperlink>
      <w:r>
        <w:t xml:space="preserve">. The HRP_PartialCorr update</w:t>
      </w:r>
      <w:r>
        <w:t xml:space="preserve"> </w:t>
      </w:r>
      <w:r>
        <w:t xml:space="preserve">(§</w:t>
      </w:r>
      <w:hyperlink w:anchor="sec:methods-cov">
        <w:r>
          <w:rPr>
            <w:rStyle w:val="Hyperlink"/>
          </w:rPr>
          <w:t xml:space="preserve">3.1</w:t>
        </w:r>
      </w:hyperlink>
      <w:r>
        <w:t xml:space="preserve">) makes that strategy distinct from IVP; it was</w:t>
      </w:r>
      <w:r>
        <w:t xml:space="preserve"> </w:t>
      </w:r>
      <w:r>
        <w:t xml:space="preserve">byte-identical to IVP in an earlier draft (Sharpe 0.697), corrected it</w:t>
      </w:r>
      <w:r>
        <w:t xml:space="preserve"> </w:t>
      </w:r>
      <w:r>
        <w:t xml:space="preserve">sits at 0.720.</w:t>
      </w:r>
    </w:p>
    <w:bookmarkStart w:id="61" w:name="fig:cum_b"/>
    <w:p>
      <w:pPr>
        <w:pStyle w:val="CaptionedFigure"/>
      </w:pPr>
      <w:r>
        <w:drawing>
          <wp:inline>
            <wp:extent cx="5067300" cy="2510405"/>
            <wp:effectExtent b="0" l="0" r="0" t="0"/>
            <wp:docPr descr="" title="" id="59" name="Picture"/>
            <a:graphic>
              <a:graphicData uri="http://schemas.openxmlformats.org/drawingml/2006/picture">
                <pic:pic>
                  <pic:nvPicPr>
                    <pic:cNvPr descr="../figures/rebalance_cumulative_returns.png" id="60" name="Picture"/>
                    <pic:cNvPicPr>
                      <a:picLocks noChangeArrowheads="1" noChangeAspect="1"/>
                    </pic:cNvPicPr>
                  </pic:nvPicPr>
                  <pic:blipFill>
                    <a:blip r:embed="rId58"/>
                    <a:stretch>
                      <a:fillRect/>
                    </a:stretch>
                  </pic:blipFill>
                  <pic:spPr bwMode="auto">
                    <a:xfrm>
                      <a:off x="0" y="0"/>
                      <a:ext cx="5067300" cy="2510405"/>
                    </a:xfrm>
                    <a:prstGeom prst="rect">
                      <a:avLst/>
                    </a:prstGeom>
                    <a:noFill/>
                    <a:ln w="9525">
                      <a:noFill/>
                      <a:headEnd/>
                      <a:tailEnd/>
                    </a:ln>
                  </pic:spPr>
                </pic:pic>
              </a:graphicData>
            </a:graphic>
          </wp:inline>
        </w:drawing>
      </w:r>
    </w:p>
    <w:p>
      <w:pPr>
        <w:pStyle w:val="ImageCaption"/>
      </w:pPr>
      <w:r>
        <w:t xml:space="preserve">Cumulative returns for headline strategies under monthly</w:t>
      </w:r>
      <w:r>
        <w:t xml:space="preserve"> </w:t>
      </w:r>
      <w:r>
        <w:t xml:space="preserve">rebalancing, log scale.</w:t>
      </w:r>
    </w:p>
    <w:bookmarkEnd w:id="61"/>
    <w:bookmarkStart w:id="65" w:name="fig:risk_return"/>
    <w:p>
      <w:pPr>
        <w:pStyle w:val="CaptionedFigure"/>
      </w:pPr>
      <w:r>
        <w:drawing>
          <wp:inline>
            <wp:extent cx="5067300" cy="3292358"/>
            <wp:effectExtent b="0" l="0" r="0" t="0"/>
            <wp:docPr descr="" title="" id="63" name="Picture"/>
            <a:graphic>
              <a:graphicData uri="http://schemas.openxmlformats.org/drawingml/2006/picture">
                <pic:pic>
                  <pic:nvPicPr>
                    <pic:cNvPr descr="../figures/risk_return_scatter.png" id="64" name="Picture"/>
                    <pic:cNvPicPr>
                      <a:picLocks noChangeArrowheads="1" noChangeAspect="1"/>
                    </pic:cNvPicPr>
                  </pic:nvPicPr>
                  <pic:blipFill>
                    <a:blip r:embed="rId62"/>
                    <a:stretch>
                      <a:fillRect/>
                    </a:stretch>
                  </pic:blipFill>
                  <pic:spPr bwMode="auto">
                    <a:xfrm>
                      <a:off x="0" y="0"/>
                      <a:ext cx="5067300" cy="3292358"/>
                    </a:xfrm>
                    <a:prstGeom prst="rect">
                      <a:avLst/>
                    </a:prstGeom>
                    <a:noFill/>
                    <a:ln w="9525">
                      <a:noFill/>
                      <a:headEnd/>
                      <a:tailEnd/>
                    </a:ln>
                  </pic:spPr>
                </pic:pic>
              </a:graphicData>
            </a:graphic>
          </wp:inline>
        </w:drawing>
      </w:r>
    </w:p>
    <w:p>
      <w:pPr>
        <w:pStyle w:val="ImageCaption"/>
      </w:pPr>
      <w:r>
        <w:t xml:space="preserve">Risk-return scatter for the full 27-strategy comparison.</w:t>
      </w:r>
      <w:r>
        <w:t xml:space="preserve"> </w:t>
      </w:r>
      <w:r>
        <w:t xml:space="preserve">Momentum (orange) underperforms risk-based (blue) and concentrated</w:t>
      </w:r>
      <w:r>
        <w:t xml:space="preserve"> </w:t>
      </w:r>
      <w:r>
        <w:t xml:space="preserve">benchmarks (red) over this window.</w:t>
      </w:r>
    </w:p>
    <w:bookmarkEnd w:id="65"/>
    <w:bookmarkEnd w:id="66"/>
    <w:bookmarkStart w:id="67" w:name="the-hrp-family-bunches."/>
    <w:p>
      <w:pPr>
        <w:pStyle w:val="Heading4"/>
      </w:pPr>
      <w:r>
        <w:t xml:space="preserve">The HRP family bunches.</w:t>
      </w:r>
    </w:p>
    <w:p>
      <w:pPr>
        <w:pStyle w:val="FirstParagraph"/>
      </w:pPr>
      <w:r>
        <w:t xml:space="preserve">All thirteen HRP-family variants lie</w:t>
      </w:r>
      <w:r>
        <w:t xml:space="preserve"> </w:t>
      </w:r>
      <w:r>
        <w:t xml:space="preserve">within a 0.05 Sharpe band (0.701–0.749). HRP_Dynamic_94 and</w:t>
      </w:r>
      <w:r>
        <w:t xml:space="preserve"> </w:t>
      </w:r>
      <w:r>
        <w:t xml:space="preserve">HRP_ShrunkCov marginally exceed baseline HRP (by</w:t>
      </w:r>
      <w:r>
        <w:t xml:space="preserve"> </w:t>
      </w:r>
      <m:oMath>
        <m:r>
          <m:rPr>
            <m:sty m:val="p"/>
          </m:rPr>
          <m:t>+</m:t>
        </m:r>
        <m:r>
          <m:t>0.008</m:t>
        </m:r>
      </m:oMath>
      <w:r>
        <w:t xml:space="preserve"> </w:t>
      </w:r>
      <w:r>
        <w:t xml:space="preserve">and</w:t>
      </w:r>
      <w:r>
        <w:t xml:space="preserve"> </w:t>
      </w:r>
      <m:oMath>
        <m:r>
          <m:rPr>
            <m:sty m:val="p"/>
          </m:rPr>
          <m:t>+</m:t>
        </m:r>
        <m:r>
          <m:t>0.004</m:t>
        </m:r>
      </m:oMath>
      <w:r>
        <w:t xml:space="preserve"> </w:t>
      </w:r>
      <w:r>
        <w:t xml:space="preserve">Sharpe respectively); the differences are small and, per</w:t>
      </w:r>
      <w:r>
        <w:t xml:space="preserve"> </w:t>
      </w:r>
      <w:r>
        <w:t xml:space="preserve">§</w:t>
      </w:r>
      <w:hyperlink w:anchor="sec:results-inference">
        <w:r>
          <w:rPr>
            <w:rStyle w:val="Hyperlink"/>
          </w:rPr>
          <w:t xml:space="preserve">6.2</w:t>
        </w:r>
      </w:hyperlink>
      <w:r>
        <w:t xml:space="preserve">, not statistically significant. No</w:t>
      </w:r>
      <w:r>
        <w:t xml:space="preserve"> </w:t>
      </w:r>
      <w:r>
        <w:t xml:space="preserve">correlation estimator, distance function, linkage or embedding moves a</w:t>
      </w:r>
      <w:r>
        <w:t xml:space="preserve"> </w:t>
      </w:r>
      <w:r>
        <w:t xml:space="preserve">variant out of this band.</w:t>
      </w:r>
    </w:p>
    <w:bookmarkEnd w:id="67"/>
    <w:bookmarkStart w:id="68" w:name="Xa79d7d83e98d44bcf8b12f3d6db229cd5308bb6"/>
    <w:p>
      <w:pPr>
        <w:pStyle w:val="Heading4"/>
      </w:pPr>
      <w:r>
        <w:t xml:space="preserve">The allocation step: NCO, CRISP and the NCO–CRISP hybrid.</w:t>
      </w:r>
    </w:p>
    <w:p>
      <w:pPr>
        <w:pStyle w:val="FirstParagraph"/>
      </w:pPr>
      <w:r>
        <w:t xml:space="preserve">The strategies that change the</w:t>
      </w:r>
      <w:r>
        <w:t xml:space="preserve"> </w:t>
      </w:r>
      <w:r>
        <w:rPr>
          <w:i/>
          <w:iCs/>
        </w:rPr>
        <w:t xml:space="preserve">allocation</w:t>
      </w:r>
      <w:r>
        <w:t xml:space="preserve"> </w:t>
      </w:r>
      <w:r>
        <w:t xml:space="preserve">step, rather than the</w:t>
      </w:r>
      <w:r>
        <w:t xml:space="preserve"> </w:t>
      </w:r>
      <w:r>
        <w:t xml:space="preserve">dendrogram, separate from the HRP family. HERC (0.712) is the</w:t>
      </w:r>
      <w:r>
        <w:t xml:space="preserve"> </w:t>
      </w:r>
      <w:r>
        <w:t xml:space="preserve">exception: it keeps an inverse-variance allocation and stays inside the</w:t>
      </w:r>
      <w:r>
        <w:t xml:space="preserve"> </w:t>
      </w:r>
      <w:r>
        <w:t xml:space="preserve">HRP band. The rest move. NCO, nested minimum variance within and</w:t>
      </w:r>
      <w:r>
        <w:t xml:space="preserve"> </w:t>
      </w:r>
      <w:r>
        <w:t xml:space="preserve">across clusters, reaches Sharpe 0.933; CRISP, a non-hierarchical</w:t>
      </w:r>
      <w:r>
        <w:t xml:space="preserve"> </w:t>
      </w:r>
      <w:r>
        <w:t xml:space="preserve">correlation-shrinkage solve (§</w:t>
      </w:r>
      <w:hyperlink w:anchor="sec:methods-comparators">
        <w:r>
          <w:rPr>
            <w:rStyle w:val="Hyperlink"/>
          </w:rPr>
          <w:t xml:space="preserve">3.3</w:t>
        </w:r>
      </w:hyperlink>
      <w:r>
        <w:t xml:space="preserve">), reaches</w:t>
      </w:r>
      <w:r>
        <w:t xml:space="preserve"> </w:t>
      </w:r>
      <w:r>
        <w:t xml:space="preserve">0.989; and the NCO–CRISP hybrid 0.977, with CRISP and the hybrid the</w:t>
      </w:r>
      <w:r>
        <w:t xml:space="preserve"> </w:t>
      </w:r>
      <w:r>
        <w:t xml:space="preserve">only strategies that beat HRP at the pairwise level</w:t>
      </w:r>
      <w:r>
        <w:t xml:space="preserve"> </w:t>
      </w:r>
      <w:r>
        <w:t xml:space="preserve">(§</w:t>
      </w:r>
      <w:hyperlink w:anchor="sec:results-inference">
        <w:r>
          <w:rPr>
            <w:rStyle w:val="Hyperlink"/>
          </w:rPr>
          <w:t xml:space="preserve">6.2</w:t>
        </w:r>
      </w:hyperlink>
      <w:r>
        <w:t xml:space="preserve">). All three concentrate toward</w:t>
      </w:r>
      <w:r>
        <w:t xml:space="preserve"> </w:t>
      </w:r>
      <w:r>
        <w:t xml:space="preserve">low-volatility assets (effective</w:t>
      </w:r>
      <w:r>
        <w:t xml:space="preserve"> </w:t>
      </w:r>
      <m:oMath>
        <m:r>
          <m:t>N</m:t>
        </m:r>
      </m:oMath>
      <w:r>
        <w:t xml:space="preserve"> </w:t>
      </w:r>
      <w:r>
        <w:t xml:space="preserve">of 5–9 against HRP’s</w:t>
      </w:r>
      <w:r>
        <w:t xml:space="preserve"> </w:t>
      </w:r>
      <m:oMath>
        <m:r>
          <m:rPr>
            <m:sty m:val="p"/>
          </m:rPr>
          <m:t>≈</m:t>
        </m:r>
        <m:r>
          <m:t>30</m:t>
        </m:r>
      </m:oMath>
      <w:r>
        <w:t xml:space="preserve">), tilting into BTC in a BTC-led market; they are denoised,</w:t>
      </w:r>
      <w:r>
        <w:t xml:space="preserve"> </w:t>
      </w:r>
      <w:r>
        <w:t xml:space="preserve">less-extreme cousins of MVP. The return-tilted NCO is the cautionary</w:t>
      </w:r>
      <w:r>
        <w:t xml:space="preserve"> </w:t>
      </w:r>
      <w:r>
        <w:t xml:space="preserve">opposite: momentum-driven maximum-Sharpe steps make it a</w:t>
      </w:r>
      <w:r>
        <w:t xml:space="preserve"> </w:t>
      </w:r>
      <w:r>
        <w:t xml:space="preserve">164%-turnover momentum-chaser that loses 97% of capital, an</w:t>
      </w:r>
      <w:r>
        <w:t xml:space="preserve"> </w:t>
      </w:r>
      <w:r>
        <w:t xml:space="preserve">illustration of the estimation-error amplification that risk-based</w:t>
      </w:r>
      <w:r>
        <w:t xml:space="preserve"> </w:t>
      </w:r>
      <w:r>
        <w:t xml:space="preserve">allocation is designed to avoid. The hybrid is itself informative: it lands</w:t>
      </w:r>
      <w:r>
        <w:t xml:space="preserve"> </w:t>
      </w:r>
      <w:r>
        <w:rPr>
          <w:i/>
          <w:iCs/>
        </w:rPr>
        <w:t xml:space="preserve">between</w:t>
      </w:r>
      <w:r>
        <w:t xml:space="preserve"> </w:t>
      </w:r>
      <w:r>
        <w:t xml:space="preserve">its two parents (NCO 0.933, CRISP 0.989), so</w:t>
      </w:r>
      <w:r>
        <w:t xml:space="preserve"> </w:t>
      </w:r>
      <w:r>
        <w:t xml:space="preserve">the correlation-shrinkage solve and the hierarchical nesting do not</w:t>
      </w:r>
      <w:r>
        <w:t xml:space="preserve"> </w:t>
      </w:r>
      <w:r>
        <w:t xml:space="preserve">stack: the shrinkage carries the edge, and the nesting adds nothing</w:t>
      </w:r>
      <w:r>
        <w:t xml:space="preserve"> </w:t>
      </w:r>
      <w:r>
        <w:t xml:space="preserve">measurable on top of it. Changing the clustering step produced no</w:t>
      </w:r>
      <w:r>
        <w:t xml:space="preserve"> </w:t>
      </w:r>
      <w:r>
        <w:t xml:space="preserve">detectable outperformance over baseline HRP; changing the allocation</w:t>
      </w:r>
      <w:r>
        <w:t xml:space="preserve"> </w:t>
      </w:r>
      <w:r>
        <w:t xml:space="preserve">step moved performance materially, in both directions.</w:t>
      </w:r>
    </w:p>
    <w:bookmarkEnd w:id="68"/>
    <w:bookmarkStart w:id="69" w:name="signal-aware-extensions-to-nco-and-hrp."/>
    <w:p>
      <w:pPr>
        <w:pStyle w:val="Heading4"/>
      </w:pPr>
      <w:r>
        <w:t xml:space="preserve">Signal-aware extensions to NCO and HRP.</w:t>
      </w:r>
    </w:p>
    <w:p>
      <w:pPr>
        <w:pStyle w:val="FirstParagraph"/>
      </w:pPr>
      <w:r>
        <w:t xml:space="preserve">The two</w:t>
      </w:r>
      <w:r>
        <w:t xml:space="preserve"> </w:t>
      </w:r>
      <w:r>
        <w:t xml:space="preserve">signal-aware additions further localise the NCO_RT failure. NCOML,</w:t>
      </w:r>
      <w:r>
        <w:t xml:space="preserve"> </w:t>
      </w:r>
      <w:r>
        <w:t xml:space="preserve">which keeps NCO’s nesting but replaces the sample-mean tilt by the</w:t>
      </w:r>
      <w:r>
        <w:t xml:space="preserve"> </w:t>
      </w:r>
      <w:r>
        <w:t xml:space="preserve">walk-forward XGBoost forecast of §</w:t>
      </w:r>
      <w:hyperlink w:anchor="sec:methods-comparators">
        <w:r>
          <w:rPr>
            <w:rStyle w:val="Hyperlink"/>
          </w:rPr>
          <w:t xml:space="preserve">3.3</w:t>
        </w:r>
      </w:hyperlink>
      <w:r>
        <w:t xml:space="preserve">,</w:t>
      </w:r>
      <w:r>
        <w:t xml:space="preserve"> </w:t>
      </w:r>
      <w:r>
        <w:t xml:space="preserve">reaches Sharpe</w:t>
      </w:r>
      <w:r>
        <w:t xml:space="preserve"> </w:t>
      </w:r>
      <m:oMath>
        <m:r>
          <m:t>0.804</m:t>
        </m:r>
      </m:oMath>
      <w:r>
        <w:t xml:space="preserve">: it sidesteps the collapse and edges above</w:t>
      </w:r>
      <w:r>
        <w:t xml:space="preserve"> </w:t>
      </w:r>
      <w:r>
        <w:t xml:space="preserve">baseline HRP, but lands below pure (signal-blind) NCO, so the learned</w:t>
      </w:r>
      <w:r>
        <w:t xml:space="preserve"> </w:t>
      </w:r>
      <w:r>
        <w:t xml:space="preserve">signal does not add value over NCO’s risk-only allocation.</w:t>
      </w:r>
      <w:r>
        <w:t xml:space="preserve"> </w:t>
      </w:r>
      <w:r>
        <w:t xml:space="preserve">HRP-</w:t>
      </w:r>
      <m:oMath>
        <m:r>
          <m:rPr>
            <m:sty m:val="p"/>
          </m:rPr>
          <m:t>Σ</m:t>
        </m:r>
        <m:r>
          <m:t>μ</m:t>
        </m:r>
      </m:oMath>
      <w:r>
        <w:t xml:space="preserve">, the same forecast fed into Wuebben’s signal-aware</w:t>
      </w:r>
      <w:r>
        <w:t xml:space="preserve"> </w:t>
      </w:r>
      <w:r>
        <w:t xml:space="preserve">hierarchical optimiser, lands at</w:t>
      </w:r>
      <w:r>
        <w:t xml:space="preserve"> </w:t>
      </w:r>
      <m:oMath>
        <m:r>
          <m:t>0.607</m:t>
        </m:r>
      </m:oMath>
      <w:r>
        <w:t xml:space="preserve">, below baseline HRP, a direct</w:t>
      </w:r>
      <w:r>
        <w:t xml:space="preserve"> </w:t>
      </w:r>
      <w:r>
        <w:t xml:space="preserve">demonstration that forcing a return signal into HRP’s clustering hurts</w:t>
      </w:r>
      <w:r>
        <w:t xml:space="preserve"> </w:t>
      </w:r>
      <w:r>
        <w:t xml:space="preserve">in this market, where the dendrogram is robust precisely because it</w:t>
      </w:r>
      <w:r>
        <w:t xml:space="preserve"> </w:t>
      </w:r>
      <w:r>
        <w:t xml:space="preserve">is signal-blind.</w:t>
      </w:r>
    </w:p>
    <w:bookmarkEnd w:id="69"/>
    <w:bookmarkStart w:id="70" w:name="embedding-variants."/>
    <w:p>
      <w:pPr>
        <w:pStyle w:val="Heading4"/>
      </w:pPr>
      <w:r>
        <w:t xml:space="preserve">Embedding variants.</w:t>
      </w:r>
    </w:p>
    <w:p>
      <w:pPr>
        <w:pStyle w:val="FirstParagraph"/>
      </w:pPr>
      <w:r>
        <w:t xml:space="preserve">The four embedding-based HRP variants</w:t>
      </w:r>
      <w:r>
        <w:t xml:space="preserve"> </w:t>
      </w:r>
      <w:r>
        <w:t xml:space="preserve">are</w:t>
      </w:r>
      <w:r>
        <w:t xml:space="preserve"> </w:t>
      </w:r>
      <w:r>
        <w:rPr>
          <w:rStyle w:val="VerbatimChar"/>
        </w:rPr>
        <w:t xml:space="preserve">HRP_PathSig</w:t>
      </w:r>
      <w:r>
        <w:t xml:space="preserve"> </w:t>
      </w:r>
      <w:r>
        <w:t xml:space="preserve">(path signatures;</w:t>
      </w:r>
      <w:r>
        <w:t xml:space="preserve"> </w:t>
      </w:r>
      <w:r>
        <w:t xml:space="preserve">(Lyons 1998)</w:t>
      </w:r>
      <w:r>
        <w:t xml:space="preserve">),</w:t>
      </w:r>
      <w:r>
        <w:t xml:space="preserve"> </w:t>
      </w:r>
      <w:r>
        <w:rPr>
          <w:rStyle w:val="VerbatimChar"/>
        </w:rPr>
        <w:t xml:space="preserve">HRP_NodeEmbed</w:t>
      </w:r>
      <w:r>
        <w:t xml:space="preserve"> </w:t>
      </w:r>
      <w:r>
        <w:t xml:space="preserve">(node2vec on a kNN correlation graph;</w:t>
      </w:r>
      <w:r>
        <w:t xml:space="preserve"> </w:t>
      </w:r>
      <w:r>
        <w:t xml:space="preserve">(Grover and Leskovec 2016)</w:t>
      </w:r>
      <w:r>
        <w:t xml:space="preserve">),</w:t>
      </w:r>
      <w:r>
        <w:t xml:space="preserve"> </w:t>
      </w:r>
      <w:r>
        <w:rPr>
          <w:rStyle w:val="VerbatimChar"/>
        </w:rPr>
        <w:t xml:space="preserve">HRP_Contrastive</w:t>
      </w:r>
      <w:r>
        <w:t xml:space="preserve"> </w:t>
      </w:r>
      <w:r>
        <w:t xml:space="preserve">(NT-Xent contrastive</w:t>
      </w:r>
      <w:r>
        <w:t xml:space="preserve"> </w:t>
      </w:r>
      <w:r>
        <w:t xml:space="preserve">SSL;</w:t>
      </w:r>
      <w:r>
        <w:t xml:space="preserve"> </w:t>
      </w:r>
      <w:r>
        <w:t xml:space="preserve">(Chen et al. 2020)</w:t>
      </w:r>
      <w:r>
        <w:t xml:space="preserve">), and</w:t>
      </w:r>
      <w:r>
        <w:t xml:space="preserve"> </w:t>
      </w:r>
      <w:r>
        <w:rPr>
          <w:rStyle w:val="VerbatimChar"/>
        </w:rPr>
        <w:t xml:space="preserve">HRP_TS2Vec</w:t>
      </w:r>
      <w:r>
        <w:t xml:space="preserve"> </w:t>
      </w:r>
      <w:r>
        <w:t xml:space="preserve">(timestamp-mask</w:t>
      </w:r>
      <w:r>
        <w:t xml:space="preserve"> </w:t>
      </w:r>
      <w:r>
        <w:t xml:space="preserve">augmentation;</w:t>
      </w:r>
      <w:r>
        <w:t xml:space="preserve"> </w:t>
      </w:r>
      <w:r>
        <w:t xml:space="preserve">(Yue et al. 2022)</w:t>
      </w:r>
      <w:r>
        <w:t xml:space="preserve">). They rank in the middle of the HRP</w:t>
      </w:r>
      <w:r>
        <w:t xml:space="preserve"> </w:t>
      </w:r>
      <w:r>
        <w:t xml:space="preserve">family, with Sharpes</w:t>
      </w:r>
      <w:r>
        <w:t xml:space="preserve"> </w:t>
      </w:r>
      <m:oMath>
        <m:r>
          <m:t>0.692</m:t>
        </m:r>
      </m:oMath>
      <w:r>
        <w:t xml:space="preserve">–</w:t>
      </w:r>
      <m:oMath>
        <m:r>
          <m:t>0.714</m:t>
        </m:r>
      </m:oMath>
      <w:r>
        <w:t xml:space="preserve">, all below baseline HRP. Three of</w:t>
      </w:r>
      <w:r>
        <w:t xml:space="preserve"> </w:t>
      </w:r>
      <w:r>
        <w:t xml:space="preserve">the four are not statistically different from baseline HRP at</w:t>
      </w:r>
      <w:r>
        <w:t xml:space="preserve"> </w:t>
      </w:r>
      <w:r>
        <w:t xml:space="preserve">conventional levels (Ledoit–Wolf</w:t>
      </w:r>
      <w:r>
        <w:t xml:space="preserve"> </w:t>
      </w:r>
      <m:oMath>
        <m:r>
          <m:t>p</m:t>
        </m:r>
        <m:r>
          <m:rPr>
            <m:sty m:val="p"/>
          </m:rPr>
          <m:t>&gt;</m:t>
        </m:r>
        <m:r>
          <m:t>0.05</m:t>
        </m:r>
      </m:oMath>
      <w:r>
        <w:t xml:space="preserve">), while</w:t>
      </w:r>
      <w:r>
        <w:t xml:space="preserve"> </w:t>
      </w:r>
      <w:r>
        <w:rPr>
          <w:rStyle w:val="VerbatimChar"/>
        </w:rPr>
        <w:t xml:space="preserve">HRP_Contrastive</w:t>
      </w:r>
      <w:r>
        <w:t xml:space="preserve"> </w:t>
      </w:r>
      <w:r>
        <w:t xml:space="preserve">is significantly worse than HRP at the</w:t>
      </w:r>
      <w:r>
        <w:t xml:space="preserve"> </w:t>
      </w:r>
      <w:r>
        <w:t xml:space="preserve">pairwise level. None delivers an out-of-sample Sharpe improvement over</w:t>
      </w:r>
      <w:r>
        <w:t xml:space="preserve"> </w:t>
      </w:r>
      <w:r>
        <w:t xml:space="preserve">baseline HRP on this universe and horizon. Section </w:t>
      </w:r>
      <w:hyperlink w:anchor="sec:results-sweeps">
        <w:r>
          <w:rPr>
            <w:rStyle w:val="Hyperlink"/>
          </w:rPr>
          <w:t xml:space="preserve">6.3</w:t>
        </w:r>
      </w:hyperlink>
      <w:r>
        <w:t xml:space="preserve"> </w:t>
      </w:r>
      <w:r>
        <w:t xml:space="preserve">tests the conclusion</w:t>
      </w:r>
      <w:r>
        <w:t xml:space="preserve"> </w:t>
      </w:r>
      <w:r>
        <w:t xml:space="preserve">against an exhaustive hyperparameter search and multi-channel embedding</w:t>
      </w:r>
      <w:r>
        <w:t xml:space="preserve"> </w:t>
      </w:r>
      <w:r>
        <w:t xml:space="preserve">extensions, and it holds.</w:t>
      </w:r>
    </w:p>
    <w:bookmarkEnd w:id="70"/>
    <w:bookmarkStart w:id="71" w:name="X0ada1f21285b826b25099fe69f5b45d6e10bbc2"/>
    <w:p>
      <w:pPr>
        <w:pStyle w:val="Heading4"/>
      </w:pPr>
      <w:r>
        <w:t xml:space="preserve">Denoising, detoning and partial correlation underperform HRP.</w:t>
      </w:r>
    </w:p>
    <w:p>
      <w:pPr>
        <w:pStyle w:val="FirstParagraph"/>
      </w:pPr>
      <w:r>
        <w:t xml:space="preserve">Marchenko–Pastur denoising, spectral detoning (the two MACI 2025</w:t>
      </w:r>
      <w:r>
        <w:t xml:space="preserve"> </w:t>
      </w:r>
      <w:r>
        <w:t xml:space="preserve">future-work items) and precision-matrix partial correlation all aim to</w:t>
      </w:r>
      <w:r>
        <w:t xml:space="preserve"> </w:t>
      </w:r>
      <w:r>
        <w:t xml:space="preserve">clean the correlation matrix, and all three cost a little Sharpe in a</w:t>
      </w:r>
      <w:r>
        <w:t xml:space="preserve"> </w:t>
      </w:r>
      <w:r>
        <w:t xml:space="preserve">BTC-led bull market, where filtering structure means trimming exposure</w:t>
      </w:r>
      <w:r>
        <w:t xml:space="preserve"> </w:t>
      </w:r>
      <w:r>
        <w:t xml:space="preserve">to the asset that ran. The denoising and detoning steps form an</w:t>
      </w:r>
      <w:r>
        <w:t xml:space="preserve"> </w:t>
      </w:r>
      <w:r>
        <w:t xml:space="preserve">ablation: HRP (neither, 0.741), HRP_Denoised (denoising only, 0.712),</w:t>
      </w:r>
      <w:r>
        <w:t xml:space="preserve"> </w:t>
      </w:r>
      <w:r>
        <w:t xml:space="preserve">HRP_Detoned (denoising</w:t>
      </w:r>
      <w:r>
        <w:t xml:space="preserve"> </w:t>
      </w:r>
      <w:r>
        <w:rPr>
          <w:i/>
          <w:iCs/>
        </w:rPr>
        <w:t xml:space="preserve">and</w:t>
      </w:r>
      <w:r>
        <w:t xml:space="preserve"> </w:t>
      </w:r>
      <w:r>
        <w:t xml:space="preserve">market-mode removal, 0.708); each</w:t>
      </w:r>
      <w:r>
        <w:t xml:space="preserve"> </w:t>
      </w:r>
      <w:r>
        <w:t xml:space="preserve">filtering step shaves a little, the denoising step the larger part.</w:t>
      </w:r>
      <w:r>
        <w:t xml:space="preserve"> </w:t>
      </w:r>
      <w:r>
        <w:t xml:space="preserve">HRP_PartialCorr (0.720) lands between them. It is no longer numerically</w:t>
      </w:r>
      <w:r>
        <w:t xml:space="preserve"> </w:t>
      </w:r>
      <w:r>
        <w:t xml:space="preserve">identical to IVP, as an earlier draft’s version was after a</w:t>
      </w:r>
      <w:r>
        <w:t xml:space="preserve"> </w:t>
      </w:r>
      <w:r>
        <w:t xml:space="preserve">parameter-scale bug (§</w:t>
      </w:r>
      <w:hyperlink w:anchor="sec:methods-cov">
        <w:r>
          <w:rPr>
            <w:rStyle w:val="Hyperlink"/>
          </w:rPr>
          <w:t xml:space="preserve">3.1</w:t>
        </w:r>
      </w:hyperlink>
      <w:r>
        <w:t xml:space="preserve">), but detoning and partial</w:t>
      </w:r>
      <w:r>
        <w:t xml:space="preserve"> </w:t>
      </w:r>
      <w:r>
        <w:t xml:space="preserve">correlation remain close in weight-rank space</w:t>
      </w:r>
      <w:r>
        <w:t xml:space="preserve"> </w:t>
      </w:r>
      <w:r>
        <w:t xml:space="preserve">(§</w:t>
      </w:r>
      <w:hyperlink w:anchor="sec:results-convergence">
        <w:r>
          <w:rPr>
            <w:rStyle w:val="Hyperlink"/>
          </w:rPr>
          <w:t xml:space="preserve">6.7</w:t>
        </w:r>
      </w:hyperlink>
      <w:r>
        <w:t xml:space="preserve">).</w:t>
      </w:r>
    </w:p>
    <w:bookmarkEnd w:id="71"/>
    <w:bookmarkStart w:id="72" w:name="momentum-splits."/>
    <w:p>
      <w:pPr>
        <w:pStyle w:val="Heading4"/>
      </w:pPr>
      <w:r>
        <w:t xml:space="preserve">Momentum splits.</w:t>
      </w:r>
    </w:p>
    <w:p>
      <w:pPr>
        <w:pStyle w:val="FirstParagraph"/>
      </w:pPr>
      <w:r>
        <w:t xml:space="preserve">The two pure-momentum strategies,</w:t>
      </w:r>
      <w:r>
        <w:t xml:space="preserve"> </w:t>
      </w:r>
      <w:r>
        <w:t xml:space="preserve">cross-sectional (CS_MOM, Sharpe 0.663) and risk-managed (RM_MOM,</w:t>
      </w:r>
      <w:r>
        <w:t xml:space="preserve"> </w:t>
      </w:r>
      <w:r>
        <w:t xml:space="preserve">0.663), trail every HRP-family variant, carrying high turnover</w:t>
      </w:r>
      <w:r>
        <w:t xml:space="preserve"> </w:t>
      </w:r>
      <w:r>
        <w:t xml:space="preserve">(</w:t>
      </w:r>
      <m:oMath>
        <m:r>
          <m:rPr>
            <m:sty m:val="p"/>
          </m:rPr>
          <m:t>∼</m:t>
        </m:r>
      </m:oMath>
      <w:r>
        <w:t xml:space="preserve">1.4</w:t>
      </w:r>
      <m:oMath>
        <m:r>
          <m:rPr>
            <m:sty m:val="p"/>
          </m:rPr>
          <m:t>×</m:t>
        </m:r>
      </m:oMath>
      <w:r>
        <w:t xml:space="preserve"> </w:t>
      </w:r>
      <w:r>
        <w:t xml:space="preserve">per month for CS_MOM) and severe crash exposure</w:t>
      </w:r>
      <w:r>
        <w:t xml:space="preserve"> </w:t>
      </w:r>
      <w:r>
        <w:t xml:space="preserve">(CS_MOM max drawdown</w:t>
      </w:r>
      <w:r>
        <w:t xml:space="preserve"> </w:t>
      </w:r>
      <m:oMath>
        <m:r>
          <m:rPr>
            <m:sty m:val="p"/>
          </m:rPr>
          <m:t>−</m:t>
        </m:r>
        <m:r>
          <m:t>92</m:t>
        </m:r>
        <m:r>
          <m:rPr>
            <m:sty m:val="p"/>
          </m:rPr>
          <m:t>%</m:t>
        </m:r>
      </m:oMath>
      <w:r>
        <w:t xml:space="preserve">). RM_MOM’s volatility-targeting overlay</w:t>
      </w:r>
      <w:r>
        <w:t xml:space="preserve"> </w:t>
      </w:r>
      <w:r>
        <w:t xml:space="preserve">(Barroso and Santa-Clara 2015)</w:t>
      </w:r>
      <w:r>
        <w:t xml:space="preserve"> </w:t>
      </w:r>
      <w:r>
        <w:t xml:space="preserve">cuts its max drawdown to</w:t>
      </w:r>
      <w:r>
        <w:t xml:space="preserve"> </w:t>
      </w:r>
      <m:oMath>
        <m:r>
          <m:rPr>
            <m:sty m:val="p"/>
          </m:rPr>
          <m:t>−</m:t>
        </m:r>
        <m:r>
          <m:t>40</m:t>
        </m:r>
        <m:r>
          <m:rPr>
            <m:sty m:val="p"/>
          </m:rPr>
          <m:t>%</m:t>
        </m:r>
      </m:oMath>
      <w:r>
        <w:t xml:space="preserve">, the</w:t>
      </w:r>
      <w:r>
        <w:t xml:space="preserve"> </w:t>
      </w:r>
      <w:r>
        <w:t xml:space="preserve">mildest in the table, but at the cost of the lowest total return</w:t>
      </w:r>
      <w:r>
        <w:t xml:space="preserve"> </w:t>
      </w:r>
      <w:r>
        <w:t xml:space="preserve">(</w:t>
      </w:r>
      <m:oMath>
        <m:r>
          <m:rPr>
            <m:sty m:val="p"/>
          </m:rPr>
          <m:t>+</m:t>
        </m:r>
        <m:r>
          <m:t>118</m:t>
        </m:r>
        <m:r>
          <m:rPr>
            <m:sty m:val="p"/>
          </m:rPr>
          <m:t>%</m:t>
        </m:r>
      </m:oMath>
      <w:r>
        <w:t xml:space="preserve">). The Momentum</w:t>
      </w:r>
      <m:oMath>
        <m:r>
          <m:rPr>
            <m:sty m:val="p"/>
          </m:rPr>
          <m:t>+</m:t>
        </m:r>
      </m:oMath>
      <w:r>
        <w:t xml:space="preserve">HRP hybrid (MOM_HRP, 0.726) fares markedly</w:t>
      </w:r>
      <w:r>
        <w:t xml:space="preserve"> </w:t>
      </w:r>
      <w:r>
        <w:t xml:space="preserve">better than either pure-momentum strategy: running HRP allocation</w:t>
      </w:r>
      <w:r>
        <w:t xml:space="preserve"> </w:t>
      </w:r>
      <w:r>
        <w:rPr>
          <w:i/>
          <w:iCs/>
        </w:rPr>
        <w:t xml:space="preserve">inside</w:t>
      </w:r>
      <w:r>
        <w:t xml:space="preserve"> </w:t>
      </w:r>
      <w:r>
        <w:t xml:space="preserve">a momentum-selected basket recovers most of the</w:t>
      </w:r>
      <w:r>
        <w:t xml:space="preserve"> </w:t>
      </w:r>
      <w:r>
        <w:t xml:space="preserve">risk-adjusted performance, though it still trails baseline HRP and</w:t>
      </w:r>
      <w:r>
        <w:t xml:space="preserve"> </w:t>
      </w:r>
      <w:r>
        <w:t xml:space="preserve">reconstructs its entire book every month.</w:t>
      </w:r>
    </w:p>
    <w:bookmarkEnd w:id="72"/>
    <w:bookmarkStart w:id="77" w:name="concentration-wins."/>
    <w:p>
      <w:pPr>
        <w:pStyle w:val="Heading4"/>
      </w:pPr>
      <w:r>
        <w:t xml:space="preserve">Concentration wins.</w:t>
      </w:r>
    </w:p>
    <w:p>
      <w:pPr>
        <w:pStyle w:val="FirstParagraph"/>
      </w:pPr>
      <w:r>
        <w:t xml:space="preserve">The five strategies above baseline HRP,</w:t>
      </w:r>
      <w:r>
        <w:t xml:space="preserve"> </w:t>
      </w:r>
      <w:r>
        <w:t xml:space="preserve">MVP (1.057), CRISP (0.989), NCO_CRISP (0.977), NCO (0.933) and a</w:t>
      </w:r>
      <w:r>
        <w:t xml:space="preserve"> </w:t>
      </w:r>
      <w:r>
        <w:t xml:space="preserve">passive HODL_BTC position (0.868), are all, at bottom, the same bet:</w:t>
      </w:r>
      <w:r>
        <w:t xml:space="preserve"> </w:t>
      </w:r>
      <w:r>
        <w:t xml:space="preserve">concentrate in BTC. MVP does it most aggressively (average maximum</w:t>
      </w:r>
      <w:r>
        <w:t xml:space="preserve"> </w:t>
      </w:r>
      <w:r>
        <w:t xml:space="preserve">weight 50%, effective</w:t>
      </w:r>
      <w:r>
        <w:t xml:space="preserve"> </w:t>
      </w:r>
      <m:oMath>
        <m:r>
          <m:t>N</m:t>
        </m:r>
        <m:r>
          <m:rPr>
            <m:sty m:val="p"/>
          </m:rPr>
          <m:t>≈</m:t>
        </m:r>
        <m:r>
          <m:t>3</m:t>
        </m:r>
      </m:oMath>
      <w:r>
        <w:t xml:space="preserve">); CRISP, NCO_CRISP and NCO do it</w:t>
      </w:r>
      <w:r>
        <w:t xml:space="preserve"> </w:t>
      </w:r>
      <w:r>
        <w:t xml:space="preserve">more mildly through correlation-shrinkage and nested minimum variance</w:t>
      </w:r>
      <w:r>
        <w:t xml:space="preserve"> </w:t>
      </w:r>
      <w:r>
        <w:t xml:space="preserve">(effective</w:t>
      </w:r>
      <w:r>
        <w:t xml:space="preserve"> </w:t>
      </w:r>
      <m:oMath>
        <m:r>
          <m:t>N</m:t>
        </m:r>
      </m:oMath>
      <w:r>
        <w:t xml:space="preserve"> </w:t>
      </w:r>
      <w:r>
        <w:t xml:space="preserve">of 5–9); HODL_BTC by definition. BTC ran from</w:t>
      </w:r>
      <w:r>
        <w:t xml:space="preserve"> </w:t>
      </w:r>
      <m:oMath>
        <m:r>
          <m:rPr>
            <m:sty m:val="p"/>
          </m:rPr>
          <m:t>∼</m:t>
        </m:r>
      </m:oMath>
      <w:r>
        <w:t xml:space="preserve">$7k at the start of 2020 to</w:t>
      </w:r>
      <w:r>
        <w:t xml:space="preserve"> </w:t>
      </w:r>
      <m:oMath>
        <m:r>
          <m:rPr>
            <m:sty m:val="p"/>
          </m:rPr>
          <m:t>∼</m:t>
        </m:r>
      </m:oMath>
      <w:r>
        <w:t xml:space="preserve">$107k by mid-2026, so</w:t>
      </w:r>
      <w:r>
        <w:t xml:space="preserve"> </w:t>
      </w:r>
      <w:r>
        <w:t xml:space="preserve">concentration paid. We do not read this as a portfolio-construction</w:t>
      </w:r>
      <w:r>
        <w:t xml:space="preserve"> </w:t>
      </w:r>
      <w:r>
        <w:t xml:space="preserve">insight: it is a directional view on one asset in one regime. The</w:t>
      </w:r>
      <w:r>
        <w:t xml:space="preserve"> </w:t>
      </w:r>
      <w:r>
        <w:t xml:space="preserve">post-COVID cut (§</w:t>
      </w:r>
      <w:hyperlink w:anchor="sec:results-regime">
        <w:r>
          <w:rPr>
            <w:rStyle w:val="Hyperlink"/>
          </w:rPr>
          <w:t xml:space="preserve">6.4</w:t>
        </w:r>
      </w:hyperlink>
      <w:r>
        <w:t xml:space="preserve">) shows how fragile that is.</w:t>
      </w:r>
    </w:p>
    <w:bookmarkStart w:id="76" w:name="fig:weight_conc"/>
    <w:p>
      <w:pPr>
        <w:pStyle w:val="CaptionedFigure"/>
      </w:pPr>
      <w:r>
        <w:drawing>
          <wp:inline>
            <wp:extent cx="5067300" cy="2508057"/>
            <wp:effectExtent b="0" l="0" r="0" t="0"/>
            <wp:docPr descr="" title="" id="74" name="Picture"/>
            <a:graphic>
              <a:graphicData uri="http://schemas.openxmlformats.org/drawingml/2006/picture">
                <pic:pic>
                  <pic:nvPicPr>
                    <pic:cNvPr descr="../figures/weight_concentration.png" id="75" name="Picture"/>
                    <pic:cNvPicPr>
                      <a:picLocks noChangeArrowheads="1" noChangeAspect="1"/>
                    </pic:cNvPicPr>
                  </pic:nvPicPr>
                  <pic:blipFill>
                    <a:blip r:embed="rId73"/>
                    <a:stretch>
                      <a:fillRect/>
                    </a:stretch>
                  </pic:blipFill>
                  <pic:spPr bwMode="auto">
                    <a:xfrm>
                      <a:off x="0" y="0"/>
                      <a:ext cx="5067300" cy="2508057"/>
                    </a:xfrm>
                    <a:prstGeom prst="rect">
                      <a:avLst/>
                    </a:prstGeom>
                    <a:noFill/>
                    <a:ln w="9525">
                      <a:noFill/>
                      <a:headEnd/>
                      <a:tailEnd/>
                    </a:ln>
                  </pic:spPr>
                </pic:pic>
              </a:graphicData>
            </a:graphic>
          </wp:inline>
        </w:drawing>
      </w:r>
    </w:p>
    <w:p>
      <w:pPr>
        <w:pStyle w:val="ImageCaption"/>
      </w:pPr>
      <w:r>
        <w:t xml:space="preserve">Portfolio composition over time: largest single-asset weight</w:t>
      </w:r>
      <w:r>
        <w:t xml:space="preserve"> </w:t>
      </w:r>
      <w:r>
        <w:t xml:space="preserve">per snapshot (top) and inverse-Herfindahl effective number of assets</w:t>
      </w:r>
      <w:r>
        <w:t xml:space="preserve"> </w:t>
      </w:r>
      <w:r>
        <w:t xml:space="preserve">(bottom) for representative strategies. The HRP family sits at</w:t>
      </w:r>
      <w:r>
        <w:t xml:space="preserve"> </w:t>
      </w:r>
      <w:r>
        <w:t xml:space="preserve">effective</w:t>
      </w:r>
      <w:r>
        <w:t xml:space="preserve"> </w:t>
      </w:r>
      <m:oMath>
        <m:r>
          <m:t>N</m:t>
        </m:r>
        <m:r>
          <m:rPr>
            <m:sty m:val="p"/>
          </m:rPr>
          <m:t>≈</m:t>
        </m:r>
        <m:r>
          <m:t>30</m:t>
        </m:r>
      </m:oMath>
      <w:r>
        <w:t xml:space="preserve"> </w:t>
      </w:r>
      <w:r>
        <w:t xml:space="preserve">throughout; NCO, CRISP and NCO_CRISP at</w:t>
      </w:r>
      <w:r>
        <w:t xml:space="preserve"> </w:t>
      </w:r>
      <m:oMath>
        <m:r>
          <m:t>5</m:t>
        </m:r>
      </m:oMath>
      <w:r>
        <w:t xml:space="preserve">–</w:t>
      </w:r>
      <m:oMath>
        <m:r>
          <m:t>9</m:t>
        </m:r>
      </m:oMath>
      <w:r>
        <w:t xml:space="preserve">; MVP and the return-tilted variants concentrate to</w:t>
      </w:r>
      <w:r>
        <w:t xml:space="preserve"> </w:t>
      </w:r>
      <m:oMath>
        <m:r>
          <m:rPr>
            <m:sty m:val="p"/>
          </m:rPr>
          <m:t>≤</m:t>
        </m:r>
        <m:r>
          <m:t>5</m:t>
        </m:r>
      </m:oMath>
      <w:r>
        <w:t xml:space="preserve"> </w:t>
      </w:r>
      <w:r>
        <w:t xml:space="preserve">with episodic single-asset weights above</w:t>
      </w:r>
      <w:r>
        <w:t xml:space="preserve"> </w:t>
      </w:r>
      <m:oMath>
        <m:r>
          <m:t>50</m:t>
        </m:r>
        <m:r>
          <m:rPr>
            <m:sty m:val="p"/>
          </m:rPr>
          <m:t>%</m:t>
        </m:r>
      </m:oMath>
      <w:r>
        <w:t xml:space="preserve">.</w:t>
      </w:r>
    </w:p>
    <w:bookmarkEnd w:id="76"/>
    <w:bookmarkEnd w:id="77"/>
    <w:bookmarkEnd w:id="78"/>
    <w:bookmarkStart w:id="88" w:name="sec:results-inference"/>
    <w:p>
      <w:pPr>
        <w:pStyle w:val="Heading2"/>
      </w:pPr>
      <w:r>
        <w:t xml:space="preserve">Inference results</w:t>
      </w:r>
    </w:p>
    <w:bookmarkStart w:id="79" w:name="bootstrap-sharpe-cis."/>
    <w:p>
      <w:pPr>
        <w:pStyle w:val="Heading4"/>
      </w:pPr>
      <w:r>
        <w:t xml:space="preserve">Bootstrap Sharpe CIs.</w:t>
      </w:r>
    </w:p>
    <w:p>
      <w:pPr>
        <w:pStyle w:val="FirstParagraph"/>
      </w:pPr>
      <w:r>
        <w:t xml:space="preserve">The 95% stationary-block-bootstrap</w:t>
      </w:r>
      <w:r>
        <w:t xml:space="preserve"> </w:t>
      </w:r>
      <w:r>
        <w:t xml:space="preserve">confidence intervals on the annualised Sharpe are wide, roughly 1.5</w:t>
      </w:r>
      <w:r>
        <w:t xml:space="preserve"> </w:t>
      </w:r>
      <w:r>
        <w:t xml:space="preserve">Sharpe units, reflecting six years of volatile crypto returns. Six</w:t>
      </w:r>
      <w:r>
        <w:t xml:space="preserve"> </w:t>
      </w:r>
      <w:r>
        <w:t xml:space="preserve">strategies have intervals entirely above zero: MVP (</w:t>
      </w:r>
      <m:oMath>
        <m:r>
          <m:rPr>
            <m:sty m:val="p"/>
          </m:rPr>
          <m:t>[</m:t>
        </m:r>
        <m:r>
          <m:t>0.34</m:t>
        </m:r>
        <m:r>
          <m:rPr>
            <m:sty m:val="p"/>
          </m:rPr>
          <m:t>,</m:t>
        </m:r>
        <m:r>
          <m:t>1.76</m:t>
        </m:r>
        <m:r>
          <m:rPr>
            <m:sty m:val="p"/>
          </m:rPr>
          <m:t>]</m:t>
        </m:r>
      </m:oMath>
      <w:r>
        <w:t xml:space="preserve">),</w:t>
      </w:r>
      <w:r>
        <w:t xml:space="preserve"> </w:t>
      </w:r>
      <w:r>
        <w:t xml:space="preserve">NCO_CRISP (</w:t>
      </w:r>
      <m:oMath>
        <m:r>
          <m:rPr>
            <m:sty m:val="p"/>
          </m:rPr>
          <m:t>[</m:t>
        </m:r>
        <m:r>
          <m:t>0.26</m:t>
        </m:r>
        <m:r>
          <m:rPr>
            <m:sty m:val="p"/>
          </m:rPr>
          <m:t>,</m:t>
        </m:r>
        <m:r>
          <m:t>1.76</m:t>
        </m:r>
        <m:r>
          <m:rPr>
            <m:sty m:val="p"/>
          </m:rPr>
          <m:t>]</m:t>
        </m:r>
      </m:oMath>
      <w:r>
        <w:t xml:space="preserve">), CRISP (</w:t>
      </w:r>
      <m:oMath>
        <m:r>
          <m:rPr>
            <m:sty m:val="p"/>
          </m:rPr>
          <m:t>[</m:t>
        </m:r>
        <m:r>
          <m:t>0.23</m:t>
        </m:r>
        <m:r>
          <m:rPr>
            <m:sty m:val="p"/>
          </m:rPr>
          <m:t>,</m:t>
        </m:r>
        <m:r>
          <m:t>1.75</m:t>
        </m:r>
        <m:r>
          <m:rPr>
            <m:sty m:val="p"/>
          </m:rPr>
          <m:t>]</m:t>
        </m:r>
      </m:oMath>
      <w:r>
        <w:t xml:space="preserve">), NCO (</w:t>
      </w:r>
      <m:oMath>
        <m:r>
          <m:rPr>
            <m:sty m:val="p"/>
          </m:rPr>
          <m:t>[</m:t>
        </m:r>
        <m:r>
          <m:t>0.19</m:t>
        </m:r>
        <m:r>
          <m:rPr>
            <m:sty m:val="p"/>
          </m:rPr>
          <m:t>,</m:t>
        </m:r>
        <m:r>
          <m:t>1.64</m:t>
        </m:r>
        <m:r>
          <m:rPr>
            <m:sty m:val="p"/>
          </m:rPr>
          <m:t>]</m:t>
        </m:r>
      </m:oMath>
      <w:r>
        <w:t xml:space="preserve">), the passive HODL_BTC benchmark (</w:t>
      </w:r>
      <m:oMath>
        <m:r>
          <m:rPr>
            <m:sty m:val="p"/>
          </m:rPr>
          <m:t>[</m:t>
        </m:r>
        <m:r>
          <m:t>0.08</m:t>
        </m:r>
        <m:r>
          <m:rPr>
            <m:sty m:val="p"/>
          </m:rPr>
          <m:t>,</m:t>
        </m:r>
        <m:r>
          <m:t>1.63</m:t>
        </m:r>
        <m:r>
          <m:rPr>
            <m:sty m:val="p"/>
          </m:rPr>
          <m:t>]</m:t>
        </m:r>
      </m:oMath>
      <w:r>
        <w:t xml:space="preserve">), and baseline</w:t>
      </w:r>
      <w:r>
        <w:t xml:space="preserve"> </w:t>
      </w:r>
      <w:r>
        <w:t xml:space="preserve">HRP itself, whose interval (</w:t>
      </w:r>
      <m:oMath>
        <m:r>
          <m:rPr>
            <m:sty m:val="p"/>
          </m:rPr>
          <m:t>[</m:t>
        </m:r>
        <m:r>
          <m:t>0.02</m:t>
        </m:r>
        <m:r>
          <m:rPr>
            <m:sty m:val="p"/>
          </m:rPr>
          <m:t>,</m:t>
        </m:r>
        <m:r>
          <m:t>1.53</m:t>
        </m:r>
        <m:r>
          <m:rPr>
            <m:sty m:val="p"/>
          </m:rPr>
          <m:t>]</m:t>
        </m:r>
      </m:oMath>
      <w:r>
        <w:t xml:space="preserve">) only barely clears zero.</w:t>
      </w:r>
      <w:r>
        <w:t xml:space="preserve"> </w:t>
      </w:r>
      <w:r>
        <w:t xml:space="preserve">Every other HRP-family variant’s interval straddles zero, and no two</w:t>
      </w:r>
      <w:r>
        <w:t xml:space="preserve"> </w:t>
      </w:r>
      <w:r>
        <w:t xml:space="preserve">strategies have non-overlapping CIs: the intervals are far too wide to</w:t>
      </w:r>
      <w:r>
        <w:t xml:space="preserve"> </w:t>
      </w:r>
      <w:r>
        <w:t xml:space="preserve">separate any pair.</w:t>
      </w:r>
    </w:p>
    <w:bookmarkEnd w:id="79"/>
    <w:bookmarkStart w:id="80" w:name="pairwise-lw-sharpe-differences-vs.-hrp."/>
    <w:p>
      <w:pPr>
        <w:pStyle w:val="Heading4"/>
      </w:pPr>
      <w:r>
        <w:t xml:space="preserve">Pairwise LW Sharpe differences vs. HRP.</w:t>
      </w:r>
    </w:p>
    <w:p>
      <w:pPr>
        <w:pStyle w:val="FirstParagraph"/>
      </w:pPr>
      <w:r>
        <w:t xml:space="preserve">Under the studentized Ledoit–Wolf test, two strategies beat baseline</w:t>
      </w:r>
      <w:r>
        <w:t xml:space="preserve"> </w:t>
      </w:r>
      <w:r>
        <w:t xml:space="preserve">HRP at</w:t>
      </w:r>
      <w:r>
        <w:t xml:space="preserve"> </w:t>
      </w:r>
      <m:oMath>
        <m:r>
          <m:t>p</m:t>
        </m:r>
        <m:r>
          <m:rPr>
            <m:sty m:val="p"/>
          </m:rPr>
          <m:t>&lt;</m:t>
        </m:r>
        <m:r>
          <m:t>0.05</m:t>
        </m:r>
      </m:oMath>
      <w:r>
        <w:t xml:space="preserve">: CRISP (</w:t>
      </w:r>
      <m:oMath>
        <m:r>
          <m:rPr>
            <m:sty m:val="p"/>
          </m:rPr>
          <m:t>+</m:t>
        </m:r>
        <m:r>
          <m:t>0.247</m:t>
        </m:r>
      </m:oMath>
      <w:r>
        <w:t xml:space="preserve"> </w:t>
      </w:r>
      <w:r>
        <w:t xml:space="preserve">Sharpe,</w:t>
      </w:r>
      <w:r>
        <w:t xml:space="preserve"> </w:t>
      </w:r>
      <m:oMath>
        <m:r>
          <m:t>p</m:t>
        </m:r>
        <m:r>
          <m:rPr>
            <m:sty m:val="p"/>
          </m:rPr>
          <m:t>=</m:t>
        </m:r>
        <m:r>
          <m:t>0.012</m:t>
        </m:r>
      </m:oMath>
      <w:r>
        <w:t xml:space="preserve">) and the NCO–CRISP</w:t>
      </w:r>
      <w:r>
        <w:t xml:space="preserve"> </w:t>
      </w:r>
      <w:r>
        <w:t xml:space="preserve">hybrid (</w:t>
      </w:r>
      <m:oMath>
        <m:r>
          <m:rPr>
            <m:sty m:val="p"/>
          </m:rPr>
          <m:t>+</m:t>
        </m:r>
        <m:r>
          <m:t>0.235</m:t>
        </m:r>
      </m:oMath>
      <w:r>
        <w:t xml:space="preserve">,</w:t>
      </w:r>
      <w:r>
        <w:t xml:space="preserve"> </w:t>
      </w:r>
      <m:oMath>
        <m:r>
          <m:t>p</m:t>
        </m:r>
        <m:r>
          <m:rPr>
            <m:sty m:val="p"/>
          </m:rPr>
          <m:t>=</m:t>
        </m:r>
        <m:r>
          <m:t>0.011</m:t>
        </m:r>
      </m:oMath>
      <w:r>
        <w:t xml:space="preserve">). MVP’s larger raw edge (</w:t>
      </w:r>
      <m:oMath>
        <m:r>
          <m:rPr>
            <m:sty m:val="p"/>
          </m:rPr>
          <m:t>+</m:t>
        </m:r>
        <m:r>
          <m:t>0.314</m:t>
        </m:r>
      </m:oMath>
      <w:r>
        <w:t xml:space="preserve">) falls</w:t>
      </w:r>
      <w:r>
        <w:t xml:space="preserve"> </w:t>
      </w:r>
      <w:r>
        <w:t xml:space="preserve">just short (</w:t>
      </w:r>
      <m:oMath>
        <m:r>
          <m:t>p</m:t>
        </m:r>
        <m:r>
          <m:rPr>
            <m:sty m:val="p"/>
          </m:rPr>
          <m:t>=</m:t>
        </m:r>
        <m:r>
          <m:t>0.059</m:t>
        </m:r>
      </m:oMath>
      <w:r>
        <w:t xml:space="preserve">) because its heavier concentration inflates the</w:t>
      </w:r>
      <w:r>
        <w:t xml:space="preserve"> </w:t>
      </w:r>
      <w:r>
        <w:t xml:space="preserve">variance of the paired Sharpe difference; NCO (</w:t>
      </w:r>
      <m:oMath>
        <m:r>
          <m:rPr>
            <m:sty m:val="p"/>
          </m:rPr>
          <m:t>+</m:t>
        </m:r>
        <m:r>
          <m:t>0.192</m:t>
        </m:r>
      </m:oMath>
      <w:r>
        <w:t xml:space="preserve">,</w:t>
      </w:r>
      <w:r>
        <w:t xml:space="preserve"> </w:t>
      </w:r>
      <m:oMath>
        <m:r>
          <m:t>p</m:t>
        </m:r>
        <m:r>
          <m:rPr>
            <m:sty m:val="p"/>
          </m:rPr>
          <m:t>=</m:t>
        </m:r>
        <m:r>
          <m:t>0.218</m:t>
        </m:r>
      </m:oMath>
      <w:r>
        <w:t xml:space="preserve">) is</w:t>
      </w:r>
      <w:r>
        <w:t xml:space="preserve"> </w:t>
      </w:r>
      <w:r>
        <w:t xml:space="preserve">well short. In the other direction the return-tilted NCO is</w:t>
      </w:r>
      <w:r>
        <w:t xml:space="preserve"> </w:t>
      </w:r>
      <w:r>
        <w:t xml:space="preserve">significantly</w:t>
      </w:r>
      <w:r>
        <w:t xml:space="preserve"> </w:t>
      </w:r>
      <w:r>
        <w:rPr>
          <w:i/>
          <w:iCs/>
        </w:rPr>
        <w:t xml:space="preserve">worse</w:t>
      </w:r>
      <w:r>
        <w:t xml:space="preserve"> </w:t>
      </w:r>
      <w:r>
        <w:t xml:space="preserve">(</w:t>
      </w:r>
      <m:oMath>
        <m:r>
          <m:rPr>
            <m:sty m:val="p"/>
          </m:rPr>
          <m:t>−</m:t>
        </m:r>
        <m:r>
          <m:t>0.74</m:t>
        </m:r>
      </m:oMath>
      <w:r>
        <w:t xml:space="preserve">,</w:t>
      </w:r>
      <w:r>
        <w:t xml:space="preserve"> </w:t>
      </w:r>
      <m:oMath>
        <m:r>
          <m:t>p</m:t>
        </m:r>
        <m:r>
          <m:rPr>
            <m:sty m:val="p"/>
          </m:rPr>
          <m:t>=</m:t>
        </m:r>
        <m:r>
          <m:t>0.009</m:t>
        </m:r>
      </m:oMath>
      <w:r>
        <w:t xml:space="preserve">) and ERC (</w:t>
      </w:r>
      <m:oMath>
        <m:r>
          <m:rPr>
            <m:sty m:val="p"/>
          </m:rPr>
          <m:t>−</m:t>
        </m:r>
        <m:r>
          <m:t>0.078</m:t>
        </m:r>
      </m:oMath>
      <w:r>
        <w:t xml:space="preserve">,</w:t>
      </w:r>
      <w:r>
        <w:t xml:space="preserve"> </w:t>
      </w:r>
      <m:oMath>
        <m:r>
          <m:t>p</m:t>
        </m:r>
        <m:r>
          <m:rPr>
            <m:sty m:val="p"/>
          </m:rPr>
          <m:t>=</m:t>
        </m:r>
        <m:r>
          <m:t>0.051</m:t>
        </m:r>
      </m:oMath>
      <w:r>
        <w:t xml:space="preserve">) sits on the threshold. These are uncorrected pairwise tests;</w:t>
      </w:r>
      <w:r>
        <w:t xml:space="preserve"> </w:t>
      </w:r>
      <w:r>
        <w:t xml:space="preserve">the multiple-testing correction follows.</w:t>
      </w:r>
    </w:p>
    <w:bookmarkEnd w:id="80"/>
    <w:bookmarkStart w:id="85" w:name="hansen-spa."/>
    <w:p>
      <w:pPr>
        <w:pStyle w:val="Heading4"/>
      </w:pPr>
      <w:r>
        <w:t xml:space="preserve">Hansen SPA.</w:t>
      </w:r>
    </w:p>
    <w:p>
      <w:pPr>
        <w:pStyle w:val="FirstParagraph"/>
      </w:pPr>
      <w:r>
        <w:t xml:space="preserve">Across the 27 candidates versus baseline HRP,</w:t>
      </w:r>
      <w:r>
        <w:t xml:space="preserve"> </w:t>
      </w:r>
      <m:oMath>
        <m:sSub>
          <m:e>
            <m:r>
              <m:t>p</m:t>
            </m:r>
          </m:e>
          <m:sub>
            <m:r>
              <m:rPr>
                <m:nor/>
                <m:sty m:val="p"/>
              </m:rPr>
              <m:t>consistent</m:t>
            </m:r>
          </m:sub>
        </m:sSub>
        <m:r>
          <m:rPr>
            <m:sty m:val="p"/>
          </m:rPr>
          <m:t>=</m:t>
        </m:r>
        <m:r>
          <m:t>0.51</m:t>
        </m:r>
      </m:oMath>
      <w:r>
        <w:t xml:space="preserve"> </w:t>
      </w:r>
      <w:r>
        <w:t xml:space="preserve">(</w:t>
      </w:r>
      <m:oMath>
        <m:sSub>
          <m:e>
            <m:r>
              <m:t>p</m:t>
            </m:r>
          </m:e>
          <m:sub>
            <m:r>
              <m:rPr>
                <m:nor/>
                <m:sty m:val="p"/>
              </m:rPr>
              <m:t>lower</m:t>
            </m:r>
          </m:sub>
        </m:sSub>
        <m:r>
          <m:rPr>
            <m:sty m:val="p"/>
          </m:rPr>
          <m:t>=</m:t>
        </m:r>
        <m:r>
          <m:t>0.40</m:t>
        </m:r>
      </m:oMath>
      <w:r>
        <w:t xml:space="preserve">,</w:t>
      </w:r>
      <w:r>
        <w:t xml:space="preserve"> </w:t>
      </w:r>
      <m:oMath>
        <m:sSub>
          <m:e>
            <m:r>
              <m:t>p</m:t>
            </m:r>
          </m:e>
          <m:sub>
            <m:r>
              <m:rPr>
                <m:nor/>
                <m:sty m:val="p"/>
              </m:rPr>
              <m:t>upper</m:t>
            </m:r>
          </m:sub>
        </m:sSub>
        <m:r>
          <m:rPr>
            <m:sty m:val="p"/>
          </m:rPr>
          <m:t>=</m:t>
        </m:r>
        <m:r>
          <m:t>0.62</m:t>
        </m:r>
      </m:oMath>
      <w:r>
        <w:t xml:space="preserve">; Figure </w:t>
      </w:r>
      <w:hyperlink w:anchor="fig:spa">
        <w:r>
          <w:rPr>
            <w:rStyle w:val="Hyperlink"/>
          </w:rPr>
          <w:t xml:space="preserve">5</w:t>
        </w:r>
      </w:hyperlink>
      <w:r>
        <w:t xml:space="preserve">), computed with the</w:t>
      </w:r>
      <w:r>
        <w:t xml:space="preserve"> </w:t>
      </w:r>
      <w:r>
        <w:t xml:space="preserve">reference</w:t>
      </w:r>
      <w:r>
        <w:t xml:space="preserve"> </w:t>
      </w:r>
      <w:r>
        <w:rPr>
          <w:rStyle w:val="VerbatimChar"/>
        </w:rPr>
        <w:t xml:space="preserve">arch</w:t>
      </w:r>
      <w:r>
        <w:t xml:space="preserve"> </w:t>
      </w:r>
      <w:r>
        <w:t xml:space="preserve">implementation.</w:t>
      </w:r>
      <w:r>
        <w:t xml:space="preserve"> </w:t>
      </w:r>
      <w:r>
        <w:rPr>
          <w:b/>
          <w:bCs/>
        </w:rPr>
        <w:t xml:space="preserve">We cannot reject the</w:t>
      </w:r>
      <w:r>
        <w:rPr>
          <w:b/>
          <w:bCs/>
        </w:rPr>
        <w:t xml:space="preserve"> </w:t>
      </w:r>
      <w:r>
        <w:rPr>
          <w:b/>
          <w:bCs/>
        </w:rPr>
        <w:t xml:space="preserve">null that no strategy outperforms baseline HRP after correcting for the</w:t>
      </w:r>
      <w:r>
        <w:rPr>
          <w:b/>
          <w:bCs/>
        </w:rPr>
        <w:t xml:space="preserve"> </w:t>
      </w:r>
      <w:r>
        <w:rPr>
          <w:b/>
          <w:bCs/>
        </w:rPr>
        <w:t xml:space="preserve">multiple testing of 27 candidates</w:t>
      </w:r>
      <w:r>
        <w:t xml:space="preserve">, and this is the decisive test:</w:t>
      </w:r>
      <w:r>
        <w:t xml:space="preserve"> </w:t>
      </w:r>
      <w:r>
        <w:t xml:space="preserve">the SPA is exactly the correction the pairwise LW results lack.</w:t>
      </w:r>
      <w:r>
        <w:t xml:space="preserve"> </w:t>
      </w:r>
      <w:r>
        <w:t xml:space="preserve">NCO_CRISP carries the highest studentised score (</w:t>
      </w:r>
      <m:oMath>
        <m:r>
          <m:rPr>
            <m:sty m:val="p"/>
          </m:rPr>
          <m:t>+</m:t>
        </m:r>
        <m:r>
          <m:t>1.64</m:t>
        </m:r>
      </m:oMath>
      <w:r>
        <w:t xml:space="preserve">), CRISP the</w:t>
      </w:r>
      <w:r>
        <w:t xml:space="preserve"> </w:t>
      </w:r>
      <w:r>
        <w:t xml:space="preserve">second (</w:t>
      </w:r>
      <m:oMath>
        <m:r>
          <m:rPr>
            <m:sty m:val="p"/>
          </m:rPr>
          <m:t>+</m:t>
        </m:r>
        <m:r>
          <m:t>1.32</m:t>
        </m:r>
      </m:oMath>
      <w:r>
        <w:t xml:space="preserve">), then MVP (</w:t>
      </w:r>
      <m:oMath>
        <m:r>
          <m:rPr>
            <m:sty m:val="p"/>
          </m:rPr>
          <m:t>+</m:t>
        </m:r>
        <m:r>
          <m:t>1.20</m:t>
        </m:r>
      </m:oMath>
      <w:r>
        <w:t xml:space="preserve">); but the bootstrap critical value,</w:t>
      </w:r>
      <w:r>
        <w:t xml:space="preserve"> </w:t>
      </w:r>
      <w:r>
        <w:t xml:space="preserve">inflated by the breadth of the search, sits above all of them. CRISP’s</w:t>
      </w:r>
      <w:r>
        <w:t xml:space="preserve"> </w:t>
      </w:r>
      <w:r>
        <w:t xml:space="preserve">and NCO_CRISP’s pairwise significance therefore does not survive the</w:t>
      </w:r>
      <w:r>
        <w:t xml:space="preserve"> </w:t>
      </w:r>
      <w:r>
        <w:t xml:space="preserve">correction for how many strategies were tried.</w:t>
      </w:r>
    </w:p>
    <w:bookmarkStart w:id="84" w:name="fig:spa"/>
    <w:p>
      <w:pPr>
        <w:pStyle w:val="CaptionedFigure"/>
      </w:pPr>
      <w:r>
        <w:drawing>
          <wp:inline>
            <wp:extent cx="4533900" cy="2252803"/>
            <wp:effectExtent b="0" l="0" r="0" t="0"/>
            <wp:docPr descr="" title="" id="82" name="Picture"/>
            <a:graphic>
              <a:graphicData uri="http://schemas.openxmlformats.org/drawingml/2006/picture">
                <pic:pic>
                  <pic:nvPicPr>
                    <pic:cNvPr descr="../figures/spa_pvalues_barplot.png" id="83" name="Picture"/>
                    <pic:cNvPicPr>
                      <a:picLocks noChangeArrowheads="1" noChangeAspect="1"/>
                    </pic:cNvPicPr>
                  </pic:nvPicPr>
                  <pic:blipFill>
                    <a:blip r:embed="rId81"/>
                    <a:stretch>
                      <a:fillRect/>
                    </a:stretch>
                  </pic:blipFill>
                  <pic:spPr bwMode="auto">
                    <a:xfrm>
                      <a:off x="0" y="0"/>
                      <a:ext cx="4533900" cy="2252803"/>
                    </a:xfrm>
                    <a:prstGeom prst="rect">
                      <a:avLst/>
                    </a:prstGeom>
                    <a:noFill/>
                    <a:ln w="9525">
                      <a:noFill/>
                      <a:headEnd/>
                      <a:tailEnd/>
                    </a:ln>
                  </pic:spPr>
                </pic:pic>
              </a:graphicData>
            </a:graphic>
          </wp:inline>
        </w:drawing>
      </w:r>
    </w:p>
    <w:p>
      <w:pPr>
        <w:pStyle w:val="ImageCaption"/>
      </w:pPr>
      <w:r>
        <w:t xml:space="preserve">Hansen SPA test p-values across the headline comparison.</w:t>
      </w:r>
      <w:r>
        <w:t xml:space="preserve"> </w:t>
      </w:r>
      <w:r>
        <w:t xml:space="preserve">All three recentering schemes fail to reject the null at any</w:t>
      </w:r>
      <w:r>
        <w:t xml:space="preserve"> </w:t>
      </w:r>
      <w:r>
        <w:t xml:space="preserve">conventional level.</w:t>
      </w:r>
    </w:p>
    <w:bookmarkEnd w:id="84"/>
    <w:bookmarkEnd w:id="85"/>
    <w:bookmarkStart w:id="86" w:name="sec:results-power"/>
    <w:p>
      <w:pPr>
        <w:pStyle w:val="Heading4"/>
      </w:pPr>
      <w:r>
        <w:t xml:space="preserve">Power analysis: what the design could detect.</w:t>
      </w:r>
    </w:p>
    <w:p>
      <w:pPr>
        <w:pStyle w:val="FirstParagraph"/>
      </w:pPr>
      <w:r>
        <w:t xml:space="preserve">A null result is only as strong as the test that produced it. We</w:t>
      </w:r>
      <w:r>
        <w:t xml:space="preserve"> </w:t>
      </w:r>
      <w:r>
        <w:t xml:space="preserve">quantify the design’s power directly: the studentized Sharpe-difference</w:t>
      </w:r>
      <w:r>
        <w:t xml:space="preserve"> </w:t>
      </w:r>
      <w:r>
        <w:t xml:space="preserve">statistic is approximately</w:t>
      </w:r>
      <w:r>
        <w:t xml:space="preserve"> </w:t>
      </w:r>
      <m:oMath>
        <m:r>
          <m:rPr>
            <m:scr m:val="script"/>
            <m:sty m:val="p"/>
          </m:rPr>
          <m:t>N</m:t>
        </m:r>
        <m:r>
          <m:rPr>
            <m:sty m:val="p"/>
          </m:rPr>
          <m:t>(</m:t>
        </m:r>
        <m:r>
          <m:t>d</m:t>
        </m:r>
        <m:r>
          <m:rPr>
            <m:sty m:val="p"/>
          </m:rPr>
          <m:t>/</m:t>
        </m:r>
        <m:r>
          <m:rPr>
            <m:sty m:val="p"/>
          </m:rPr>
          <m:t>S</m:t>
        </m:r>
        <m:r>
          <m:rPr>
            <m:sty m:val="p"/>
          </m:rPr>
          <m:t>E</m:t>
        </m:r>
        <m:r>
          <m:rPr>
            <m:sty m:val="p"/>
          </m:rPr>
          <m:t>,</m:t>
        </m:r>
        <m:r>
          <m:t>1</m:t>
        </m:r>
        <m:r>
          <m:rPr>
            <m:sty m:val="p"/>
          </m:rPr>
          <m:t>)</m:t>
        </m:r>
      </m:oMath>
      <w:r>
        <w:t xml:space="preserve"> </w:t>
      </w:r>
      <w:r>
        <w:t xml:space="preserve">under the</w:t>
      </w:r>
      <w:r>
        <w:t xml:space="preserve"> </w:t>
      </w:r>
      <w:r>
        <w:t xml:space="preserve">alternative, so 80% power at a two-sided 5% level needs</w:t>
      </w:r>
      <w:r>
        <w:t xml:space="preserve"> </w:t>
      </w:r>
      <m:oMath>
        <m:r>
          <m:t>d</m:t>
        </m:r>
        <m:r>
          <m:rPr>
            <m:sty m:val="p"/>
          </m:rPr>
          <m:t>/</m:t>
        </m:r>
        <m:r>
          <m:rPr>
            <m:sty m:val="p"/>
          </m:rPr>
          <m:t>S</m:t>
        </m:r>
        <m:r>
          <m:rPr>
            <m:sty m:val="p"/>
          </m:rPr>
          <m:t>E</m:t>
        </m:r>
        <m:r>
          <m:rPr>
            <m:sty m:val="p"/>
          </m:rPr>
          <m:t>≥</m:t>
        </m:r>
        <m:r>
          <m:t>2.80</m:t>
        </m:r>
      </m:oMath>
      <w:r>
        <w:t xml:space="preserve">; the minimum detectable annualised Sharpe edge</w:t>
      </w:r>
      <w:r>
        <w:t xml:space="preserve"> </w:t>
      </w:r>
      <w:r>
        <w:t xml:space="preserve">is</w:t>
      </w:r>
      <w:r>
        <w:t xml:space="preserve"> </w:t>
      </w:r>
      <m:oMath>
        <m:r>
          <m:t>2.80</m:t>
        </m:r>
        <m:r>
          <m:rPr>
            <m:sty m:val="p"/>
          </m:rPr>
          <m:t>×</m:t>
        </m:r>
        <m:r>
          <m:rPr>
            <m:sty m:val="p"/>
          </m:rPr>
          <m:t>S</m:t>
        </m:r>
        <m:r>
          <m:rPr>
            <m:sty m:val="p"/>
          </m:rPr>
          <m:t>E</m:t>
        </m:r>
      </m:oMath>
      <w:r>
        <w:t xml:space="preserve">, with SE the delta-method HAC standard error</w:t>
      </w:r>
      <w:r>
        <w:t xml:space="preserve"> </w:t>
      </w:r>
      <w:r>
        <w:t xml:space="preserve">of the Sharpe difference. For variants that barely depart from HRP</w:t>
      </w:r>
      <w:r>
        <w:t xml:space="preserve"> </w:t>
      </w:r>
      <w:r>
        <w:t xml:space="preserve">(the HRP family,</w:t>
      </w:r>
      <w:r>
        <w:t xml:space="preserve"> </w:t>
      </w:r>
      <m:oMath>
        <m:r>
          <m:rPr>
            <m:sty m:val="p"/>
          </m:rPr>
          <m:t>∼</m:t>
        </m:r>
      </m:oMath>
      <w:r>
        <w:t xml:space="preserve">0.97-correlated with the baseline) the paired</w:t>
      </w:r>
      <w:r>
        <w:t xml:space="preserve"> </w:t>
      </w:r>
      <w:r>
        <w:t xml:space="preserve">difference is low-variance and the test detects edges as small as</w:t>
      </w:r>
      <w:r>
        <w:t xml:space="preserve"> </w:t>
      </w:r>
      <m:oMath>
        <m:r>
          <m:t>0.04</m:t>
        </m:r>
      </m:oMath>
      <w:r>
        <w:t xml:space="preserve">–</w:t>
      </w:r>
      <m:oMath>
        <m:r>
          <m:t>0.12</m:t>
        </m:r>
      </m:oMath>
      <w:r>
        <w:t xml:space="preserve"> </w:t>
      </w:r>
      <w:r>
        <w:t xml:space="preserve">Sharpe, but those variants have edges of only</w:t>
      </w:r>
      <w:r>
        <w:t xml:space="preserve"> </w:t>
      </w:r>
      <m:oMath>
        <m:r>
          <m:rPr>
            <m:sty m:val="p"/>
          </m:rPr>
          <m:t>±</m:t>
        </m:r>
        <m:r>
          <m:t>0.01</m:t>
        </m:r>
      </m:oMath>
      <w:r>
        <w:t xml:space="preserve"> </w:t>
      </w:r>
      <w:r>
        <w:t xml:space="preserve">to</w:t>
      </w:r>
      <w:r>
        <w:t xml:space="preserve"> </w:t>
      </w:r>
      <m:oMath>
        <m:r>
          <m:rPr>
            <m:sty m:val="p"/>
          </m:rPr>
          <m:t>±</m:t>
        </m:r>
        <m:r>
          <m:t>0.04</m:t>
        </m:r>
      </m:oMath>
      <w:r>
        <w:t xml:space="preserve"> </w:t>
      </w:r>
      <w:r>
        <w:t xml:space="preserve">anyway. For strategies whose</w:t>
      </w:r>
      <w:r>
        <w:t xml:space="preserve"> </w:t>
      </w:r>
      <w:r>
        <w:rPr>
          <w:i/>
          <w:iCs/>
        </w:rPr>
        <w:t xml:space="preserve">allocation</w:t>
      </w:r>
      <w:r>
        <w:t xml:space="preserve"> </w:t>
      </w:r>
      <w:r>
        <w:t xml:space="preserve">departs</w:t>
      </w:r>
      <w:r>
        <w:t xml:space="preserve"> </w:t>
      </w:r>
      <w:r>
        <w:t xml:space="preserve">substantively from HRP the minimum detectable edge is larger, and it</w:t>
      </w:r>
      <w:r>
        <w:t xml:space="preserve"> </w:t>
      </w:r>
      <w:r>
        <w:t xml:space="preserve">scales with how far the strategy departs: the more concentrated the</w:t>
      </w:r>
      <w:r>
        <w:t xml:space="preserve"> </w:t>
      </w:r>
      <w:r>
        <w:t xml:space="preserve">portfolio, the noisier the paired Sharpe difference and the higher the</w:t>
      </w:r>
      <w:r>
        <w:t xml:space="preserve"> </w:t>
      </w:r>
      <w:r>
        <w:t xml:space="preserve">threshold. The heavily-concentrated MVP (</w:t>
      </w:r>
      <m:oMath>
        <m:r>
          <m:t>N</m:t>
        </m:r>
        <m:r>
          <m:rPr>
            <m:sty m:val="p"/>
          </m:rPr>
          <m:t>≈</m:t>
        </m:r>
        <m:r>
          <m:t>3</m:t>
        </m:r>
      </m:oMath>
      <w:r>
        <w:t xml:space="preserve">) needs</w:t>
      </w:r>
      <w:r>
        <w:t xml:space="preserve"> </w:t>
      </w:r>
      <m:oMath>
        <m:r>
          <m:rPr>
            <m:sty m:val="p"/>
          </m:rPr>
          <m:t>≈</m:t>
        </m:r>
        <m:r>
          <m:t>0.47</m:t>
        </m:r>
      </m:oMath>
      <w:r>
        <w:t xml:space="preserve"> </w:t>
      </w:r>
      <w:r>
        <w:t xml:space="preserve">and NCO (</w:t>
      </w:r>
      <m:oMath>
        <m:r>
          <m:t>N</m:t>
        </m:r>
        <m:r>
          <m:rPr>
            <m:sty m:val="p"/>
          </m:rPr>
          <m:t>≈</m:t>
        </m:r>
        <m:r>
          <m:t>5</m:t>
        </m:r>
      </m:oMath>
      <w:r>
        <w:t xml:space="preserve">)</w:t>
      </w:r>
      <w:r>
        <w:t xml:space="preserve"> </w:t>
      </w:r>
      <m:oMath>
        <m:r>
          <m:rPr>
            <m:sty m:val="p"/>
          </m:rPr>
          <m:t>≈</m:t>
        </m:r>
        <m:r>
          <m:t>0.42</m:t>
        </m:r>
      </m:oMath>
      <w:r>
        <w:t xml:space="preserve">, so their observed</w:t>
      </w:r>
      <w:r>
        <w:t xml:space="preserve"> </w:t>
      </w:r>
      <m:oMath>
        <m:r>
          <m:rPr>
            <m:sty m:val="p"/>
          </m:rPr>
          <m:t>+</m:t>
        </m:r>
        <m:r>
          <m:t>0.31</m:t>
        </m:r>
      </m:oMath>
      <w:r>
        <w:t xml:space="preserve"> </w:t>
      </w:r>
      <w:r>
        <w:t xml:space="preserve">and</w:t>
      </w:r>
      <w:r>
        <w:t xml:space="preserve"> </w:t>
      </w:r>
      <m:oMath>
        <m:r>
          <m:rPr>
            <m:sty m:val="p"/>
          </m:rPr>
          <m:t>+</m:t>
        </m:r>
        <m:r>
          <m:t>0.19</m:t>
        </m:r>
      </m:oMath>
      <w:r>
        <w:t xml:space="preserve"> </w:t>
      </w:r>
      <w:r>
        <w:t xml:space="preserve">edges, though economically large, fall short.</w:t>
      </w:r>
      <w:r>
        <w:t xml:space="preserve"> </w:t>
      </w:r>
      <w:r>
        <w:t xml:space="preserve">CRISP and NCO_CRISP, less concentrated (</w:t>
      </w:r>
      <m:oMath>
        <m:r>
          <m:t>N</m:t>
        </m:r>
        <m:r>
          <m:rPr>
            <m:sty m:val="p"/>
          </m:rPr>
          <m:t>≈</m:t>
        </m:r>
        <m:r>
          <m:t>7</m:t>
        </m:r>
      </m:oMath>
      <w:r>
        <w:t xml:space="preserve">–</w:t>
      </w:r>
      <m:oMath>
        <m:r>
          <m:t>9</m:t>
        </m:r>
      </m:oMath>
      <w:r>
        <w:t xml:space="preserve">), carry the</w:t>
      </w:r>
      <w:r>
        <w:t xml:space="preserve"> </w:t>
      </w:r>
      <w:r>
        <w:t xml:space="preserve">lowest thresholds of any structurally-distinct strategy,</w:t>
      </w:r>
      <w:r>
        <w:t xml:space="preserve"> </w:t>
      </w:r>
      <m:oMath>
        <m:r>
          <m:rPr>
            <m:sty m:val="p"/>
          </m:rPr>
          <m:t>≈</m:t>
        </m:r>
        <m:r>
          <m:t>0.27</m:t>
        </m:r>
      </m:oMath>
      <w:r>
        <w:t xml:space="preserve"> </w:t>
      </w:r>
      <w:r>
        <w:t xml:space="preserve">and</w:t>
      </w:r>
      <w:r>
        <w:t xml:space="preserve"> </w:t>
      </w:r>
      <m:oMath>
        <m:r>
          <m:rPr>
            <m:sty m:val="p"/>
          </m:rPr>
          <m:t>≈</m:t>
        </m:r>
        <m:r>
          <m:t>0.26</m:t>
        </m:r>
      </m:oMath>
      <w:r>
        <w:t xml:space="preserve">. Their observed</w:t>
      </w:r>
      <w:r>
        <w:t xml:space="preserve"> </w:t>
      </w:r>
      <m:oMath>
        <m:r>
          <m:rPr>
            <m:sty m:val="p"/>
          </m:rPr>
          <m:t>+</m:t>
        </m:r>
        <m:r>
          <m:t>0.25</m:t>
        </m:r>
      </m:oMath>
      <w:r>
        <w:t xml:space="preserve"> </w:t>
      </w:r>
      <w:r>
        <w:t xml:space="preserve">and</w:t>
      </w:r>
      <w:r>
        <w:t xml:space="preserve"> </w:t>
      </w:r>
      <m:oMath>
        <m:r>
          <m:rPr>
            <m:sty m:val="p"/>
          </m:rPr>
          <m:t>+</m:t>
        </m:r>
        <m:r>
          <m:t>0.24</m:t>
        </m:r>
      </m:oMath>
      <w:r>
        <w:t xml:space="preserve"> </w:t>
      </w:r>
      <w:r>
        <w:t xml:space="preserve">edges sit just</w:t>
      </w:r>
      <w:r>
        <w:t xml:space="preserve"> </w:t>
      </w:r>
      <w:r>
        <w:t xml:space="preserve">below even that mark, yet still clear the pairwise test in this sample</w:t>
      </w:r>
      <w:r>
        <w:t xml:space="preserve"> </w:t>
      </w:r>
      <w:r>
        <w:t xml:space="preserve">(</w:t>
      </w:r>
      <m:oMath>
        <m:r>
          <m:t>p</m:t>
        </m:r>
        <m:r>
          <m:rPr>
            <m:sty m:val="p"/>
          </m:rPr>
          <m:t>≈</m:t>
        </m:r>
        <m:r>
          <m:t>0.01</m:t>
        </m:r>
      </m:oMath>
      <w:r>
        <w:t xml:space="preserve">), whereas MVP’s larger</w:t>
      </w:r>
      <w:r>
        <w:t xml:space="preserve"> </w:t>
      </w:r>
      <m:oMath>
        <m:r>
          <m:rPr>
            <m:sty m:val="p"/>
          </m:rPr>
          <m:t>+</m:t>
        </m:r>
        <m:r>
          <m:t>0.31</m:t>
        </m:r>
      </m:oMath>
      <w:r>
        <w:t xml:space="preserve"> </w:t>
      </w:r>
      <w:r>
        <w:t xml:space="preserve">edge, against a far</w:t>
      </w:r>
      <w:r>
        <w:t xml:space="preserve"> </w:t>
      </w:r>
      <w:r>
        <w:t xml:space="preserve">higher</w:t>
      </w:r>
      <w:r>
        <w:t xml:space="preserve"> </w:t>
      </w:r>
      <m:oMath>
        <m:r>
          <m:t>0.47</m:t>
        </m:r>
      </m:oMath>
      <w:r>
        <w:t xml:space="preserve"> </w:t>
      </w:r>
      <w:r>
        <w:t xml:space="preserve">threshold, does not.</w:t>
      </w:r>
      <w:r>
        <w:t xml:space="preserve"> </w:t>
      </w:r>
      <w:r>
        <w:t xml:space="preserve">The pairwise null is therefore a statement about detectable effect</w:t>
      </w:r>
      <w:r>
        <w:t xml:space="preserve"> </w:t>
      </w:r>
      <w:r>
        <w:t xml:space="preserve">size given concentration; it is the multiple-testing-corrected SPA,</w:t>
      </w:r>
      <w:r>
        <w:t xml:space="preserve"> </w:t>
      </w:r>
      <w:r>
        <w:t xml:space="preserve">not the per-strategy power, that ultimately declines to reject.</w:t>
      </w:r>
    </w:p>
    <w:bookmarkEnd w:id="86"/>
    <w:bookmarkStart w:id="87" w:name="deflated-sharpe-ratio."/>
    <w:p>
      <w:pPr>
        <w:pStyle w:val="Heading4"/>
      </w:pPr>
      <w:r>
        <w:t xml:space="preserve">Deflated Sharpe Ratio.</w:t>
      </w:r>
    </w:p>
    <w:p>
      <w:pPr>
        <w:pStyle w:val="FirstParagraph"/>
      </w:pPr>
      <w:r>
        <w:t xml:space="preserve">As a third inference lens we compute</w:t>
      </w:r>
      <w:r>
        <w:t xml:space="preserve"> </w:t>
      </w:r>
      <w:r>
        <w:t xml:space="preserve">the Deflated Sharpe Ratio</w:t>
      </w:r>
      <w:r>
        <w:t xml:space="preserve"> </w:t>
      </w:r>
      <w:r>
        <w:t xml:space="preserve">(Bailey and López de Prado 2014)</w:t>
      </w:r>
      <w:r>
        <w:t xml:space="preserve">, which deflates an</w:t>
      </w:r>
      <w:r>
        <w:t xml:space="preserve"> </w:t>
      </w:r>
      <w:r>
        <w:t xml:space="preserve">observed Sharpe for the number of strategies tried, the skewness and</w:t>
      </w:r>
      <w:r>
        <w:t xml:space="preserve"> </w:t>
      </w:r>
      <w:r>
        <w:t xml:space="preserve">kurtosis of the return series, and the sample length. Treating the 27</w:t>
      </w:r>
      <w:r>
        <w:t xml:space="preserve"> </w:t>
      </w:r>
      <w:r>
        <w:t xml:space="preserve">constructed strategies as the trial set, the expected best-of-</w:t>
      </w:r>
      <m:oMath>
        <m:r>
          <m:t>N</m:t>
        </m:r>
      </m:oMath>
      <w:r>
        <w:t xml:space="preserve"> </w:t>
      </w:r>
      <w:r>
        <w:t xml:space="preserve">Sharpe under the null is</w:t>
      </w:r>
      <w:r>
        <w:t xml:space="preserve"> </w:t>
      </w:r>
      <m:oMath>
        <m:sSub>
          <m:e>
            <m:r>
              <m:rPr>
                <m:sty m:val="p"/>
              </m:rPr>
              <m:t>S</m:t>
            </m:r>
            <m:r>
              <m:rPr>
                <m:sty m:val="p"/>
              </m:rPr>
              <m:t>R</m:t>
            </m:r>
          </m:e>
          <m:sub>
            <m:r>
              <m:t>0</m:t>
            </m:r>
          </m:sub>
        </m:sSub>
        <m:r>
          <m:rPr>
            <m:sty m:val="p"/>
          </m:rPr>
          <m:t>=</m:t>
        </m:r>
        <m:r>
          <m:t>0.37</m:t>
        </m:r>
      </m:oMath>
      <w:r>
        <w:t xml:space="preserve"> </w:t>
      </w:r>
      <w:r>
        <w:t xml:space="preserve">annualised. Only MVP</w:t>
      </w:r>
      <w:r>
        <w:t xml:space="preserve"> </w:t>
      </w:r>
      <w:r>
        <w:t xml:space="preserve">clears the conventional</w:t>
      </w:r>
      <w:r>
        <w:t xml:space="preserve"> </w:t>
      </w:r>
      <m:oMath>
        <m:r>
          <m:rPr>
            <m:sty m:val="p"/>
          </m:rPr>
          <m:t>D</m:t>
        </m:r>
        <m:r>
          <m:rPr>
            <m:sty m:val="p"/>
          </m:rPr>
          <m:t>S</m:t>
        </m:r>
        <m:r>
          <m:rPr>
            <m:sty m:val="p"/>
          </m:rPr>
          <m:t>R</m:t>
        </m:r>
        <m:r>
          <m:rPr>
            <m:sty m:val="p"/>
          </m:rPr>
          <m:t>≥</m:t>
        </m:r>
        <m:r>
          <m:t>0.95</m:t>
        </m:r>
      </m:oMath>
      <w:r>
        <w:t xml:space="preserve"> </w:t>
      </w:r>
      <w:r>
        <w:t xml:space="preserve">bar</w:t>
      </w:r>
      <w:r>
        <w:t xml:space="preserve"> </w:t>
      </w:r>
      <w:r>
        <w:t xml:space="preserve">(</w:t>
      </w:r>
      <m:oMath>
        <m:r>
          <m:rPr>
            <m:sty m:val="p"/>
          </m:rPr>
          <m:t>D</m:t>
        </m:r>
        <m:r>
          <m:rPr>
            <m:sty m:val="p"/>
          </m:rPr>
          <m:t>S</m:t>
        </m:r>
        <m:r>
          <m:rPr>
            <m:sty m:val="p"/>
          </m:rPr>
          <m:t>R</m:t>
        </m:r>
        <m:r>
          <m:rPr>
            <m:sty m:val="p"/>
          </m:rPr>
          <m:t>=</m:t>
        </m:r>
        <m:r>
          <m:t>0.97</m:t>
        </m:r>
      </m:oMath>
      <w:r>
        <w:t xml:space="preserve">), and it does so partly on the strength of an</w:t>
      </w:r>
      <w:r>
        <w:t xml:space="preserve"> </w:t>
      </w:r>
      <w:r>
        <w:t xml:space="preserve">extreme positive return skew (</w:t>
      </w:r>
      <m:oMath>
        <m:sSub>
          <m:e>
            <m:r>
              <m:t>γ</m:t>
            </m:r>
          </m:e>
          <m:sub>
            <m:r>
              <m:t>3</m:t>
            </m:r>
          </m:sub>
        </m:sSub>
        <m:r>
          <m:rPr>
            <m:sty m:val="p"/>
          </m:rPr>
          <m:t>=</m:t>
        </m:r>
        <m:r>
          <m:t>5.0</m:t>
        </m:r>
      </m:oMath>
      <w:r>
        <w:t xml:space="preserve">,</w:t>
      </w:r>
      <w:r>
        <w:t xml:space="preserve"> </w:t>
      </w:r>
      <m:oMath>
        <m:sSub>
          <m:e>
            <m:r>
              <m:t>γ</m:t>
            </m:r>
          </m:e>
          <m:sub>
            <m:r>
              <m:t>4</m:t>
            </m:r>
          </m:sub>
        </m:sSub>
        <m:r>
          <m:rPr>
            <m:sty m:val="p"/>
          </m:rPr>
          <m:t>=</m:t>
        </m:r>
        <m:r>
          <m:t>128</m:t>
        </m:r>
      </m:oMath>
      <w:r>
        <w:t xml:space="preserve">) that the</w:t>
      </w:r>
      <w:r>
        <w:t xml:space="preserve"> </w:t>
      </w:r>
      <w:r>
        <w:t xml:space="preserve">DSR’s non-normality term rewards. CRISP (</w:t>
      </w:r>
      <m:oMath>
        <m:r>
          <m:t>0.94</m:t>
        </m:r>
      </m:oMath>
      <w:r>
        <w:t xml:space="preserve">), NCO_CRISP (</w:t>
      </w:r>
      <m:oMath>
        <m:r>
          <m:t>0.94</m:t>
        </m:r>
      </m:oMath>
      <w:r>
        <w:t xml:space="preserve">)</w:t>
      </w:r>
      <w:r>
        <w:t xml:space="preserve"> </w:t>
      </w:r>
      <w:r>
        <w:t xml:space="preserve">and NCO (</w:t>
      </w:r>
      <m:oMath>
        <m:r>
          <m:t>0.94</m:t>
        </m:r>
      </m:oMath>
      <w:r>
        <w:t xml:space="preserve">) fall just short; NCOML and HRP-</w:t>
      </w:r>
      <m:oMath>
        <m:r>
          <m:rPr>
            <m:sty m:val="p"/>
          </m:rPr>
          <m:t>Σ</m:t>
        </m:r>
        <m:r>
          <m:t>μ</m:t>
        </m:r>
      </m:oMath>
      <w:r>
        <w:t xml:space="preserve"> </w:t>
      </w:r>
      <w:r>
        <w:t xml:space="preserve">sit further</w:t>
      </w:r>
      <w:r>
        <w:t xml:space="preserve"> </w:t>
      </w:r>
      <w:r>
        <w:t xml:space="preserve">back at</w:t>
      </w:r>
      <w:r>
        <w:t xml:space="preserve"> </w:t>
      </w:r>
      <m:oMath>
        <m:r>
          <m:t>0.86</m:t>
        </m:r>
      </m:oMath>
      <w:r>
        <w:t xml:space="preserve"> </w:t>
      </w:r>
      <w:r>
        <w:t xml:space="preserve">and</w:t>
      </w:r>
      <w:r>
        <w:t xml:space="preserve"> </w:t>
      </w:r>
      <m:oMath>
        <m:r>
          <m:t>0.73</m:t>
        </m:r>
      </m:oMath>
      <w:r>
        <w:t xml:space="preserve">; baseline HRP is at</w:t>
      </w:r>
      <w:r>
        <w:t xml:space="preserve"> </w:t>
      </w:r>
      <m:oMath>
        <m:r>
          <m:t>0.82</m:t>
        </m:r>
      </m:oMath>
      <w:r>
        <w:t xml:space="preserve">.</w:t>
      </w:r>
      <w:r>
        <w:t xml:space="preserve"> </w:t>
      </w:r>
      <w:r>
        <w:t xml:space="preserve">Counting the 547-cell hyperparameter sweep as part of the search</w:t>
      </w:r>
      <w:r>
        <w:t xml:space="preserve"> </w:t>
      </w:r>
      <w:r>
        <w:t xml:space="preserve">(</w:t>
      </w:r>
      <m:oMath>
        <m:r>
          <m:t>N</m:t>
        </m:r>
        <m:r>
          <m:rPr>
            <m:sty m:val="p"/>
          </m:rPr>
          <m:t>≈</m:t>
        </m:r>
        <m:r>
          <m:t>574</m:t>
        </m:r>
      </m:oMath>
      <w:r>
        <w:t xml:space="preserve">) raises the hurdle to</w:t>
      </w:r>
      <w:r>
        <w:t xml:space="preserve"> </w:t>
      </w:r>
      <m:oMath>
        <m:sSub>
          <m:e>
            <m:r>
              <m:rPr>
                <m:sty m:val="p"/>
              </m:rPr>
              <m:t>S</m:t>
            </m:r>
            <m:r>
              <m:rPr>
                <m:sty m:val="p"/>
              </m:rPr>
              <m:t>R</m:t>
            </m:r>
          </m:e>
          <m:sub>
            <m:r>
              <m:t>0</m:t>
            </m:r>
          </m:sub>
        </m:sSub>
        <m:r>
          <m:rPr>
            <m:sty m:val="p"/>
          </m:rPr>
          <m:t>=</m:t>
        </m:r>
        <m:r>
          <m:t>0.56</m:t>
        </m:r>
      </m:oMath>
      <w:r>
        <w:t xml:space="preserve"> </w:t>
      </w:r>
      <w:r>
        <w:t xml:space="preserve">and pushes</w:t>
      </w:r>
      <w:r>
        <w:t xml:space="preserve"> </w:t>
      </w:r>
      <w:r>
        <w:t xml:space="preserve">every strategy below the bar, MVP included (</w:t>
      </w:r>
      <m:oMath>
        <m:r>
          <m:rPr>
            <m:sty m:val="p"/>
          </m:rPr>
          <m:t>D</m:t>
        </m:r>
        <m:r>
          <m:rPr>
            <m:sty m:val="p"/>
          </m:rPr>
          <m:t>S</m:t>
        </m:r>
        <m:r>
          <m:rPr>
            <m:sty m:val="p"/>
          </m:rPr>
          <m:t>R</m:t>
        </m:r>
        <m:r>
          <m:rPr>
            <m:sty m:val="p"/>
          </m:rPr>
          <m:t>=</m:t>
        </m:r>
        <m:r>
          <m:t>0.92</m:t>
        </m:r>
      </m:oMath>
      <w:r>
        <w:t xml:space="preserve">). The</w:t>
      </w:r>
      <w:r>
        <w:t xml:space="preserve"> </w:t>
      </w:r>
      <w:r>
        <w:t xml:space="preserve">three lenses (pairwise Ledoit–Wolf, Hansen SPA, and the DSR)</w:t>
      </w:r>
      <w:r>
        <w:t xml:space="preserve"> </w:t>
      </w:r>
      <w:r>
        <w:t xml:space="preserve">disagree at the margin on</w:t>
      </w:r>
      <w:r>
        <w:t xml:space="preserve"> </w:t>
      </w:r>
      <w:r>
        <w:rPr>
          <w:i/>
          <w:iCs/>
        </w:rPr>
        <w:t xml:space="preserve">which</w:t>
      </w:r>
      <w:r>
        <w:t xml:space="preserve"> </w:t>
      </w:r>
      <w:r>
        <w:t xml:space="preserve">strategies pass, but agree that</w:t>
      </w:r>
      <w:r>
        <w:t xml:space="preserve"> </w:t>
      </w:r>
      <w:r>
        <w:t xml:space="preserve">no strategy clears all three: the edges are real but sit on the</w:t>
      </w:r>
      <w:r>
        <w:t xml:space="preserve"> </w:t>
      </w:r>
      <w:r>
        <w:t xml:space="preserve">significance boundary.</w:t>
      </w:r>
    </w:p>
    <w:bookmarkEnd w:id="87"/>
    <w:bookmarkEnd w:id="88"/>
    <w:bookmarkStart w:id="93" w:name="sec:results-sweeps"/>
    <w:p>
      <w:pPr>
        <w:pStyle w:val="Heading2"/>
      </w:pPr>
      <w:r>
        <w:t xml:space="preserve">Hyperparameter sweeps and the combined SPA</w:t>
      </w:r>
    </w:p>
    <w:p>
      <w:pPr>
        <w:pStyle w:val="FirstParagraph"/>
      </w:pPr>
      <w:r>
        <w:t xml:space="preserve">A natural objection to the headline null result is that it reflects</w:t>
      </w:r>
      <w:r>
        <w:t xml:space="preserve"> </w:t>
      </w:r>
      <w:r>
        <w:rPr>
          <w:i/>
          <w:iCs/>
        </w:rPr>
        <w:t xml:space="preserve">untuned</w:t>
      </w:r>
      <w:r>
        <w:t xml:space="preserve"> </w:t>
      </w:r>
      <w:r>
        <w:t xml:space="preserve">strategies: perhaps some correlation type, distance</w:t>
      </w:r>
      <w:r>
        <w:t xml:space="preserve"> </w:t>
      </w:r>
      <w:r>
        <w:t xml:space="preserve">function, linkage method, or strategy-specific parameter would lift a</w:t>
      </w:r>
      <w:r>
        <w:t xml:space="preserve"> </w:t>
      </w:r>
      <w:r>
        <w:t xml:space="preserve">variant decisively above baseline HRP. We address this with an</w:t>
      </w:r>
      <w:r>
        <w:t xml:space="preserve"> </w:t>
      </w:r>
      <w:r>
        <w:t xml:space="preserve">exhaustive grid search: 547 distinct configurations across 14 sweeps,</w:t>
      </w:r>
      <w:r>
        <w:t xml:space="preserve"> </w:t>
      </w:r>
      <w:r>
        <w:t xml:space="preserve">every one re-running the full 6.3-year walk-forward backtest on the</w:t>
      </w:r>
      <w:r>
        <w:t xml:space="preserve"> </w:t>
      </w:r>
      <w:r>
        <w:t xml:space="preserve">identical 146-symbol point-in-time universe and 2</w:t>
      </w:r>
      <w:r>
        <w:t xml:space="preserve">,</w:t>
      </w:r>
      <w:r>
        <w:t xml:space="preserve">299-day return</w:t>
      </w:r>
      <w:r>
        <w:t xml:space="preserve"> </w:t>
      </w:r>
      <w:r>
        <w:t xml:space="preserve">series, against the identical baseline HRP (</w:t>
      </w:r>
      <m:oMath>
        <m:r>
          <m:rPr>
            <m:nor/>
            <m:sty m:val="p"/>
          </m:rPr>
          <m:t>Sharpe</m:t>
        </m:r>
        <m:r>
          <m:rPr>
            <m:sty m:val="p"/>
          </m:rPr>
          <m:t>=</m:t>
        </m:r>
        <m:r>
          <m:t>0.741</m:t>
        </m:r>
      </m:oMath>
      <w:r>
        <w:t xml:space="preserve">,</w:t>
      </w:r>
      <w:r>
        <w:t xml:space="preserve"> </w:t>
      </w:r>
      <w:r>
        <w:t xml:space="preserve">recomputed and verified bit-identical in every sweep). The sweeps span</w:t>
      </w:r>
      <w:r>
        <w:t xml:space="preserve"> </w:t>
      </w:r>
      <w:r>
        <w:t xml:space="preserve">the correlation estimator (Pearson / Spearman / Kendall), the distance</w:t>
      </w:r>
      <w:r>
        <w:t xml:space="preserve"> </w:t>
      </w:r>
      <w:r>
        <w:t xml:space="preserve">function (</w:t>
      </w:r>
      <w:r>
        <w:t xml:space="preserve">(López de Prado 2016)</w:t>
      </w:r>
      <w:r>
        <w:t xml:space="preserve"> </w:t>
      </w:r>
      <w:r>
        <w:t xml:space="preserve">/ absolute / angular / squared),</w:t>
      </w:r>
      <w:r>
        <w:t xml:space="preserve"> </w:t>
      </w:r>
      <w:r>
        <w:t xml:space="preserve">the linkage (single / average / complete / Ward), and the</w:t>
      </w:r>
      <w:r>
        <w:t xml:space="preserve"> </w:t>
      </w:r>
      <w:r>
        <w:t xml:space="preserve">strategy-specific parameters of every variant (</w:t>
      </w:r>
      <m:oMath>
        <m:r>
          <m:t>q</m:t>
        </m:r>
      </m:oMath>
      <w:r>
        <w:t xml:space="preserve"> </w:t>
      </w:r>
      <w:r>
        <w:t xml:space="preserve">for tail dependence,</w:t>
      </w:r>
      <w:r>
        <w:t xml:space="preserve"> </w:t>
      </w:r>
      <m:oMath>
        <m:r>
          <m:t>α</m:t>
        </m:r>
      </m:oMath>
      <w:r>
        <w:t xml:space="preserve"> </w:t>
      </w:r>
      <w:r>
        <w:t xml:space="preserve">for the graphical lasso,</w:t>
      </w:r>
      <w:r>
        <w:t xml:space="preserve"> </w:t>
      </w:r>
      <m:oMath>
        <m:r>
          <m:t>λ</m:t>
        </m:r>
      </m:oMath>
      <w:r>
        <w:t xml:space="preserve"> </w:t>
      </w:r>
      <w:r>
        <w:t xml:space="preserve">for EWMA, the</w:t>
      </w:r>
      <w:r>
        <w:t xml:space="preserve"> </w:t>
      </w:r>
      <w:r>
        <w:t xml:space="preserve">volatility-standardisation window, the number of detoned market</w:t>
      </w:r>
      <w:r>
        <w:t xml:space="preserve"> </w:t>
      </w:r>
      <w:r>
        <w:t xml:space="preserve">components, and the embedding hyperparameters).</w:t>
      </w:r>
    </w:p>
    <w:bookmarkStart w:id="89" w:name="tab:sweeps"/>
    <w:p>
      <w:pPr>
        <w:pStyle w:val="TableCaption"/>
      </w:pPr>
      <w:r>
        <w:t xml:space="preserve">Best cell from each hyperparameter sweep.</w:t>
      </w:r>
      <w:r>
        <w:t xml:space="preserve"> </w:t>
      </w:r>
      <m:oMath>
        <m:r>
          <m:rPr>
            <m:sty m:val="p"/>
          </m:rPr>
          <m:t>Δ</m:t>
        </m:r>
      </m:oMath>
      <w:r>
        <w:t xml:space="preserve"> </w:t>
      </w:r>
      <w:r>
        <w:t xml:space="preserve">is</w:t>
      </w:r>
      <w:r>
        <w:t xml:space="preserve"> </w:t>
      </w:r>
      <w:r>
        <w:t xml:space="preserve">the Sharpe difference vs. baseline HRP (single linkage,</w:t>
      </w:r>
      <w:r>
        <w:t xml:space="preserve"> </w:t>
      </w:r>
      <m:oMath>
        <m:r>
          <m:t>0.741</m:t>
        </m:r>
      </m:oMath>
      <w:r>
        <w:t xml:space="preserve">);</w:t>
      </w:r>
      <w:r>
        <w:t xml:space="preserve"> </w:t>
      </w:r>
      <w:r>
        <w:t xml:space="preserve">total return is the cell’s net cumulative return, 2020-02 to 2026-05.</w:t>
      </w:r>
      <w:r>
        <w:t xml:space="preserve"> </w:t>
      </w:r>
      <w:r>
        <w:t xml:space="preserve">551 cells in total; the 4 exactly equal to the benchmark are dropped</w:t>
      </w:r>
      <w:r>
        <w:t xml:space="preserve"> </w:t>
      </w:r>
      <w:r>
        <w:t xml:space="preserve">for the combined SPA, leaving 547 candidates.</w:t>
      </w:r>
    </w:p>
    <w:tbl>
      <w:tblPr>
        <w:tblStyle w:val="Table"/>
        <w:tblW w:type="auto" w:w="0"/>
        <w:tblLook w:firstRow="1" w:lastRow="0" w:firstColumn="0" w:lastColumn="0" w:noHBand="0" w:noVBand="0" w:val="0020"/>
        <w:tblCaption w:val="Best cell from each hyperparameter sweep. \Delta is the Sharpe difference vs. baseline HRP (single linkage, 0.741); total return is the cell’s net cumulative return, 2020-02 to 2026-05. 551 cells in total; the 4 exactly equal to the benchmark are dropped for the combined SPA, leaving 547 candidates."/>
      </w:tblPr>
      <w:tblGrid>
        <w:gridCol w:w="1320"/>
        <w:gridCol w:w="1320"/>
        <w:gridCol w:w="1320"/>
        <w:gridCol w:w="1320"/>
        <w:gridCol w:w="1320"/>
        <w:gridCol w:w="1320"/>
      </w:tblGrid>
      <w:tr>
        <w:trPr>
          <w:tblHeader w:val="on"/>
        </w:trPr>
        <w:tc>
          <w:tcPr/>
          <w:p>
            <w:pPr>
              <w:pStyle w:val="Compact"/>
              <w:jc w:val="left"/>
            </w:pPr>
            <w:r>
              <w:t xml:space="preserve">Sweep</w:t>
            </w:r>
          </w:p>
        </w:tc>
        <w:tc>
          <w:tcPr/>
          <w:p>
            <w:pPr>
              <w:pStyle w:val="Compact"/>
              <w:jc w:val="right"/>
            </w:pPr>
            <w:r>
              <w:t xml:space="preserve">Cells</w:t>
            </w:r>
          </w:p>
        </w:tc>
        <w:tc>
          <w:tcPr/>
          <w:p>
            <w:pPr>
              <w:pStyle w:val="Compact"/>
              <w:jc w:val="left"/>
            </w:pPr>
            <w:r>
              <w:t xml:space="preserve">Best configuration</w:t>
            </w:r>
          </w:p>
        </w:tc>
        <w:tc>
          <w:tcPr/>
          <w:p>
            <w:pPr>
              <w:pStyle w:val="Compact"/>
              <w:jc w:val="right"/>
            </w:pPr>
            <w:r>
              <w:t xml:space="preserve">Sharpe</w:t>
            </w:r>
          </w:p>
        </w:tc>
        <w:tc>
          <w:tcPr/>
          <w:p>
            <w:pPr>
              <w:pStyle w:val="Compact"/>
              <w:jc w:val="right"/>
            </w:pPr>
            <m:oMath>
              <m:r>
                <m:rPr>
                  <m:sty m:val="p"/>
                </m:rPr>
                <m:t>Δ</m:t>
              </m:r>
            </m:oMath>
          </w:p>
        </w:tc>
        <w:tc>
          <w:tcPr/>
          <w:p>
            <w:pPr>
              <w:pStyle w:val="Compact"/>
              <w:jc w:val="right"/>
            </w:pPr>
            <w:r>
              <w:t xml:space="preserve">Tot. ret.</w:t>
            </w:r>
          </w:p>
        </w:tc>
      </w:tr>
      <w:tr>
        <w:tc>
          <w:tcPr/>
          <w:p>
            <w:pPr>
              <w:pStyle w:val="Compact"/>
              <w:jc w:val="left"/>
            </w:pPr>
            <w:r>
              <w:t xml:space="preserve">Tail dependence (</w:t>
            </w:r>
            <m:oMath>
              <m:r>
                <m:t>q</m:t>
              </m:r>
            </m:oMath>
            <w:r>
              <w:t xml:space="preserve">, dist, linkage)</w:t>
            </w:r>
          </w:p>
        </w:tc>
        <w:tc>
          <w:tcPr/>
          <w:p>
            <w:pPr>
              <w:pStyle w:val="Compact"/>
              <w:jc w:val="right"/>
            </w:pPr>
            <w:r>
              <w:t xml:space="preserve">80</w:t>
            </w:r>
          </w:p>
        </w:tc>
        <w:tc>
          <w:tcPr/>
          <w:p>
            <w:pPr>
              <w:pStyle w:val="Compact"/>
              <w:jc w:val="left"/>
            </w:pPr>
            <m:oMath>
              <m:r>
                <m:t>q</m:t>
              </m:r>
              <m:r>
                <m:rPr>
                  <m:sty m:val="p"/>
                </m:rPr>
                <m:t>=</m:t>
              </m:r>
              <m:r>
                <m:t>0.025</m:t>
              </m:r>
            </m:oMath>
            <w:r>
              <w:t xml:space="preserve">, average</w:t>
            </w:r>
          </w:p>
        </w:tc>
        <w:tc>
          <w:tcPr/>
          <w:p>
            <w:pPr>
              <w:pStyle w:val="Compact"/>
              <w:jc w:val="right"/>
            </w:pPr>
            <w:r>
              <w:t xml:space="preserve">0.744</w:t>
            </w:r>
          </w:p>
        </w:tc>
        <w:tc>
          <w:tcPr/>
          <w:p>
            <w:pPr>
              <w:pStyle w:val="Compact"/>
              <w:jc w:val="right"/>
            </w:pPr>
            <m:oMath>
              <m:r>
                <m:rPr>
                  <m:sty m:val="p"/>
                </m:rPr>
                <m:t>+</m:t>
              </m:r>
              <m:r>
                <m:t>0.002</m:t>
              </m:r>
            </m:oMath>
          </w:p>
        </w:tc>
        <w:tc>
          <w:tcPr/>
          <w:p>
            <w:pPr>
              <w:pStyle w:val="Compact"/>
              <w:jc w:val="right"/>
            </w:pPr>
            <m:oMath>
              <m:r>
                <m:rPr>
                  <m:sty m:val="p"/>
                </m:rPr>
                <m:t>+</m:t>
              </m:r>
              <m:r>
                <m:t>425</m:t>
              </m:r>
              <m:r>
                <m:rPr>
                  <m:sty m:val="p"/>
                </m:rPr>
                <m:t>%</m:t>
              </m:r>
            </m:oMath>
          </w:p>
        </w:tc>
      </w:tr>
      <w:tr>
        <w:tc>
          <w:tcPr/>
          <w:p>
            <w:pPr>
              <w:pStyle w:val="Compact"/>
              <w:jc w:val="left"/>
            </w:pPr>
            <w:r>
              <w:t xml:space="preserve">Correlation</w:t>
            </w:r>
            <w:r>
              <w:t xml:space="preserve"> </w:t>
            </w:r>
            <m:oMath>
              <m:r>
                <m:rPr>
                  <m:sty m:val="p"/>
                </m:rPr>
                <m:t>×</m:t>
              </m:r>
            </m:oMath>
            <w:r>
              <w:t xml:space="preserve"> </w:t>
            </w:r>
            <w:r>
              <w:t xml:space="preserve">distance</w:t>
            </w:r>
            <w:r>
              <w:t xml:space="preserve"> </w:t>
            </w:r>
            <m:oMath>
              <m:r>
                <m:rPr>
                  <m:sty m:val="p"/>
                </m:rPr>
                <m:t>×</m:t>
              </m:r>
            </m:oMath>
            <w:r>
              <w:t xml:space="preserve"> </w:t>
            </w:r>
            <w:r>
              <w:t xml:space="preserve">linkage</w:t>
            </w:r>
          </w:p>
        </w:tc>
        <w:tc>
          <w:tcPr/>
          <w:p>
            <w:pPr>
              <w:pStyle w:val="Compact"/>
              <w:jc w:val="right"/>
            </w:pPr>
            <w:r>
              <w:t xml:space="preserve">24</w:t>
            </w:r>
          </w:p>
        </w:tc>
        <w:tc>
          <w:tcPr/>
          <w:p>
            <w:pPr>
              <w:pStyle w:val="Compact"/>
              <w:jc w:val="left"/>
            </w:pPr>
            <w:r>
              <w:t xml:space="preserve">Pearson, LdP, average</w:t>
            </w:r>
          </w:p>
        </w:tc>
        <w:tc>
          <w:tcPr/>
          <w:p>
            <w:pPr>
              <w:pStyle w:val="Compact"/>
              <w:jc w:val="right"/>
            </w:pPr>
            <w:r>
              <w:t xml:space="preserve">0.756</w:t>
            </w:r>
          </w:p>
        </w:tc>
        <w:tc>
          <w:tcPr/>
          <w:p>
            <w:pPr>
              <w:pStyle w:val="Compact"/>
              <w:jc w:val="right"/>
            </w:pPr>
            <m:oMath>
              <m:r>
                <m:rPr>
                  <m:sty m:val="p"/>
                </m:rPr>
                <m:t>+</m:t>
              </m:r>
              <m:r>
                <m:t>0.015</m:t>
              </m:r>
            </m:oMath>
          </w:p>
        </w:tc>
        <w:tc>
          <w:tcPr/>
          <w:p>
            <w:pPr>
              <w:pStyle w:val="Compact"/>
              <w:jc w:val="right"/>
            </w:pPr>
            <m:oMath>
              <m:r>
                <m:rPr>
                  <m:sty m:val="p"/>
                </m:rPr>
                <m:t>+</m:t>
              </m:r>
              <m:r>
                <m:t>459</m:t>
              </m:r>
              <m:r>
                <m:rPr>
                  <m:sty m:val="p"/>
                </m:rPr>
                <m:t>%</m:t>
              </m:r>
            </m:oMath>
          </w:p>
        </w:tc>
      </w:tr>
      <w:tr>
        <w:tc>
          <w:tcPr/>
          <w:p>
            <w:pPr>
              <w:pStyle w:val="Compact"/>
              <w:jc w:val="left"/>
            </w:pPr>
            <w:r>
              <w:t xml:space="preserve">All variants under average linkage</w:t>
            </w:r>
          </w:p>
        </w:tc>
        <w:tc>
          <w:tcPr/>
          <w:p>
            <w:pPr>
              <w:pStyle w:val="Compact"/>
              <w:jc w:val="right"/>
            </w:pPr>
            <w:r>
              <w:t xml:space="preserve">12</w:t>
            </w:r>
          </w:p>
        </w:tc>
        <w:tc>
          <w:tcPr/>
          <w:p>
            <w:pPr>
              <w:pStyle w:val="Compact"/>
              <w:jc w:val="left"/>
            </w:pPr>
            <w:r>
              <w:t xml:space="preserve">HRP_ShrunkCov</w:t>
            </w:r>
          </w:p>
        </w:tc>
        <w:tc>
          <w:tcPr/>
          <w:p>
            <w:pPr>
              <w:pStyle w:val="Compact"/>
              <w:jc w:val="right"/>
            </w:pPr>
            <w:r>
              <w:t xml:space="preserve">0.765</w:t>
            </w:r>
          </w:p>
        </w:tc>
        <w:tc>
          <w:tcPr/>
          <w:p>
            <w:pPr>
              <w:pStyle w:val="Compact"/>
              <w:jc w:val="right"/>
            </w:pPr>
            <m:oMath>
              <m:r>
                <m:rPr>
                  <m:sty m:val="p"/>
                </m:rPr>
                <m:t>+</m:t>
              </m:r>
              <m:r>
                <m:t>0.024</m:t>
              </m:r>
            </m:oMath>
          </w:p>
        </w:tc>
        <w:tc>
          <w:tcPr/>
          <w:p>
            <w:pPr>
              <w:pStyle w:val="Compact"/>
              <w:jc w:val="right"/>
            </w:pPr>
            <m:oMath>
              <m:r>
                <m:rPr>
                  <m:sty m:val="p"/>
                </m:rPr>
                <m:t>+</m:t>
              </m:r>
              <m:r>
                <m:t>484</m:t>
              </m:r>
              <m:r>
                <m:rPr>
                  <m:sty m:val="p"/>
                </m:rPr>
                <m:t>%</m:t>
              </m:r>
            </m:oMath>
          </w:p>
        </w:tc>
      </w:tr>
      <w:tr>
        <w:tc>
          <w:tcPr/>
          <w:p>
            <w:pPr>
              <w:pStyle w:val="Compact"/>
              <w:jc w:val="left"/>
            </w:pPr>
            <w:r>
              <w:t xml:space="preserve">EWMA dynamic correlation (</w:t>
            </w:r>
            <m:oMath>
              <m:r>
                <m:t>λ</m:t>
              </m:r>
            </m:oMath>
            <w:r>
              <w:t xml:space="preserve">)</w:t>
            </w:r>
          </w:p>
        </w:tc>
        <w:tc>
          <w:tcPr/>
          <w:p>
            <w:pPr>
              <w:pStyle w:val="Compact"/>
              <w:jc w:val="right"/>
            </w:pPr>
            <w:r>
              <w:t xml:space="preserve">21</w:t>
            </w:r>
          </w:p>
        </w:tc>
        <w:tc>
          <w:tcPr/>
          <w:p>
            <w:pPr>
              <w:pStyle w:val="Compact"/>
              <w:jc w:val="left"/>
            </w:pPr>
            <m:oMath>
              <m:r>
                <m:t>λ</m:t>
              </m:r>
              <m:r>
                <m:rPr>
                  <m:sty m:val="p"/>
                </m:rPr>
                <m:t>=</m:t>
              </m:r>
              <m:r>
                <m:t>0.94</m:t>
              </m:r>
            </m:oMath>
            <w:r>
              <w:t xml:space="preserve">, single</w:t>
            </w:r>
          </w:p>
        </w:tc>
        <w:tc>
          <w:tcPr/>
          <w:p>
            <w:pPr>
              <w:pStyle w:val="Compact"/>
              <w:jc w:val="right"/>
            </w:pPr>
            <w:r>
              <w:t xml:space="preserve">0.749</w:t>
            </w:r>
          </w:p>
        </w:tc>
        <w:tc>
          <w:tcPr/>
          <w:p>
            <w:pPr>
              <w:pStyle w:val="Compact"/>
              <w:jc w:val="right"/>
            </w:pPr>
            <m:oMath>
              <m:r>
                <m:rPr>
                  <m:sty m:val="p"/>
                </m:rPr>
                <m:t>+</m:t>
              </m:r>
              <m:r>
                <m:t>0.008</m:t>
              </m:r>
            </m:oMath>
          </w:p>
        </w:tc>
        <w:tc>
          <w:tcPr/>
          <w:p>
            <w:pPr>
              <w:pStyle w:val="Compact"/>
              <w:jc w:val="right"/>
            </w:pPr>
            <m:oMath>
              <m:r>
                <m:rPr>
                  <m:sty m:val="p"/>
                </m:rPr>
                <m:t>+</m:t>
              </m:r>
              <m:r>
                <m:t>442</m:t>
              </m:r>
              <m:r>
                <m:rPr>
                  <m:sty m:val="p"/>
                </m:rPr>
                <m:t>%</m:t>
              </m:r>
            </m:oMath>
          </w:p>
        </w:tc>
      </w:tr>
      <w:tr>
        <w:tc>
          <w:tcPr/>
          <w:p>
            <w:pPr>
              <w:pStyle w:val="Compact"/>
              <w:jc w:val="left"/>
            </w:pPr>
            <w:r>
              <w:t xml:space="preserve">Partial correlation (</w:t>
            </w:r>
            <m:oMath>
              <m:r>
                <m:t>α</m:t>
              </m:r>
            </m:oMath>
            <w:r>
              <w:t xml:space="preserve">, dist, link)</w:t>
            </w:r>
          </w:p>
        </w:tc>
        <w:tc>
          <w:tcPr/>
          <w:p>
            <w:pPr>
              <w:pStyle w:val="Compact"/>
              <w:jc w:val="right"/>
            </w:pPr>
            <w:r>
              <w:t xml:space="preserve">60</w:t>
            </w:r>
          </w:p>
        </w:tc>
        <w:tc>
          <w:tcPr/>
          <w:p>
            <w:pPr>
              <w:pStyle w:val="Compact"/>
              <w:jc w:val="left"/>
            </w:pPr>
            <m:oMath>
              <m:r>
                <m:t>α</m:t>
              </m:r>
              <m:r>
                <m:rPr>
                  <m:sty m:val="p"/>
                </m:rPr>
                <m:t>=</m:t>
              </m:r>
              <m:r>
                <m:t>5</m:t>
              </m:r>
              <m:r>
                <m:rPr>
                  <m:sty m:val="p"/>
                </m:rPr>
                <m:t>×</m:t>
              </m:r>
              <m:sSup>
                <m:e>
                  <m:r>
                    <m:t>10</m:t>
                  </m:r>
                </m:e>
                <m:sup>
                  <m:r>
                    <m:rPr>
                      <m:sty m:val="p"/>
                    </m:rPr>
                    <m:t>−</m:t>
                  </m:r>
                  <m:r>
                    <m:t>4</m:t>
                  </m:r>
                </m:sup>
              </m:sSup>
            </m:oMath>
          </w:p>
        </w:tc>
        <w:tc>
          <w:tcPr/>
          <w:p>
            <w:pPr>
              <w:pStyle w:val="Compact"/>
              <w:jc w:val="right"/>
            </w:pPr>
            <w:r>
              <w:t xml:space="preserve">0.739</w:t>
            </w:r>
          </w:p>
        </w:tc>
        <w:tc>
          <w:tcPr/>
          <w:p>
            <w:pPr>
              <w:pStyle w:val="Compact"/>
              <w:jc w:val="right"/>
            </w:pPr>
            <m:oMath>
              <m:r>
                <m:rPr>
                  <m:sty m:val="p"/>
                </m:rPr>
                <m:t>−</m:t>
              </m:r>
              <m:r>
                <m:t>0.003</m:t>
              </m:r>
            </m:oMath>
          </w:p>
        </w:tc>
        <w:tc>
          <w:tcPr/>
          <w:p>
            <w:pPr>
              <w:pStyle w:val="Compact"/>
              <w:jc w:val="right"/>
            </w:pPr>
            <m:oMath>
              <m:r>
                <m:rPr>
                  <m:sty m:val="p"/>
                </m:rPr>
                <m:t>+</m:t>
              </m:r>
              <m:r>
                <m:t>412</m:t>
              </m:r>
              <m:r>
                <m:rPr>
                  <m:sty m:val="p"/>
                </m:rPr>
                <m:t>%</m:t>
              </m:r>
            </m:oMath>
          </w:p>
        </w:tc>
      </w:tr>
      <w:tr>
        <w:tc>
          <w:tcPr/>
          <w:p>
            <w:pPr>
              <w:pStyle w:val="Compact"/>
              <w:jc w:val="left"/>
            </w:pPr>
            <w:r>
              <w:t xml:space="preserve">Vol-standardised returns (window)</w:t>
            </w:r>
          </w:p>
        </w:tc>
        <w:tc>
          <w:tcPr/>
          <w:p>
            <w:pPr>
              <w:pStyle w:val="Compact"/>
              <w:jc w:val="right"/>
            </w:pPr>
            <w:r>
              <w:t xml:space="preserve">60</w:t>
            </w:r>
          </w:p>
        </w:tc>
        <w:tc>
          <w:tcPr/>
          <w:p>
            <w:pPr>
              <w:pStyle w:val="Compact"/>
              <w:jc w:val="left"/>
            </w:pPr>
            <w:r>
              <w:t xml:space="preserve">window 15, single</w:t>
            </w:r>
          </w:p>
        </w:tc>
        <w:tc>
          <w:tcPr/>
          <w:p>
            <w:pPr>
              <w:pStyle w:val="Compact"/>
              <w:jc w:val="right"/>
            </w:pPr>
            <w:r>
              <w:t xml:space="preserve">0.757</w:t>
            </w:r>
          </w:p>
        </w:tc>
        <w:tc>
          <w:tcPr/>
          <w:p>
            <w:pPr>
              <w:pStyle w:val="Compact"/>
              <w:jc w:val="right"/>
            </w:pPr>
            <m:oMath>
              <m:r>
                <m:rPr>
                  <m:sty m:val="p"/>
                </m:rPr>
                <m:t>+</m:t>
              </m:r>
              <m:r>
                <m:t>0.015</m:t>
              </m:r>
            </m:oMath>
          </w:p>
        </w:tc>
        <w:tc>
          <w:tcPr/>
          <w:p>
            <w:pPr>
              <w:pStyle w:val="Compact"/>
              <w:jc w:val="right"/>
            </w:pPr>
            <m:oMath>
              <m:r>
                <m:rPr>
                  <m:sty m:val="p"/>
                </m:rPr>
                <m:t>+</m:t>
              </m:r>
              <m:r>
                <m:t>462</m:t>
              </m:r>
              <m:r>
                <m:rPr>
                  <m:sty m:val="p"/>
                </m:rPr>
                <m:t>%</m:t>
              </m:r>
            </m:oMath>
          </w:p>
        </w:tc>
      </w:tr>
      <w:tr>
        <w:tc>
          <w:tcPr/>
          <w:p>
            <w:pPr>
              <w:pStyle w:val="Compact"/>
              <w:jc w:val="left"/>
            </w:pPr>
            <w:r>
              <w:t xml:space="preserve">Detoning (# market components)</w:t>
            </w:r>
          </w:p>
        </w:tc>
        <w:tc>
          <w:tcPr/>
          <w:p>
            <w:pPr>
              <w:pStyle w:val="Compact"/>
              <w:jc w:val="right"/>
            </w:pPr>
            <w:r>
              <w:t xml:space="preserve">36</w:t>
            </w:r>
          </w:p>
        </w:tc>
        <w:tc>
          <w:tcPr/>
          <w:p>
            <w:pPr>
              <w:pStyle w:val="Compact"/>
              <w:jc w:val="left"/>
            </w:pPr>
            <w:r>
              <w:t xml:space="preserve">1 component, average</w:t>
            </w:r>
          </w:p>
        </w:tc>
        <w:tc>
          <w:tcPr/>
          <w:p>
            <w:pPr>
              <w:pStyle w:val="Compact"/>
              <w:jc w:val="right"/>
            </w:pPr>
            <w:r>
              <w:t xml:space="preserve">0.709</w:t>
            </w:r>
          </w:p>
        </w:tc>
        <w:tc>
          <w:tcPr/>
          <w:p>
            <w:pPr>
              <w:pStyle w:val="Compact"/>
              <w:jc w:val="right"/>
            </w:pPr>
            <m:oMath>
              <m:r>
                <m:rPr>
                  <m:sty m:val="p"/>
                </m:rPr>
                <m:t>−</m:t>
              </m:r>
              <m:r>
                <m:t>0.032</m:t>
              </m:r>
            </m:oMath>
          </w:p>
        </w:tc>
        <w:tc>
          <w:tcPr/>
          <w:p>
            <w:pPr>
              <w:pStyle w:val="Compact"/>
              <w:jc w:val="right"/>
            </w:pPr>
            <m:oMath>
              <m:r>
                <m:rPr>
                  <m:sty m:val="p"/>
                </m:rPr>
                <m:t>+</m:t>
              </m:r>
              <m:r>
                <m:t>337</m:t>
              </m:r>
              <m:r>
                <m:rPr>
                  <m:sty m:val="p"/>
                </m:rPr>
                <m:t>%</m:t>
              </m:r>
            </m:oMath>
          </w:p>
        </w:tc>
      </w:tr>
      <w:tr>
        <w:tc>
          <w:tcPr/>
          <w:p>
            <w:pPr>
              <w:pStyle w:val="Compact"/>
              <w:jc w:val="left"/>
            </w:pPr>
            <w:r>
              <w:t xml:space="preserve">Node2vec embedding</w:t>
            </w:r>
          </w:p>
        </w:tc>
        <w:tc>
          <w:tcPr/>
          <w:p>
            <w:pPr>
              <w:pStyle w:val="Compact"/>
              <w:jc w:val="right"/>
            </w:pPr>
            <w:r>
              <w:t xml:space="preserve">54</w:t>
            </w:r>
          </w:p>
        </w:tc>
        <w:tc>
          <w:tcPr/>
          <w:p>
            <w:pPr>
              <w:pStyle w:val="Compact"/>
              <w:jc w:val="left"/>
            </w:pPr>
            <m:oMath>
              <m:r>
                <m:t>d</m:t>
              </m:r>
              <m:r>
                <m:rPr>
                  <m:sty m:val="p"/>
                </m:rPr>
                <m:t>=</m:t>
              </m:r>
              <m:r>
                <m:t>16</m:t>
              </m:r>
            </m:oMath>
            <w:r>
              <w:t xml:space="preserve">,</w:t>
            </w:r>
            <w:r>
              <w:t xml:space="preserve"> </w:t>
            </w:r>
            <m:oMath>
              <m:r>
                <m:t>k</m:t>
              </m:r>
              <m:r>
                <m:rPr>
                  <m:sty m:val="p"/>
                </m:rPr>
                <m:t>=</m:t>
              </m:r>
              <m:r>
                <m:t>10</m:t>
              </m:r>
            </m:oMath>
          </w:p>
        </w:tc>
        <w:tc>
          <w:tcPr/>
          <w:p>
            <w:pPr>
              <w:pStyle w:val="Compact"/>
              <w:jc w:val="right"/>
            </w:pPr>
            <w:r>
              <w:t xml:space="preserve">0.752</w:t>
            </w:r>
          </w:p>
        </w:tc>
        <w:tc>
          <w:tcPr/>
          <w:p>
            <w:pPr>
              <w:pStyle w:val="Compact"/>
              <w:jc w:val="right"/>
            </w:pPr>
            <m:oMath>
              <m:r>
                <m:rPr>
                  <m:sty m:val="p"/>
                </m:rPr>
                <m:t>+</m:t>
              </m:r>
              <m:r>
                <m:t>0.010</m:t>
              </m:r>
            </m:oMath>
          </w:p>
        </w:tc>
        <w:tc>
          <w:tcPr/>
          <w:p>
            <w:pPr>
              <w:pStyle w:val="Compact"/>
              <w:jc w:val="right"/>
            </w:pPr>
            <m:oMath>
              <m:r>
                <m:rPr>
                  <m:sty m:val="p"/>
                </m:rPr>
                <m:t>+</m:t>
              </m:r>
              <m:r>
                <m:t>444</m:t>
              </m:r>
              <m:r>
                <m:rPr>
                  <m:sty m:val="p"/>
                </m:rPr>
                <m:t>%</m:t>
              </m:r>
            </m:oMath>
          </w:p>
        </w:tc>
      </w:tr>
      <w:tr>
        <w:tc>
          <w:tcPr/>
          <w:p>
            <w:pPr>
              <w:pStyle w:val="Compact"/>
              <w:jc w:val="left"/>
            </w:pPr>
            <w:r>
              <w:t xml:space="preserve">Path signatures, single-channel</w:t>
            </w:r>
          </w:p>
        </w:tc>
        <w:tc>
          <w:tcPr/>
          <w:p>
            <w:pPr>
              <w:pStyle w:val="Compact"/>
              <w:jc w:val="right"/>
            </w:pPr>
            <w:r>
              <w:t xml:space="preserve">108</w:t>
            </w:r>
          </w:p>
        </w:tc>
        <w:tc>
          <w:tcPr/>
          <w:p>
            <w:pPr>
              <w:pStyle w:val="Compact"/>
              <w:jc w:val="left"/>
            </w:pPr>
            <w:r>
              <w:t xml:space="preserve">level 2, window 60</w:t>
            </w:r>
          </w:p>
        </w:tc>
        <w:tc>
          <w:tcPr/>
          <w:p>
            <w:pPr>
              <w:pStyle w:val="Compact"/>
              <w:jc w:val="right"/>
            </w:pPr>
            <w:r>
              <w:t xml:space="preserve">0.734</w:t>
            </w:r>
          </w:p>
        </w:tc>
        <w:tc>
          <w:tcPr/>
          <w:p>
            <w:pPr>
              <w:pStyle w:val="Compact"/>
              <w:jc w:val="right"/>
            </w:pPr>
            <m:oMath>
              <m:r>
                <m:rPr>
                  <m:sty m:val="p"/>
                </m:rPr>
                <m:t>−</m:t>
              </m:r>
              <m:r>
                <m:t>0.007</m:t>
              </m:r>
            </m:oMath>
          </w:p>
        </w:tc>
        <w:tc>
          <w:tcPr/>
          <w:p>
            <w:pPr>
              <w:pStyle w:val="Compact"/>
              <w:jc w:val="right"/>
            </w:pPr>
            <m:oMath>
              <m:r>
                <m:rPr>
                  <m:sty m:val="p"/>
                </m:rPr>
                <m:t>+</m:t>
              </m:r>
              <m:r>
                <m:t>401</m:t>
              </m:r>
              <m:r>
                <m:rPr>
                  <m:sty m:val="p"/>
                </m:rPr>
                <m:t>%</m:t>
              </m:r>
            </m:oMath>
          </w:p>
        </w:tc>
      </w:tr>
      <w:tr>
        <w:tc>
          <w:tcPr/>
          <w:p>
            <w:pPr>
              <w:pStyle w:val="Compact"/>
              <w:jc w:val="left"/>
            </w:pPr>
            <w:r>
              <w:t xml:space="preserve">Path signatures, multi-channel</w:t>
            </w:r>
            <m:oMath>
              <m:sSup>
                <m:e>
                  <m:r>
                    <m:t>​</m:t>
                  </m:r>
                </m:e>
                <m:sup>
                  <m:r>
                    <m:rPr>
                      <m:sty m:val="p"/>
                    </m:rPr>
                    <m:t>†</m:t>
                  </m:r>
                </m:sup>
              </m:sSup>
            </m:oMath>
          </w:p>
        </w:tc>
        <w:tc>
          <w:tcPr/>
          <w:p>
            <w:pPr>
              <w:pStyle w:val="Compact"/>
              <w:jc w:val="right"/>
            </w:pPr>
            <w:r>
              <w:t xml:space="preserve">72</w:t>
            </w:r>
          </w:p>
        </w:tc>
        <w:tc>
          <w:tcPr/>
          <w:p>
            <w:pPr>
              <w:pStyle w:val="Compact"/>
              <w:jc w:val="left"/>
            </w:pPr>
            <w:r>
              <w:t xml:space="preserve">ret+vol+trades, L2</w:t>
            </w:r>
          </w:p>
        </w:tc>
        <w:tc>
          <w:tcPr/>
          <w:p>
            <w:pPr>
              <w:pStyle w:val="Compact"/>
              <w:jc w:val="right"/>
            </w:pPr>
            <w:r>
              <w:t xml:space="preserve">0.747</w:t>
            </w:r>
          </w:p>
        </w:tc>
        <w:tc>
          <w:tcPr/>
          <w:p>
            <w:pPr>
              <w:pStyle w:val="Compact"/>
              <w:jc w:val="right"/>
            </w:pPr>
            <m:oMath>
              <m:r>
                <m:rPr>
                  <m:sty m:val="p"/>
                </m:rPr>
                <m:t>+</m:t>
              </m:r>
              <m:r>
                <m:t>0.005</m:t>
              </m:r>
            </m:oMath>
          </w:p>
        </w:tc>
        <w:tc>
          <w:tcPr/>
          <w:p>
            <w:pPr>
              <w:pStyle w:val="Compact"/>
              <w:jc w:val="right"/>
            </w:pPr>
            <m:oMath>
              <m:r>
                <m:rPr>
                  <m:sty m:val="p"/>
                </m:rPr>
                <m:t>+</m:t>
              </m:r>
              <m:r>
                <m:t>432</m:t>
              </m:r>
              <m:r>
                <m:rPr>
                  <m:sty m:val="p"/>
                </m:rPr>
                <m:t>%</m:t>
              </m:r>
            </m:oMath>
          </w:p>
        </w:tc>
      </w:tr>
      <w:tr>
        <w:tc>
          <w:tcPr/>
          <w:p>
            <w:pPr>
              <w:pStyle w:val="Compact"/>
              <w:jc w:val="left"/>
            </w:pPr>
            <w:r>
              <w:t xml:space="preserve">Contrastive / TS2Vec, multi-channel</w:t>
            </w:r>
          </w:p>
        </w:tc>
        <w:tc>
          <w:tcPr/>
          <w:p>
            <w:pPr>
              <w:pStyle w:val="Compact"/>
              <w:jc w:val="right"/>
            </w:pPr>
            <w:r>
              <w:t xml:space="preserve">24</w:t>
            </w:r>
          </w:p>
        </w:tc>
        <w:tc>
          <w:tcPr/>
          <w:p>
            <w:pPr>
              <w:pStyle w:val="Compact"/>
              <w:jc w:val="left"/>
            </w:pPr>
            <w:r>
              <w:t xml:space="preserve">ret+vol+trades</w:t>
            </w:r>
          </w:p>
        </w:tc>
        <w:tc>
          <w:tcPr/>
          <w:p>
            <w:pPr>
              <w:pStyle w:val="Compact"/>
              <w:jc w:val="right"/>
            </w:pPr>
            <w:r>
              <w:t xml:space="preserve">0.739</w:t>
            </w:r>
          </w:p>
        </w:tc>
        <w:tc>
          <w:tcPr/>
          <w:p>
            <w:pPr>
              <w:pStyle w:val="Compact"/>
              <w:jc w:val="right"/>
            </w:pPr>
            <m:oMath>
              <m:r>
                <m:rPr>
                  <m:sty m:val="p"/>
                </m:rPr>
                <m:t>−</m:t>
              </m:r>
              <m:r>
                <m:t>0.002</m:t>
              </m:r>
            </m:oMath>
          </w:p>
        </w:tc>
        <w:tc>
          <w:tcPr/>
          <w:p>
            <w:pPr>
              <w:pStyle w:val="Compact"/>
              <w:jc w:val="right"/>
            </w:pPr>
            <m:oMath>
              <m:r>
                <m:rPr>
                  <m:sty m:val="p"/>
                </m:rPr>
                <m:t>+</m:t>
              </m:r>
              <m:r>
                <m:t>412</m:t>
              </m:r>
              <m:r>
                <m:rPr>
                  <m:sty m:val="p"/>
                </m:rPr>
                <m:t>%</m:t>
              </m:r>
            </m:oMath>
          </w:p>
        </w:tc>
      </w:tr>
      <w:tr>
        <w:tc>
          <w:tcPr/>
          <w:p>
            <w:pPr>
              <w:pStyle w:val="Compact"/>
              <w:jc w:val="left"/>
            </w:pPr>
            <w:r>
              <w:rPr>
                <w:i/>
                <w:iCs/>
              </w:rPr>
              <w:t xml:space="preserve">Baseline HRP</w:t>
            </w:r>
            <w:r>
              <w:t xml:space="preserve"> </w:t>
            </w:r>
            <w:r>
              <w:t xml:space="preserve">(single linkage)</w:t>
            </w:r>
          </w:p>
        </w:tc>
        <w:tc>
          <w:tcPr/>
          <w:p>
            <w:pPr>
              <w:pStyle w:val="Compact"/>
              <w:jc w:val="right"/>
            </w:pPr>
            <w:r>
              <w:t xml:space="preserve">—</w:t>
            </w:r>
          </w:p>
        </w:tc>
        <w:tc>
          <w:tcPr/>
          <w:p>
            <w:pPr>
              <w:pStyle w:val="Compact"/>
              <w:jc w:val="left"/>
            </w:pPr>
            <w:r>
              <w:t xml:space="preserve">—</w:t>
            </w:r>
          </w:p>
        </w:tc>
        <w:tc>
          <w:tcPr/>
          <w:p>
            <w:pPr>
              <w:pStyle w:val="Compact"/>
              <w:jc w:val="right"/>
            </w:pPr>
            <w:r>
              <w:t xml:space="preserve">0.741</w:t>
            </w:r>
          </w:p>
        </w:tc>
        <w:tc>
          <w:tcPr/>
          <w:p>
            <w:pPr>
              <w:pStyle w:val="Compact"/>
              <w:jc w:val="right"/>
            </w:pPr>
            <w:r>
              <w:t xml:space="preserve">—</w:t>
            </w:r>
          </w:p>
        </w:tc>
        <w:tc>
          <w:tcPr/>
          <w:p>
            <w:pPr>
              <w:pStyle w:val="Compact"/>
              <w:jc w:val="right"/>
            </w:pPr>
            <m:oMath>
              <m:r>
                <m:rPr>
                  <m:sty m:val="p"/>
                </m:rPr>
                <m:t>+</m:t>
              </m:r>
              <m:r>
                <m:t>417</m:t>
              </m:r>
              <m:r>
                <m:rPr>
                  <m:sty m:val="p"/>
                </m:rPr>
                <m:t>%</m:t>
              </m:r>
            </m:oMath>
          </w:p>
        </w:tc>
      </w:tr>
    </w:tbl>
    <w:bookmarkEnd w:id="89"/>
    <w:p>
      <w:pPr>
        <w:pStyle w:val="BodyText"/>
      </w:pPr>
      <m:oMath>
        <m:sSup>
          <m:e>
            <m:r>
              <m:t>​</m:t>
            </m:r>
          </m:e>
          <m:sup>
            <m:r>
              <m:rPr>
                <m:sty m:val="p"/>
              </m:rPr>
              <m:t>†</m:t>
            </m:r>
          </m:sup>
        </m:sSup>
      </m:oMath>
      <w:r>
        <w:t xml:space="preserve"> </w:t>
      </w:r>
      <w:r>
        <w:t xml:space="preserve">Best cell under the initial missing-data</w:t>
      </w:r>
      <w:r>
        <w:t xml:space="preserve"> </w:t>
      </w:r>
      <w:r>
        <w:t xml:space="preserve">convention (zero-fill); under the corrected mean-fill convention the</w:t>
      </w:r>
      <w:r>
        <w:t xml:space="preserve"> </w:t>
      </w:r>
      <w:r>
        <w:t xml:space="preserve">best multi-channel</w:t>
      </w:r>
      <w:r>
        <w:t xml:space="preserve"> </w:t>
      </w:r>
      <w:r>
        <w:rPr>
          <w:rStyle w:val="VerbatimChar"/>
        </w:rPr>
        <w:t xml:space="preserve">PathSig</w:t>
      </w:r>
      <w:r>
        <w:t xml:space="preserve"> </w:t>
      </w:r>
      <w:r>
        <w:t xml:space="preserve">cell is</w:t>
      </w:r>
      <w:r>
        <w:t xml:space="preserve"> </w:t>
      </w:r>
      <m:oMath>
        <m:r>
          <m:t>0.735</m:t>
        </m:r>
      </m:oMath>
      <w:r>
        <w:t xml:space="preserve"> </w:t>
      </w:r>
      <w:r>
        <w:t xml:space="preserve">(</w:t>
      </w:r>
      <m:oMath>
        <m:r>
          <m:rPr>
            <m:sty m:val="p"/>
          </m:rPr>
          <m:t>Δ</m:t>
        </m:r>
        <m:r>
          <m:rPr>
            <m:sty m:val="p"/>
          </m:rPr>
          <m:t>=</m:t>
        </m:r>
        <m:r>
          <m:rPr>
            <m:sty m:val="p"/>
          </m:rPr>
          <m:t>−</m:t>
        </m:r>
        <m:r>
          <m:t>0.006</m:t>
        </m:r>
      </m:oMath>
      <w:r>
        <w:t xml:space="preserve">).</w:t>
      </w:r>
    </w:p>
    <w:bookmarkStart w:id="90" w:name="X270a16d5266b6db18a9ba9c14165b63ca062823"/>
    <w:p>
      <w:pPr>
        <w:pStyle w:val="Heading4"/>
      </w:pPr>
      <w:r>
        <w:t xml:space="preserve">The HRP family is robust to its hyperparameters.</w:t>
      </w:r>
    </w:p>
    <w:p>
      <w:pPr>
        <w:pStyle w:val="FirstParagraph"/>
      </w:pPr>
      <w:r>
        <w:t xml:space="preserve">No sweep</w:t>
      </w:r>
      <w:r>
        <w:t xml:space="preserve"> </w:t>
      </w:r>
      <w:r>
        <w:t xml:space="preserve">produced a configuration that escaped the</w:t>
      </w:r>
      <w:r>
        <w:t xml:space="preserve"> </w:t>
      </w:r>
      <m:oMath>
        <m:r>
          <m:rPr>
            <m:sty m:val="p"/>
          </m:rPr>
          <m:t>±</m:t>
        </m:r>
        <m:r>
          <m:t>0.05</m:t>
        </m:r>
      </m:oMath>
      <w:r>
        <w:t xml:space="preserve"> </w:t>
      </w:r>
      <w:r>
        <w:t xml:space="preserve">Sharpe band of</w:t>
      </w:r>
      <w:r>
        <w:t xml:space="preserve"> </w:t>
      </w:r>
      <w:r>
        <w:t xml:space="preserve">Section </w:t>
      </w:r>
      <w:hyperlink w:anchor="sec:results">
        <w:r>
          <w:rPr>
            <w:rStyle w:val="Hyperlink"/>
          </w:rPr>
          <w:t xml:space="preserve">6</w:t>
        </w:r>
      </w:hyperlink>
      <w:r>
        <w:t xml:space="preserve"> </w:t>
      </w:r>
      <w:r>
        <w:t xml:space="preserve">(Table </w:t>
      </w:r>
      <w:hyperlink w:anchor="tab:sweeps">
        <w:r>
          <w:rPr>
            <w:rStyle w:val="Hyperlink"/>
          </w:rPr>
          <w:t xml:space="preserve">3</w:t>
        </w:r>
      </w:hyperlink>
      <w:r>
        <w:t xml:space="preserve">). The one consistent, though small,</w:t>
      </w:r>
      <w:r>
        <w:t xml:space="preserve"> </w:t>
      </w:r>
      <w:r>
        <w:t xml:space="preserve">effect is linkage:</w:t>
      </w:r>
      <w:r>
        <w:t xml:space="preserve"> </w:t>
      </w:r>
      <w:r>
        <w:rPr>
          <w:i/>
          <w:iCs/>
        </w:rPr>
        <w:t xml:space="preserve">average</w:t>
      </w:r>
      <w:r>
        <w:t xml:space="preserve"> </w:t>
      </w:r>
      <w:r>
        <w:t xml:space="preserve">linkage beats the</w:t>
      </w:r>
      <w:r>
        <w:t xml:space="preserve"> </w:t>
      </w:r>
      <w:r>
        <w:t xml:space="preserve">López de Prado (2016)</w:t>
      </w:r>
      <w:r>
        <w:t xml:space="preserve"> </w:t>
      </w:r>
      <w:r>
        <w:t xml:space="preserve">single-linkage default by</w:t>
      </w:r>
      <w:r>
        <w:t xml:space="preserve"> </w:t>
      </w:r>
      <m:oMath>
        <m:r>
          <m:rPr>
            <m:sty m:val="p"/>
          </m:rPr>
          <m:t>+</m:t>
        </m:r>
        <m:r>
          <m:t>0.01</m:t>
        </m:r>
      </m:oMath>
      <w:r>
        <w:t xml:space="preserve"> </w:t>
      </w:r>
      <w:r>
        <w:t xml:space="preserve">to</w:t>
      </w:r>
      <w:r>
        <w:t xml:space="preserve"> </w:t>
      </w:r>
      <m:oMath>
        <m:r>
          <m:rPr>
            <m:sty m:val="p"/>
          </m:rPr>
          <m:t>+</m:t>
        </m:r>
        <m:r>
          <m:t>0.02</m:t>
        </m:r>
      </m:oMath>
      <w:r>
        <w:t xml:space="preserve"> </w:t>
      </w:r>
      <w:r>
        <w:t xml:space="preserve">Sharpe across essentially every (correlation, distance)</w:t>
      </w:r>
      <w:r>
        <w:t xml:space="preserve"> </w:t>
      </w:r>
      <w:r>
        <w:t xml:space="preserve">combination, and under single linkage all four distance functions are</w:t>
      </w:r>
      <w:r>
        <w:t xml:space="preserve"> </w:t>
      </w:r>
      <w:r>
        <w:t xml:space="preserve">mathematically identical (single linkage depends only on the rank order</w:t>
      </w:r>
      <w:r>
        <w:t xml:space="preserve"> </w:t>
      </w:r>
      <w:r>
        <w:t xml:space="preserve">of distances, which every monotone transform preserves). The best cell</w:t>
      </w:r>
      <w:r>
        <w:t xml:space="preserve"> </w:t>
      </w:r>
      <w:r>
        <w:t xml:space="preserve">in the entire grid is HRP_ShrunkCov under average linkage at Sharpe</w:t>
      </w:r>
      <w:r>
        <w:t xml:space="preserve"> </w:t>
      </w:r>
      <m:oMath>
        <m:r>
          <m:t>0.765</m:t>
        </m:r>
      </m:oMath>
      <w:r>
        <w:t xml:space="preserve"> </w:t>
      </w:r>
      <w:r>
        <w:t xml:space="preserve">(</w:t>
      </w:r>
      <m:oMath>
        <m:r>
          <m:rPr>
            <m:sty m:val="p"/>
          </m:rPr>
          <m:t>Δ</m:t>
        </m:r>
        <m:r>
          <m:rPr>
            <m:sty m:val="p"/>
          </m:rPr>
          <m:t>=</m:t>
        </m:r>
        <m:r>
          <m:rPr>
            <m:sty m:val="p"/>
          </m:rPr>
          <m:t>+</m:t>
        </m:r>
        <m:r>
          <m:t>0.024</m:t>
        </m:r>
      </m:oMath>
      <w:r>
        <w:t xml:space="preserve">).</w:t>
      </w:r>
    </w:p>
    <w:bookmarkEnd w:id="90"/>
    <w:bookmarkStart w:id="91" w:name="multi-channel-embeddings."/>
    <w:p>
      <w:pPr>
        <w:pStyle w:val="Heading4"/>
      </w:pPr>
      <w:r>
        <w:t xml:space="preserve">Multi-channel embeddings.</w:t>
      </w:r>
    </w:p>
    <w:p>
      <w:pPr>
        <w:pStyle w:val="FirstParagraph"/>
      </w:pPr>
      <w:r>
        <w:t xml:space="preserve">The single-channel embeddings</w:t>
      </w:r>
      <w:r>
        <w:t xml:space="preserve"> </w:t>
      </w:r>
      <w:r>
        <w:t xml:space="preserve">encode only the return series and are therefore information-equivalent</w:t>
      </w:r>
      <w:r>
        <w:t xml:space="preserve"> </w:t>
      </w:r>
      <w:r>
        <w:t xml:space="preserve">to the sample correlation they are meant to improve on: a nonlinear</w:t>
      </w:r>
      <w:r>
        <w:t xml:space="preserve"> </w:t>
      </w:r>
      <w:r>
        <w:t xml:space="preserve">re-encoding of the same information cannot out-cluster it, and indeed</w:t>
      </w:r>
      <w:r>
        <w:t xml:space="preserve"> </w:t>
      </w:r>
      <w:r>
        <w:t xml:space="preserve">the single-channel</w:t>
      </w:r>
      <w:r>
        <w:t xml:space="preserve"> </w:t>
      </w:r>
      <w:r>
        <w:rPr>
          <w:rStyle w:val="VerbatimChar"/>
        </w:rPr>
        <w:t xml:space="preserve">HRP_PathSig</w:t>
      </w:r>
      <w:r>
        <w:t xml:space="preserve"> </w:t>
      </w:r>
      <w:r>
        <w:t xml:space="preserve">grid (108 cells) beats baseline</w:t>
      </w:r>
      <w:r>
        <w:t xml:space="preserve"> </w:t>
      </w:r>
      <w:r>
        <w:t xml:space="preserve">in zero cells. We extended all three sequence-based embeddings</w:t>
      </w:r>
      <w:r>
        <w:t xml:space="preserve"> </w:t>
      </w:r>
      <w:r>
        <w:t xml:space="preserve">(</w:t>
      </w:r>
      <w:r>
        <w:rPr>
          <w:rStyle w:val="VerbatimChar"/>
        </w:rPr>
        <w:t xml:space="preserve">PathSig</w:t>
      </w:r>
      <w:r>
        <w:t xml:space="preserve">,</w:t>
      </w:r>
      <w:r>
        <w:t xml:space="preserve"> </w:t>
      </w:r>
      <w:r>
        <w:rPr>
          <w:rStyle w:val="VerbatimChar"/>
        </w:rPr>
        <w:t xml:space="preserve">Contrastive</w:t>
      </w:r>
      <w:r>
        <w:t xml:space="preserve">,</w:t>
      </w:r>
      <w:r>
        <w:t xml:space="preserve"> </w:t>
      </w:r>
      <w:r>
        <w:rPr>
          <w:rStyle w:val="VerbatimChar"/>
        </w:rPr>
        <w:t xml:space="preserve">TS2Vec</w:t>
      </w:r>
      <w:r>
        <w:t xml:space="preserve">) to ingest up</w:t>
      </w:r>
      <w:r>
        <w:t xml:space="preserve"> </w:t>
      </w:r>
      <w:r>
        <w:t xml:space="preserve">to six channels orthogonal to close-to-close returns (quote volume,</w:t>
      </w:r>
      <w:r>
        <w:t xml:space="preserve"> </w:t>
      </w:r>
      <w:r>
        <w:t xml:space="preserve">trade count, average trade size, intraday range, taker buy-ratio, and</w:t>
      </w:r>
      <w:r>
        <w:t xml:space="preserve"> </w:t>
      </w:r>
      <w:r>
        <w:t xml:space="preserve">Amihud illiquidity), all derived from the same Binance OHLCV table.</w:t>
      </w:r>
      <w:r>
        <w:t xml:space="preserve"> </w:t>
      </w:r>
      <w:r>
        <w:t xml:space="preserve">Extra channels lift the encoders’</w:t>
      </w:r>
      <w:r>
        <w:t xml:space="preserve"> </w:t>
      </w:r>
      <w:r>
        <w:rPr>
          <w:i/>
          <w:iCs/>
        </w:rPr>
        <w:t xml:space="preserve">mean</w:t>
      </w:r>
      <w:r>
        <w:t xml:space="preserve"> </w:t>
      </w:r>
      <w:r>
        <w:t xml:space="preserve">Sharpe monotonically</w:t>
      </w:r>
      <w:r>
        <w:t xml:space="preserve"> </w:t>
      </w:r>
      <w:r>
        <w:t xml:space="preserve">(</w:t>
      </w:r>
      <w:r>
        <w:rPr>
          <w:rStyle w:val="VerbatimChar"/>
        </w:rPr>
        <w:t xml:space="preserve">HRP_Contrastive</w:t>
      </w:r>
      <w:r>
        <w:t xml:space="preserve"> </w:t>
      </w:r>
      <m:oMath>
        <m:r>
          <m:t>0.714</m:t>
        </m:r>
        <m:r>
          <m:rPr>
            <m:sty m:val="p"/>
          </m:rPr>
          <m:t>→</m:t>
        </m:r>
        <m:r>
          <m:t>0.725</m:t>
        </m:r>
      </m:oMath>
      <w:r>
        <w:t xml:space="preserve"> </w:t>
      </w:r>
      <w:r>
        <w:t xml:space="preserve">from one to three</w:t>
      </w:r>
      <w:r>
        <w:t xml:space="preserve"> </w:t>
      </w:r>
      <w:r>
        <w:t xml:space="preserve">channels), confirming the channels carry usable structure. Two cells of</w:t>
      </w:r>
      <w:r>
        <w:t xml:space="preserve"> </w:t>
      </w:r>
      <w:r>
        <w:t xml:space="preserve">the initial multi-channel</w:t>
      </w:r>
      <w:r>
        <w:t xml:space="preserve"> </w:t>
      </w:r>
      <w:r>
        <w:rPr>
          <w:rStyle w:val="VerbatimChar"/>
        </w:rPr>
        <w:t xml:space="preserve">PathSig</w:t>
      </w:r>
      <w:r>
        <w:t xml:space="preserve"> </w:t>
      </w:r>
      <w:r>
        <w:t xml:space="preserve">sweep nominally cleared</w:t>
      </w:r>
      <w:r>
        <w:t xml:space="preserve"> </w:t>
      </w:r>
      <w:r>
        <w:t xml:space="preserve">baseline (best</w:t>
      </w:r>
      <w:r>
        <w:t xml:space="preserve"> </w:t>
      </w:r>
      <m:oMath>
        <m:r>
          <m:rPr>
            <m:sty m:val="p"/>
          </m:rPr>
          <m:t>+</m:t>
        </m:r>
        <m:r>
          <m:t>0.747</m:t>
        </m:r>
      </m:oMath>
      <w:r>
        <w:t xml:space="preserve">), but that margin did not survive a correction</w:t>
      </w:r>
      <w:r>
        <w:t xml:space="preserve"> </w:t>
      </w:r>
      <w:r>
        <w:t xml:space="preserve">to how missing channel values are imputed (mean- rather than zero-fill,</w:t>
      </w:r>
      <w:r>
        <w:t xml:space="preserve"> </w:t>
      </w:r>
      <w:r>
        <w:t xml:space="preserve">which avoids placing a spurious outlier into a log-scaled channel);</w:t>
      </w:r>
      <w:r>
        <w:t xml:space="preserve"> </w:t>
      </w:r>
      <w:r>
        <w:t xml:space="preserve">under the corrected convention no multi-channel configuration clears</w:t>
      </w:r>
      <w:r>
        <w:t xml:space="preserve"> </w:t>
      </w:r>
      <w:r>
        <w:t xml:space="preserve">baseline, and adding the fourth through sixth channels plateaus or</w:t>
      </w:r>
      <w:r>
        <w:t xml:space="preserve"> </w:t>
      </w:r>
      <w:r>
        <w:t xml:space="preserve">mildly regresses performance, a bias–variance ceiling against only</w:t>
      </w:r>
      <w:r>
        <w:t xml:space="preserve"> </w:t>
      </w:r>
      <m:oMath>
        <m:r>
          <m:rPr>
            <m:sty m:val="p"/>
          </m:rPr>
          <m:t>∼</m:t>
        </m:r>
      </m:oMath>
      <w:r>
        <w:t xml:space="preserve">76 rebalance dates.</w:t>
      </w:r>
    </w:p>
    <w:bookmarkEnd w:id="91"/>
    <w:bookmarkStart w:id="92" w:name="combined-hansen-spa."/>
    <w:p>
      <w:pPr>
        <w:pStyle w:val="Heading4"/>
      </w:pPr>
      <w:r>
        <w:t xml:space="preserve">Combined Hansen SPA.</w:t>
      </w:r>
    </w:p>
    <w:p>
      <w:pPr>
        <w:pStyle w:val="FirstParagraph"/>
      </w:pPr>
      <w:r>
        <w:t xml:space="preserve">Pooling all 547 configurations into a</w:t>
      </w:r>
      <w:r>
        <w:t xml:space="preserve"> </w:t>
      </w:r>
      <w:r>
        <w:t xml:space="preserve">single Hansen SPA against baseline HRP, the appropriate correction for</w:t>
      </w:r>
      <w:r>
        <w:t xml:space="preserve"> </w:t>
      </w:r>
      <w:r>
        <w:t xml:space="preserve">having searched the entire grid, yields</w:t>
      </w:r>
      <w:r>
        <w:t xml:space="preserve"> </w:t>
      </w:r>
      <m:oMath>
        <m:sSub>
          <m:e>
            <m:r>
              <m:t>p</m:t>
            </m:r>
          </m:e>
          <m:sub>
            <m:r>
              <m:rPr>
                <m:nor/>
                <m:sty m:val="p"/>
              </m:rPr>
              <m:t>consistent</m:t>
            </m:r>
          </m:sub>
        </m:sSub>
        <m:r>
          <m:rPr>
            <m:sty m:val="p"/>
          </m:rPr>
          <m:t>=</m:t>
        </m:r>
        <m:r>
          <m:t>0.906</m:t>
        </m:r>
      </m:oMath>
      <w:r>
        <w:t xml:space="preserve"> </w:t>
      </w:r>
      <w:r>
        <w:t xml:space="preserve">(</w:t>
      </w:r>
      <m:oMath>
        <m:sSub>
          <m:e>
            <m:r>
              <m:t>p</m:t>
            </m:r>
          </m:e>
          <m:sub>
            <m:r>
              <m:rPr>
                <m:nor/>
                <m:sty m:val="p"/>
              </m:rPr>
              <m:t>lower</m:t>
            </m:r>
          </m:sub>
        </m:sSub>
        <m:r>
          <m:rPr>
            <m:sty m:val="p"/>
          </m:rPr>
          <m:t>=</m:t>
        </m:r>
        <m:r>
          <m:t>0.733</m:t>
        </m:r>
      </m:oMath>
      <w:r>
        <w:t xml:space="preserve">,</w:t>
      </w:r>
      <w:r>
        <w:t xml:space="preserve"> </w:t>
      </w:r>
      <m:oMath>
        <m:sSub>
          <m:e>
            <m:r>
              <m:t>p</m:t>
            </m:r>
          </m:e>
          <m:sub>
            <m:r>
              <m:rPr>
                <m:nor/>
                <m:sty m:val="p"/>
              </m:rPr>
              <m:t>upper</m:t>
            </m:r>
          </m:sub>
        </m:sSub>
        <m:r>
          <m:rPr>
            <m:sty m:val="p"/>
          </m:rPr>
          <m:t>=</m:t>
        </m:r>
        <m:r>
          <m:t>0.909</m:t>
        </m:r>
      </m:oMath>
      <w:r>
        <w:t xml:space="preserve">). Although 21 of 547</w:t>
      </w:r>
      <w:r>
        <w:t xml:space="preserve"> </w:t>
      </w:r>
      <w:r>
        <w:t xml:space="preserve">cells show a nominally positive mean excess return over HRP, the best of them</w:t>
      </w:r>
      <w:r>
        <w:t xml:space="preserve"> </w:t>
      </w:r>
      <w:r>
        <w:t xml:space="preserve">(HRP_ShrunkCov,</w:t>
      </w:r>
      <w:r>
        <w:t xml:space="preserve"> </w:t>
      </w:r>
      <m:oMath>
        <m:r>
          <m:rPr>
            <m:sty m:val="p"/>
          </m:rPr>
          <m:t>Δ</m:t>
        </m:r>
        <m:r>
          <m:rPr>
            <m:sty m:val="p"/>
          </m:rPr>
          <m:t>=</m:t>
        </m:r>
        <m:r>
          <m:rPr>
            <m:sty m:val="p"/>
          </m:rPr>
          <m:t>+</m:t>
        </m:r>
        <m:r>
          <m:t>0.024</m:t>
        </m:r>
      </m:oMath>
      <w:r>
        <w:t xml:space="preserve">) carries a pairwise Ledoit–Wolf</w:t>
      </w:r>
      <w:r>
        <w:t xml:space="preserve"> </w:t>
      </w:r>
      <m:oMath>
        <m:r>
          <m:t>p</m:t>
        </m:r>
      </m:oMath>
      <w:r>
        <w:t xml:space="preserve"> </w:t>
      </w:r>
      <w:r>
        <w:t xml:space="preserve">of</w:t>
      </w:r>
      <w:r>
        <w:t xml:space="preserve"> </w:t>
      </w:r>
      <m:oMath>
        <m:r>
          <m:t>0.16</m:t>
        </m:r>
      </m:oMath>
      <w:r>
        <w:t xml:space="preserve">. After correcting for the multiple testing of 547</w:t>
      </w:r>
      <w:r>
        <w:t xml:space="preserve"> </w:t>
      </w:r>
      <w:r>
        <w:t xml:space="preserve">hyperparameter configurations, no clustering-step variant significantly</w:t>
      </w:r>
      <w:r>
        <w:t xml:space="preserve"> </w:t>
      </w:r>
      <w:r>
        <w:t xml:space="preserve">outperforms baseline HRP. The headline null result of</w:t>
      </w:r>
      <w:r>
        <w:t xml:space="preserve"> </w:t>
      </w:r>
      <w:r>
        <w:t xml:space="preserve">Section </w:t>
      </w:r>
      <w:hyperlink w:anchor="sec:results-inference">
        <w:r>
          <w:rPr>
            <w:rStyle w:val="Hyperlink"/>
          </w:rPr>
          <w:t xml:space="preserve">6.2</w:t>
        </w:r>
      </w:hyperlink>
      <w:r>
        <w:t xml:space="preserve"> </w:t>
      </w:r>
      <w:r>
        <w:t xml:space="preserve">is not an artefact of leaving</w:t>
      </w:r>
      <w:r>
        <w:t xml:space="preserve"> </w:t>
      </w:r>
      <w:r>
        <w:t xml:space="preserve">strategies untuned: consistent with the NCO finding, no amount of</w:t>
      </w:r>
      <w:r>
        <w:t xml:space="preserve"> </w:t>
      </w:r>
      <w:r>
        <w:t xml:space="preserve">tuning the</w:t>
      </w:r>
      <w:r>
        <w:t xml:space="preserve"> </w:t>
      </w:r>
      <w:r>
        <w:rPr>
          <w:i/>
          <w:iCs/>
        </w:rPr>
        <w:t xml:space="preserve">clustering</w:t>
      </w:r>
      <w:r>
        <w:t xml:space="preserve"> </w:t>
      </w:r>
      <w:r>
        <w:t xml:space="preserve">step closes the gap that only an</w:t>
      </w:r>
      <w:r>
        <w:t xml:space="preserve"> </w:t>
      </w:r>
      <w:r>
        <w:rPr>
          <w:i/>
          <w:iCs/>
        </w:rPr>
        <w:t xml:space="preserve">allocation</w:t>
      </w:r>
      <w:r>
        <w:t xml:space="preserve">-step change (NCO) opens.</w:t>
      </w:r>
    </w:p>
    <w:bookmarkEnd w:id="92"/>
    <w:bookmarkEnd w:id="93"/>
    <w:bookmarkStart w:id="96" w:name="sec:results-regime"/>
    <w:p>
      <w:pPr>
        <w:pStyle w:val="Heading2"/>
      </w:pPr>
      <w:r>
        <w:t xml:space="preserve">Regime sensitivity: excluding the COVID bull run</w:t>
      </w:r>
    </w:p>
    <w:p>
      <w:pPr>
        <w:pStyle w:val="FirstParagraph"/>
      </w:pPr>
      <w:r>
        <w:t xml:space="preserve">The 2020–2026 headline window includes the COVID-era crypto rally</w:t>
      </w:r>
      <w:r>
        <w:t xml:space="preserve"> </w:t>
      </w:r>
      <w:r>
        <w:t xml:space="preserve">(March 2020 – November 2021) during which Bitcoin ran from</w:t>
      </w:r>
      <w:r>
        <w:t xml:space="preserve"> </w:t>
      </w:r>
      <m:oMath>
        <m:r>
          <m:rPr>
            <m:sty m:val="p"/>
          </m:rPr>
          <m:t>∼</m:t>
        </m:r>
      </m:oMath>
      <w:r>
        <w:t xml:space="preserve">$5k to</w:t>
      </w:r>
      <w:r>
        <w:t xml:space="preserve"> </w:t>
      </w:r>
      <m:oMath>
        <m:r>
          <m:rPr>
            <m:sty m:val="p"/>
          </m:rPr>
          <m:t>∼</m:t>
        </m:r>
      </m:oMath>
      <w:r>
        <w:t xml:space="preserve">$69k, one of the most extreme bull markets</w:t>
      </w:r>
      <w:r>
        <w:t xml:space="preserve"> </w:t>
      </w:r>
      <w:r>
        <w:t xml:space="preserve">in crypto history. To check whether the</w:t>
      </w:r>
      <w:r>
        <w:t xml:space="preserve"> </w:t>
      </w:r>
      <m:oMath>
        <m:r>
          <m:rPr>
            <m:sty m:val="p"/>
          </m:rPr>
          <m:t>§</m:t>
        </m:r>
      </m:oMath>
      <w:hyperlink w:anchor="sec:results">
        <w:r>
          <w:rPr>
            <w:rStyle w:val="Hyperlink"/>
          </w:rPr>
          <w:t xml:space="preserve">6</w:t>
        </w:r>
      </w:hyperlink>
      <w:r>
        <w:t xml:space="preserve"> </w:t>
      </w:r>
      <w:r>
        <w:t xml:space="preserve">conclusions are dominated by that single rally, we re-ran the entire</w:t>
      </w:r>
      <w:r>
        <w:t xml:space="preserve"> </w:t>
      </w:r>
      <w:r>
        <w:t xml:space="preserve">27-strategy backtest with</w:t>
      </w:r>
      <w:r>
        <w:t xml:space="preserve"> </w:t>
      </w:r>
      <m:oMath>
        <m:r>
          <m:rPr>
            <m:sty m:val="p"/>
          </m:rPr>
          <m:t>s</m:t>
        </m:r>
        <m:r>
          <m:rPr>
            <m:sty m:val="p"/>
          </m:rPr>
          <m:t>t</m:t>
        </m:r>
        <m:r>
          <m:rPr>
            <m:sty m:val="p"/>
          </m:rPr>
          <m:t>a</m:t>
        </m:r>
        <m:r>
          <m:rPr>
            <m:sty m:val="p"/>
          </m:rPr>
          <m:t>r</m:t>
        </m:r>
        <m:r>
          <m:rPr>
            <m:sty m:val="p"/>
          </m:rPr>
          <m:t>t</m:t>
        </m:r>
        <m:r>
          <m:rPr>
            <m:sty m:val="p"/>
          </m:rPr>
          <m:t>=</m:t>
        </m:r>
      </m:oMath>
      <w:r>
        <w:t xml:space="preserve"> </w:t>
      </w:r>
      <w:r>
        <w:rPr>
          <w:rStyle w:val="VerbatimChar"/>
        </w:rPr>
        <w:t xml:space="preserve">2022-01-01</w:t>
      </w:r>
      <w:r>
        <w:t xml:space="preserve"> </w:t>
      </w:r>
      <w:r>
        <w:t xml:space="preserve">(52 monthly rebalances over</w:t>
      </w:r>
      <w:r>
        <w:t xml:space="preserve"> </w:t>
      </w:r>
      <m:oMath>
        <m:r>
          <m:rPr>
            <m:sty m:val="p"/>
          </m:rPr>
          <m:t>∼</m:t>
        </m:r>
      </m:oMath>
      <w:r>
        <w:t xml:space="preserve">4.3 years; Table </w:t>
      </w:r>
      <w:hyperlink w:anchor="tab:regime">
        <w:r>
          <w:rPr>
            <w:rStyle w:val="Hyperlink"/>
          </w:rPr>
          <w:t xml:space="preserve">4</w:t>
        </w:r>
      </w:hyperlink>
      <w:r>
        <w:t xml:space="preserve">).</w:t>
      </w:r>
      <w:r>
        <w:t xml:space="preserve"> </w:t>
      </w:r>
      <w:r>
        <w:t xml:space="preserve">All other parameters identical.</w:t>
      </w:r>
    </w:p>
    <w:p>
      <w:pPr>
        <w:pStyle w:val="BodyText"/>
      </w:pPr>
      <w:r>
        <w:rPr>
          <w:b/>
          <w:bCs/>
        </w:rPr>
        <w:t xml:space="preserve">The picture flips entirely.</w:t>
      </w:r>
      <w:r>
        <w:t xml:space="preserve"> </w:t>
      </w:r>
      <w:r>
        <w:t xml:space="preserve">On post-COVID data, baseline</w:t>
      </w:r>
      <w:r>
        <w:t xml:space="preserve"> </w:t>
      </w:r>
      <w:r>
        <w:t xml:space="preserve">HRP achieves Sharpe</w:t>
      </w:r>
      <w:r>
        <w:t xml:space="preserve"> </w:t>
      </w:r>
      <m:oMath>
        <m:r>
          <m:t>0.047</m:t>
        </m:r>
      </m:oMath>
      <w:r>
        <w:t xml:space="preserve"> </w:t>
      </w:r>
      <w:r>
        <w:t xml:space="preserve">with total return</w:t>
      </w:r>
      <w:r>
        <w:t xml:space="preserve"> </w:t>
      </w:r>
      <m:oMath>
        <m:r>
          <m:rPr>
            <m:sty m:val="p"/>
          </m:rPr>
          <m:t>−</m:t>
        </m:r>
        <m:r>
          <m:t>60</m:t>
        </m:r>
        <m:r>
          <m:rPr>
            <m:sty m:val="p"/>
          </m:rPr>
          <m:t>%</m:t>
        </m:r>
      </m:oMath>
      <w:r>
        <w:t xml:space="preserve">, a near-zero</w:t>
      </w:r>
      <w:r>
        <w:t xml:space="preserve"> </w:t>
      </w:r>
      <w:r>
        <w:t xml:space="preserve">risk-adjusted return obtained while losing 60% of capital in dollar</w:t>
      </w:r>
      <w:r>
        <w:t xml:space="preserve"> </w:t>
      </w:r>
      <w:r>
        <w:t xml:space="preserve">terms. Only four strategies make money, all of them the BTC-concentrating</w:t>
      </w:r>
      <w:r>
        <w:t xml:space="preserve"> </w:t>
      </w:r>
      <w:r>
        <w:t xml:space="preserve">risk allocators: the passive HODL_BTC benchmark (</w:t>
      </w:r>
      <m:oMath>
        <m:r>
          <m:rPr>
            <m:sty m:val="p"/>
          </m:rPr>
          <m:t>+</m:t>
        </m:r>
        <m:r>
          <m:t>106</m:t>
        </m:r>
        <m:r>
          <m:rPr>
            <m:sty m:val="p"/>
          </m:rPr>
          <m:t>%</m:t>
        </m:r>
      </m:oMath>
      <w:r>
        <w:t xml:space="preserve">, Sharpe</w:t>
      </w:r>
      <w:r>
        <w:t xml:space="preserve"> </w:t>
      </w:r>
      <m:oMath>
        <m:r>
          <m:t>0.585</m:t>
        </m:r>
      </m:oMath>
      <w:r>
        <w:t xml:space="preserve">), MVP (</w:t>
      </w:r>
      <m:oMath>
        <m:r>
          <m:rPr>
            <m:sty m:val="p"/>
          </m:rPr>
          <m:t>+</m:t>
        </m:r>
        <m:r>
          <m:t>66</m:t>
        </m:r>
        <m:r>
          <m:rPr>
            <m:sty m:val="p"/>
          </m:rPr>
          <m:t>%</m:t>
        </m:r>
      </m:oMath>
      <w:r>
        <w:t xml:space="preserve">,</w:t>
      </w:r>
      <w:r>
        <w:t xml:space="preserve"> </w:t>
      </w:r>
      <m:oMath>
        <m:r>
          <m:t>0.482</m:t>
        </m:r>
      </m:oMath>
      <w:r>
        <w:t xml:space="preserve">), and CRISP and NCO_CRISP (</w:t>
      </w:r>
      <m:oMath>
        <m:r>
          <m:rPr>
            <m:sty m:val="p"/>
          </m:rPr>
          <m:t>+</m:t>
        </m:r>
        <m:r>
          <m:t>20</m:t>
        </m:r>
        <m:r>
          <m:rPr>
            <m:sty m:val="p"/>
          </m:rPr>
          <m:t>%</m:t>
        </m:r>
      </m:oMath>
      <w:r>
        <w:t xml:space="preserve"> </w:t>
      </w:r>
      <w:r>
        <w:t xml:space="preserve">each, Sharpe</w:t>
      </w:r>
      <w:r>
        <w:t xml:space="preserve"> </w:t>
      </w:r>
      <m:oMath>
        <m:r>
          <m:t>0.363</m:t>
        </m:r>
      </m:oMath>
      <w:r>
        <w:t xml:space="preserve"> </w:t>
      </w:r>
      <w:r>
        <w:t xml:space="preserve">and</w:t>
      </w:r>
      <w:r>
        <w:t xml:space="preserve"> </w:t>
      </w:r>
      <m:oMath>
        <m:r>
          <m:t>0.368</m:t>
        </m:r>
      </m:oMath>
      <w:r>
        <w:t xml:space="preserve">); NCO essentially breaks even</w:t>
      </w:r>
      <w:r>
        <w:t xml:space="preserve"> </w:t>
      </w:r>
      <w:r>
        <w:t xml:space="preserve">(</w:t>
      </w:r>
      <m:oMath>
        <m:r>
          <m:rPr>
            <m:sty m:val="p"/>
          </m:rPr>
          <m:t>−</m:t>
        </m:r>
        <m:r>
          <m:t>4</m:t>
        </m:r>
        <m:r>
          <m:rPr>
            <m:sty m:val="p"/>
          </m:rPr>
          <m:t>%</m:t>
        </m:r>
      </m:oMath>
      <w:r>
        <w:t xml:space="preserve">,</w:t>
      </w:r>
      <w:r>
        <w:t xml:space="preserve"> </w:t>
      </w:r>
      <m:oMath>
        <m:r>
          <m:t>0.264</m:t>
        </m:r>
      </m:oMath>
      <w:r>
        <w:t xml:space="preserve">). Every other strategy loses between 19% (RM_MOM)</w:t>
      </w:r>
      <w:r>
        <w:t xml:space="preserve"> </w:t>
      </w:r>
      <w:r>
        <w:t xml:space="preserve">and 98% (NCO_RT) of capital, and six post outright</w:t>
      </w:r>
      <w:r>
        <w:t xml:space="preserve"> </w:t>
      </w:r>
      <w:r>
        <w:rPr>
          <w:i/>
          <w:iCs/>
        </w:rPr>
        <w:t xml:space="preserve">negative</w:t>
      </w:r>
      <w:r>
        <w:t xml:space="preserve"> </w:t>
      </w:r>
      <w:r>
        <w:t xml:space="preserve">Sharpe: NCO_RT (</w:t>
      </w:r>
      <m:oMath>
        <m:r>
          <m:rPr>
            <m:sty m:val="p"/>
          </m:rPr>
          <m:t>−</m:t>
        </m:r>
        <m:r>
          <m:t>0.414</m:t>
        </m:r>
      </m:oMath>
      <w:r>
        <w:t xml:space="preserve">), MaxDiv (</w:t>
      </w:r>
      <m:oMath>
        <m:r>
          <m:rPr>
            <m:sty m:val="p"/>
          </m:rPr>
          <m:t>−</m:t>
        </m:r>
        <m:r>
          <m:t>0.163</m:t>
        </m:r>
      </m:oMath>
      <w:r>
        <w:t xml:space="preserve">), CS_MOM (</w:t>
      </w:r>
      <m:oMath>
        <m:r>
          <m:rPr>
            <m:sty m:val="p"/>
          </m:rPr>
          <m:t>−</m:t>
        </m:r>
        <m:r>
          <m:t>0.161</m:t>
        </m:r>
      </m:oMath>
      <w:r>
        <w:t xml:space="preserve">),</w:t>
      </w:r>
      <w:r>
        <w:t xml:space="preserve"> </w:t>
      </w:r>
      <w:r>
        <w:t xml:space="preserve">RM_MOM (</w:t>
      </w:r>
      <m:oMath>
        <m:r>
          <m:rPr>
            <m:sty m:val="p"/>
          </m:rPr>
          <m:t>−</m:t>
        </m:r>
        <m:r>
          <m:t>0.160</m:t>
        </m:r>
      </m:oMath>
      <w:r>
        <w:t xml:space="preserve">), HERC (</w:t>
      </w:r>
      <m:oMath>
        <m:r>
          <m:rPr>
            <m:sty m:val="p"/>
          </m:rPr>
          <m:t>−</m:t>
        </m:r>
        <m:r>
          <m:t>0.038</m:t>
        </m:r>
      </m:oMath>
      <w:r>
        <w:t xml:space="preserve">) and ERC (</w:t>
      </w:r>
      <m:oMath>
        <m:r>
          <m:rPr>
            <m:sty m:val="p"/>
          </m:rPr>
          <m:t>−</m:t>
        </m:r>
        <m:r>
          <m:t>0.026</m:t>
        </m:r>
      </m:oMath>
      <w:r>
        <w:t xml:space="preserve">).</w:t>
      </w:r>
    </w:p>
    <w:bookmarkStart w:id="95" w:name="X6539b819dc56086d3d9e4264a715b693098cd67"/>
    <w:p>
      <w:pPr>
        <w:pStyle w:val="Heading4"/>
      </w:pPr>
      <w:r>
        <w:t xml:space="preserve">Four findings from the regime comparison.</w:t>
      </w:r>
    </w:p>
    <w:p>
      <w:pPr>
        <w:pStyle w:val="FirstParagraph"/>
      </w:pPr>
      <w:r>
        <w:rPr>
          <w:b/>
          <w:bCs/>
        </w:rPr>
        <w:t xml:space="preserve">(1) Diversification-based crypto portfolios were a losing</w:t>
      </w:r>
      <w:r>
        <w:rPr>
          <w:b/>
          <w:bCs/>
        </w:rPr>
        <w:t xml:space="preserve"> </w:t>
      </w:r>
      <w:r>
        <w:rPr>
          <w:b/>
          <w:bCs/>
        </w:rPr>
        <w:t xml:space="preserve">proposition in the post-COVID regime.</w:t>
      </w:r>
      <w:r>
        <w:t xml:space="preserve"> </w:t>
      </w:r>
      <w:r>
        <w:t xml:space="preserve">On this 146-symbol PIT</w:t>
      </w:r>
      <w:r>
        <w:t xml:space="preserve"> </w:t>
      </w:r>
      <w:r>
        <w:t xml:space="preserve">universe over 2022-01-01–2026-05-18, every HRP-family variant lost</w:t>
      </w:r>
      <w:r>
        <w:t xml:space="preserve"> </w:t>
      </w:r>
      <w:r>
        <w:t xml:space="preserve">between 51% and 64% of capital. The 2020-2026</w:t>
      </w:r>
      <w:r>
        <w:t xml:space="preserve"> </w:t>
      </w:r>
      <w:r>
        <w:t xml:space="preserve">“diversification</w:t>
      </w:r>
      <w:r>
        <w:t xml:space="preserve"> </w:t>
      </w:r>
      <w:r>
        <w:t xml:space="preserve">works”</w:t>
      </w:r>
      <w:r>
        <w:t xml:space="preserve"> </w:t>
      </w:r>
      <w:r>
        <w:t xml:space="preserve">framing was largely a COVID-rally artifact:</w:t>
      </w:r>
      <w:r>
        <w:t xml:space="preserve"> </w:t>
      </w:r>
      <w:r>
        <w:rPr>
          <w:i/>
          <w:iCs/>
        </w:rPr>
        <w:t xml:space="preserve">HRP diversifies risk but does not produce capital appreciation</w:t>
      </w:r>
      <w:r>
        <w:rPr>
          <w:i/>
          <w:iCs/>
        </w:rPr>
        <w:t xml:space="preserve"> </w:t>
      </w:r>
      <w:r>
        <w:rPr>
          <w:i/>
          <w:iCs/>
        </w:rPr>
        <w:t xml:space="preserve">in non-bull crypto regimes</w:t>
      </w:r>
      <w:r>
        <w:t xml:space="preserve">.</w:t>
      </w:r>
    </w:p>
    <w:p>
      <w:pPr>
        <w:pStyle w:val="BodyText"/>
      </w:pPr>
      <w:r>
        <w:rPr>
          <w:b/>
          <w:bCs/>
        </w:rPr>
        <w:t xml:space="preserve">(2) The risk-based allocators hold up across regimes.</w:t>
      </w:r>
      <w:r>
        <w:t xml:space="preserve"> </w:t>
      </w:r>
      <w:r>
        <w:t xml:space="preserve">NCO,</w:t>
      </w:r>
      <w:r>
        <w:t xml:space="preserve"> </w:t>
      </w:r>
      <w:r>
        <w:t xml:space="preserve">CRISP and the NCO–CRISP hybrid all stay positive or near-flat</w:t>
      </w:r>
      <w:r>
        <w:t xml:space="preserve"> </w:t>
      </w:r>
      <w:r>
        <w:t xml:space="preserve">post-COVID (Sharpe</w:t>
      </w:r>
      <w:r>
        <w:t xml:space="preserve"> </w:t>
      </w:r>
      <m:oMath>
        <m:r>
          <m:t>0.26</m:t>
        </m:r>
      </m:oMath>
      <w:r>
        <w:t xml:space="preserve">–</w:t>
      </w:r>
      <m:oMath>
        <m:r>
          <m:t>0.37</m:t>
        </m:r>
      </m:oMath>
      <w:r>
        <w:t xml:space="preserve">, total return</w:t>
      </w:r>
      <w:r>
        <w:t xml:space="preserve"> </w:t>
      </w:r>
      <m:oMath>
        <m:r>
          <m:rPr>
            <m:sty m:val="p"/>
          </m:rPr>
          <m:t>−</m:t>
        </m:r>
        <m:r>
          <m:t>4</m:t>
        </m:r>
        <m:r>
          <m:rPr>
            <m:sty m:val="p"/>
          </m:rPr>
          <m:t>%</m:t>
        </m:r>
      </m:oMath>
      <w:r>
        <w:t xml:space="preserve"> </w:t>
      </w:r>
      <w:r>
        <w:t xml:space="preserve">to</w:t>
      </w:r>
      <w:r>
        <w:t xml:space="preserve"> </w:t>
      </w:r>
      <m:oMath>
        <m:r>
          <m:rPr>
            <m:sty m:val="p"/>
          </m:rPr>
          <m:t>+</m:t>
        </m:r>
        <m:r>
          <m:t>20</m:t>
        </m:r>
        <m:r>
          <m:rPr>
            <m:sty m:val="p"/>
          </m:rPr>
          <m:t>%</m:t>
        </m:r>
      </m:oMath>
      <w:r>
        <w:t xml:space="preserve">)</w:t>
      </w:r>
      <w:r>
        <w:t xml:space="preserve"> </w:t>
      </w:r>
      <w:r>
        <w:t xml:space="preserve">against baseline HRP’s</w:t>
      </w:r>
      <w:r>
        <w:t xml:space="preserve"> </w:t>
      </w:r>
      <m:oMath>
        <m:r>
          <m:rPr>
            <m:sty m:val="p"/>
          </m:rPr>
          <m:t>−</m:t>
        </m:r>
        <m:r>
          <m:t>60</m:t>
        </m:r>
        <m:r>
          <m:rPr>
            <m:sty m:val="p"/>
          </m:rPr>
          <m:t>%</m:t>
        </m:r>
      </m:oMath>
      <w:r>
        <w:t xml:space="preserve">, and CRISP and NCO_CRISP remain</w:t>
      </w:r>
      <w:r>
        <w:t xml:space="preserve"> </w:t>
      </w:r>
      <w:r>
        <w:t xml:space="preserve">pairwise-significant against HRP in the post-COVID window as well</w:t>
      </w:r>
      <w:r>
        <w:t xml:space="preserve"> </w:t>
      </w:r>
      <w:r>
        <w:t xml:space="preserve">(Ledoit–Wolf</w:t>
      </w:r>
      <w:r>
        <w:t xml:space="preserve"> </w:t>
      </w:r>
      <m:oMath>
        <m:r>
          <m:t>p</m:t>
        </m:r>
        <m:r>
          <m:rPr>
            <m:sty m:val="p"/>
          </m:rPr>
          <m:t>=</m:t>
        </m:r>
        <m:r>
          <m:t>0.017</m:t>
        </m:r>
      </m:oMath>
      <w:r>
        <w:t xml:space="preserve"> </w:t>
      </w:r>
      <w:r>
        <w:t xml:space="preserve">and</w:t>
      </w:r>
      <w:r>
        <w:t xml:space="preserve"> </w:t>
      </w:r>
      <m:oMath>
        <m:r>
          <m:t>0.022</m:t>
        </m:r>
      </m:oMath>
      <w:r>
        <w:t xml:space="preserve">). The post-COVID Hansen SPA, like</w:t>
      </w:r>
      <w:r>
        <w:t xml:space="preserve"> </w:t>
      </w:r>
      <w:r>
        <w:t xml:space="preserve">the full-window test, does not reject (</w:t>
      </w:r>
      <m:oMath>
        <m:sSub>
          <m:e>
            <m:r>
              <m:t>p</m:t>
            </m:r>
          </m:e>
          <m:sub>
            <m:r>
              <m:rPr>
                <m:nor/>
                <m:sty m:val="p"/>
              </m:rPr>
              <m:t>consistent</m:t>
            </m:r>
          </m:sub>
        </m:sSub>
        <m:r>
          <m:rPr>
            <m:sty m:val="p"/>
          </m:rPr>
          <m:t>=</m:t>
        </m:r>
        <m:r>
          <m:t>0.38</m:t>
        </m:r>
      </m:oMath>
      <w:r>
        <w:t xml:space="preserve">).</w:t>
      </w:r>
      <w:r>
        <w:t xml:space="preserve"> </w:t>
      </w:r>
      <w:r>
        <w:t xml:space="preserve">Whatever these allocators are</w:t>
      </w:r>
      <w:r>
        <w:t xml:space="preserve"> </w:t>
      </w:r>
      <w:r>
        <w:t xml:space="preserve">doing (concentrating into low-volatility assets via</w:t>
      </w:r>
      <w:r>
        <w:t xml:space="preserve"> </w:t>
      </w:r>
      <w:r>
        <w:t xml:space="preserve">correlation-shrinkage or nested minimum variance) helps in</w:t>
      </w:r>
      <w:r>
        <w:t xml:space="preserve"> </w:t>
      </w:r>
      <w:r>
        <w:rPr>
          <w:i/>
          <w:iCs/>
        </w:rPr>
        <w:t xml:space="preserve">both</w:t>
      </w:r>
      <w:r>
        <w:t xml:space="preserve"> </w:t>
      </w:r>
      <w:r>
        <w:t xml:space="preserve">regimes, not only the rally. They are the paper’s evidence</w:t>
      </w:r>
      <w:r>
        <w:t xml:space="preserve"> </w:t>
      </w:r>
      <w:r>
        <w:t xml:space="preserve">that an</w:t>
      </w:r>
      <w:r>
        <w:t xml:space="preserve"> </w:t>
      </w:r>
      <w:r>
        <w:rPr>
          <w:i/>
          <w:iCs/>
        </w:rPr>
        <w:t xml:space="preserve">allocation</w:t>
      </w:r>
      <w:r>
        <w:t xml:space="preserve"> </w:t>
      </w:r>
      <w:r>
        <w:t xml:space="preserve">choice, rather than luck, separates a</w:t>
      </w:r>
      <w:r>
        <w:t xml:space="preserve"> </w:t>
      </w:r>
      <w:r>
        <w:t xml:space="preserve">constructed portfolio from the HRP pack; that the multiple-testing</w:t>
      </w:r>
      <w:r>
        <w:t xml:space="preserve"> </w:t>
      </w:r>
      <w:r>
        <w:t xml:space="preserve">corrected SPA still does not confirm it (§</w:t>
      </w:r>
      <w:hyperlink w:anchor="sec:results-inference">
        <w:r>
          <w:rPr>
            <w:rStyle w:val="Hyperlink"/>
          </w:rPr>
          <w:t xml:space="preserve">6.2</w:t>
        </w:r>
      </w:hyperlink>
      <w:r>
        <w:t xml:space="preserve">)</w:t>
      </w:r>
      <w:r>
        <w:t xml:space="preserve"> </w:t>
      </w:r>
      <w:r>
        <w:t xml:space="preserve">leaves the effect well-supported in the data but short of confirmed.</w:t>
      </w:r>
    </w:p>
    <w:p>
      <w:pPr>
        <w:pStyle w:val="BodyText"/>
      </w:pPr>
      <w:r>
        <w:rPr>
          <w:b/>
          <w:bCs/>
        </w:rPr>
        <w:t xml:space="preserve">(3) Embedding variants partially reverse against baseline HRP</w:t>
      </w:r>
      <w:r>
        <w:rPr>
          <w:b/>
          <w:bCs/>
        </w:rPr>
        <w:t xml:space="preserve"> </w:t>
      </w:r>
      <w:r>
        <w:rPr>
          <w:b/>
          <w:bCs/>
        </w:rPr>
        <w:t xml:space="preserve">in the harder regime.</w:t>
      </w:r>
      <w:r>
        <w:t xml:space="preserve"> </w:t>
      </w:r>
      <w:r>
        <w:t xml:space="preserve">In the full window all four embedding variants</w:t>
      </w:r>
      <w:r>
        <w:t xml:space="preserve"> </w:t>
      </w:r>
      <w:r>
        <w:t xml:space="preserve">sit below HRP (deltas</w:t>
      </w:r>
      <w:r>
        <w:t xml:space="preserve"> </w:t>
      </w:r>
      <m:oMath>
        <m:r>
          <m:rPr>
            <m:sty m:val="p"/>
          </m:rPr>
          <m:t>−</m:t>
        </m:r>
        <m:r>
          <m:t>0.028</m:t>
        </m:r>
      </m:oMath>
      <w:r>
        <w:t xml:space="preserve"> </w:t>
      </w:r>
      <w:r>
        <w:t xml:space="preserve">to</w:t>
      </w:r>
      <w:r>
        <w:t xml:space="preserve"> </w:t>
      </w:r>
      <m:oMath>
        <m:r>
          <m:rPr>
            <m:sty m:val="p"/>
          </m:rPr>
          <m:t>−</m:t>
        </m:r>
        <m:r>
          <m:t>0.050</m:t>
        </m:r>
      </m:oMath>
      <w:r>
        <w:t xml:space="preserve"> </w:t>
      </w:r>
      <w:r>
        <w:t xml:space="preserve">Sharpe). In the</w:t>
      </w:r>
      <w:r>
        <w:t xml:space="preserve"> </w:t>
      </w:r>
      <w:r>
        <w:t xml:space="preserve">post-COVID window only one of the four (</w:t>
      </w:r>
      <w:r>
        <w:rPr>
          <w:rStyle w:val="VerbatimChar"/>
        </w:rPr>
        <w:t xml:space="preserve">HRP_PathSig</w:t>
      </w:r>
      <w:r>
        <w:t xml:space="preserve">) edges</w:t>
      </w:r>
      <w:r>
        <w:t xml:space="preserve"> </w:t>
      </w:r>
      <w:r>
        <w:t xml:space="preserve">above baseline HRP (</w:t>
      </w:r>
      <m:oMath>
        <m:r>
          <m:rPr>
            <m:sty m:val="p"/>
          </m:rPr>
          <m:t>+</m:t>
        </m:r>
        <m:r>
          <m:t>0.008</m:t>
        </m:r>
      </m:oMath>
      <w:r>
        <w:t xml:space="preserve">), while</w:t>
      </w:r>
      <w:r>
        <w:t xml:space="preserve"> </w:t>
      </w:r>
      <w:r>
        <w:rPr>
          <w:rStyle w:val="VerbatimChar"/>
        </w:rPr>
        <w:t xml:space="preserve">HRP_Contrastive</w:t>
      </w:r>
      <w:r>
        <w:t xml:space="preserve"> </w:t>
      </w:r>
      <w:r>
        <w:t xml:space="preserve">(</w:t>
      </w:r>
      <m:oMath>
        <m:r>
          <m:rPr>
            <m:sty m:val="p"/>
          </m:rPr>
          <m:t>−</m:t>
        </m:r>
        <m:r>
          <m:t>0.010</m:t>
        </m:r>
      </m:oMath>
      <w:r>
        <w:t xml:space="preserve">),</w:t>
      </w:r>
      <w:r>
        <w:t xml:space="preserve"> </w:t>
      </w:r>
      <w:r>
        <w:rPr>
          <w:rStyle w:val="VerbatimChar"/>
        </w:rPr>
        <w:t xml:space="preserve">HRP_TS2Vec</w:t>
      </w:r>
      <w:r>
        <w:t xml:space="preserve"> </w:t>
      </w:r>
      <w:r>
        <w:t xml:space="preserve">(</w:t>
      </w:r>
      <m:oMath>
        <m:r>
          <m:rPr>
            <m:sty m:val="p"/>
          </m:rPr>
          <m:t>−</m:t>
        </m:r>
        <m:r>
          <m:t>0.013</m:t>
        </m:r>
      </m:oMath>
      <w:r>
        <w:t xml:space="preserve">), and</w:t>
      </w:r>
      <w:r>
        <w:t xml:space="preserve"> </w:t>
      </w:r>
      <w:r>
        <w:rPr>
          <w:rStyle w:val="VerbatimChar"/>
        </w:rPr>
        <w:t xml:space="preserve">HRP_NodeEmbed</w:t>
      </w:r>
      <w:r>
        <w:t xml:space="preserve"> </w:t>
      </w:r>
      <w:r>
        <w:t xml:space="preserve">(</w:t>
      </w:r>
      <m:oMath>
        <m:r>
          <m:rPr>
            <m:sty m:val="p"/>
          </m:rPr>
          <m:t>−</m:t>
        </m:r>
        <m:r>
          <m:t>0.016</m:t>
        </m:r>
      </m:oMath>
      <w:r>
        <w:t xml:space="preserve">) remain below. None reaches individual significance (all</w:t>
      </w:r>
      <w:r>
        <w:t xml:space="preserve"> </w:t>
      </w:r>
      <w:r>
        <w:t xml:space="preserve">Ledoit–Wolf</w:t>
      </w:r>
      <w:r>
        <w:t xml:space="preserve"> </w:t>
      </w:r>
      <m:oMath>
        <m:r>
          <m:t>p</m:t>
        </m:r>
        <m:r>
          <m:rPr>
            <m:sty m:val="p"/>
          </m:rPr>
          <m:t>&gt;</m:t>
        </m:r>
        <m:r>
          <m:t>0.6</m:t>
        </m:r>
      </m:oMath>
      <w:r>
        <w:t xml:space="preserve">) and the margins are tiny, but the partial</w:t>
      </w:r>
      <w:r>
        <w:t xml:space="preserve"> </w:t>
      </w:r>
      <w:r>
        <w:t xml:space="preserve">directional reversal is tentative: the path- and sequence-based</w:t>
      </w:r>
      <w:r>
        <w:t xml:space="preserve"> </w:t>
      </w:r>
      <w:r>
        <w:t xml:space="preserve">embeddings may capture risk structure that matters more in a choppy</w:t>
      </w:r>
      <w:r>
        <w:t xml:space="preserve"> </w:t>
      </w:r>
      <w:r>
        <w:t xml:space="preserve">regime than in a monotone rally. A longer post-COVID sample would be</w:t>
      </w:r>
      <w:r>
        <w:t xml:space="preserve"> </w:t>
      </w:r>
      <w:r>
        <w:t xml:space="preserve">needed to tell.</w:t>
      </w:r>
    </w:p>
    <w:p>
      <w:pPr>
        <w:pStyle w:val="BodyText"/>
      </w:pPr>
      <w:r>
        <w:rPr>
          <w:b/>
          <w:bCs/>
        </w:rPr>
        <w:t xml:space="preserve">(4) RM_MOM (the Barroso–Santa-Clara variant)</w:t>
      </w:r>
      <w:r>
        <w:rPr>
          <w:b/>
          <w:bCs/>
        </w:rPr>
        <w:t xml:space="preserve"> </w:t>
      </w:r>
      <w:r>
        <w:rPr>
          <w:b/>
          <w:bCs/>
        </w:rPr>
        <w:t xml:space="preserve">shows its defensive role.</w:t>
      </w:r>
      <w:r>
        <w:t xml:space="preserve"> </w:t>
      </w:r>
      <w:r>
        <w:t xml:space="preserve">Post-COVID Sharpe is</w:t>
      </w:r>
      <w:r>
        <w:t xml:space="preserve"> </w:t>
      </w:r>
      <m:oMath>
        <m:r>
          <m:rPr>
            <m:sty m:val="p"/>
          </m:rPr>
          <m:t>−</m:t>
        </m:r>
        <m:r>
          <m:t>0.160</m:t>
        </m:r>
      </m:oMath>
      <w:r>
        <w:t xml:space="preserve"> </w:t>
      </w:r>
      <w:r>
        <w:t xml:space="preserve">(poor),</w:t>
      </w:r>
      <w:r>
        <w:t xml:space="preserve"> </w:t>
      </w:r>
      <w:r>
        <w:t xml:space="preserve">but MaxDD is only</w:t>
      </w:r>
      <w:r>
        <w:t xml:space="preserve"> </w:t>
      </w:r>
      <m:oMath>
        <m:r>
          <m:rPr>
            <m:sty m:val="p"/>
          </m:rPr>
          <m:t>−</m:t>
        </m:r>
        <m:r>
          <m:t>33</m:t>
        </m:r>
        <m:r>
          <m:rPr>
            <m:sty m:val="p"/>
          </m:rPr>
          <m:t>%</m:t>
        </m:r>
      </m:oMath>
      <w:r>
        <w:t xml:space="preserve">, substantially better than the other</w:t>
      </w:r>
      <w:r>
        <w:t xml:space="preserve"> </w:t>
      </w:r>
      <w:r>
        <w:t xml:space="preserve">momentum strategies’</w:t>
      </w:r>
      <w:r>
        <w:t xml:space="preserve"> </w:t>
      </w:r>
      <m:oMath>
        <m:r>
          <m:rPr>
            <m:sty m:val="p"/>
          </m:rPr>
          <m:t>−</m:t>
        </m:r>
        <m:r>
          <m:t>87</m:t>
        </m:r>
        <m:r>
          <m:rPr>
            <m:sty m:val="p"/>
          </m:rPr>
          <m:t>%</m:t>
        </m:r>
      </m:oMath>
      <w:r>
        <w:t xml:space="preserve">. The cash-residual de-risking saved</w:t>
      </w:r>
      <w:r>
        <w:t xml:space="preserve"> </w:t>
      </w:r>
      <w:r>
        <w:t xml:space="preserve">the portfolio from the worst part of the 2022 drawdown. This is</w:t>
      </w:r>
      <w:r>
        <w:t xml:space="preserve"> </w:t>
      </w:r>
      <w:r>
        <w:t xml:space="preserve">exactly the property Barroso &amp; Santa-Clara’s framework is designed</w:t>
      </w:r>
      <w:r>
        <w:t xml:space="preserve"> </w:t>
      </w:r>
      <w:r>
        <w:t xml:space="preserve">to deliver; the previously-buggy implementation completely hid it.</w:t>
      </w:r>
    </w:p>
    <w:bookmarkStart w:id="94" w:name="tab:regime"/>
    <w:p>
      <w:pPr>
        <w:pStyle w:val="TableCaption"/>
      </w:pPr>
      <w:r>
        <w:t xml:space="preserve">Regime sensitivity: 2020-2026 (incl COVID bull) vs 2022-2026 (post-COVID).</w:t>
      </w:r>
      <w:r>
        <w:t xml:space="preserve"> </w:t>
      </w:r>
      <w:r>
        <w:t xml:space="preserve">“Sharpe”</w:t>
      </w:r>
      <w:r>
        <w:t xml:space="preserve"> </w:t>
      </w:r>
      <w:r>
        <w:t xml:space="preserve">is annualised arithmetic;</w:t>
      </w:r>
      <w:r>
        <w:t xml:space="preserve"> </w:t>
      </w:r>
      <w:r>
        <w:t xml:space="preserve">“</w:t>
      </w:r>
      <m:oMath>
        <m:r>
          <m:rPr>
            <m:sty m:val="p"/>
          </m:rPr>
          <m:t>Δ</m:t>
        </m:r>
      </m:oMath>
      <w:r>
        <w:t xml:space="preserve">Sharpe”</w:t>
      </w:r>
      <w:r>
        <w:t xml:space="preserve"> </w:t>
      </w:r>
      <w:r>
        <w:t xml:space="preserve">is the change from full window</w:t>
      </w:r>
      <w:r>
        <w:t xml:space="preserve"> </w:t>
      </w:r>
      <w:r>
        <w:t xml:space="preserve">to post-COVID. A representative 17 of the 27 strategies are shown; the</w:t>
      </w:r>
      <w:r>
        <w:t xml:space="preserve"> </w:t>
      </w:r>
      <w:r>
        <w:t xml:space="preserve">eight omitted strategies all sit within the HRP-family Sharpe band in</w:t>
      </w:r>
      <w:r>
        <w:t xml:space="preserve"> </w:t>
      </w:r>
      <w:r>
        <w:t xml:space="preserve">both windows and track the HRP rows shown.</w:t>
      </w:r>
    </w:p>
    <w:tbl>
      <w:tblPr>
        <w:tblStyle w:val="Table"/>
        <w:tblW w:type="auto" w:w="0"/>
        <w:tblLook w:firstRow="1" w:lastRow="0" w:firstColumn="0" w:lastColumn="0" w:noHBand="0" w:noVBand="0" w:val="0020"/>
        <w:tblCaption w:val="Regime sensitivity: 2020-2026 (incl COVID bull) vs 2022-2026 (post-COVID). “Sharpe” is annualised arithmetic; “\DeltaSharpe” is the change from full window to post-COVID. A representative 17 of the 27 strategies are shown; the eight omitted strategies all sit within the HRP-family Sharpe band in both windows and track the HRP rows shown."/>
      </w:tblPr>
      <w:tblGrid>
        <w:gridCol w:w="1980"/>
        <w:gridCol w:w="1980"/>
        <w:gridCol w:w="1980"/>
        <w:gridCol w:w="1980"/>
      </w:tblGrid>
      <w:tr>
        <w:trPr>
          <w:tblHeader w:val="on"/>
        </w:trPr>
        <w:tc>
          <w:tcPr/>
          <w:p>
            <w:pPr>
              <w:pStyle w:val="Compact"/>
              <w:jc w:val="left"/>
            </w:pPr>
            <w:r>
              <w:t xml:space="preserve">Strategy</w:t>
            </w:r>
          </w:p>
        </w:tc>
        <w:tc>
          <w:tcPr/>
          <w:p>
            <w:pPr>
              <w:pStyle w:val="Compact"/>
              <w:jc w:val="right"/>
            </w:pPr>
            <w:r>
              <w:t xml:space="preserve">2020-2026 Sharpe</w:t>
            </w:r>
          </w:p>
        </w:tc>
        <w:tc>
          <w:tcPr/>
          <w:p>
            <w:pPr>
              <w:pStyle w:val="Compact"/>
              <w:jc w:val="right"/>
            </w:pPr>
            <w:r>
              <w:t xml:space="preserve">2022-2026 Sharpe</w:t>
            </w:r>
          </w:p>
        </w:tc>
        <w:tc>
          <w:tcPr/>
          <w:p>
            <w:pPr>
              <w:pStyle w:val="Compact"/>
              <w:jc w:val="right"/>
            </w:pPr>
            <m:oMath>
              <m:r>
                <m:rPr>
                  <m:sty m:val="p"/>
                </m:rPr>
                <m:t>Δ</m:t>
              </m:r>
            </m:oMath>
            <w:r>
              <w:t xml:space="preserve">Sharpe</w:t>
            </w:r>
          </w:p>
        </w:tc>
      </w:tr>
      <w:tr>
        <w:tc>
          <w:tcPr/>
          <w:p>
            <w:pPr>
              <w:pStyle w:val="Compact"/>
              <w:jc w:val="left"/>
            </w:pPr>
            <w:r>
              <w:t xml:space="preserve">HRP</w:t>
            </w:r>
          </w:p>
        </w:tc>
        <w:tc>
          <w:tcPr/>
          <w:p>
            <w:pPr>
              <w:pStyle w:val="Compact"/>
              <w:jc w:val="right"/>
            </w:pPr>
            <w:r>
              <w:t xml:space="preserve">0.741</w:t>
            </w:r>
          </w:p>
        </w:tc>
        <w:tc>
          <w:tcPr/>
          <w:p>
            <w:pPr>
              <w:pStyle w:val="Compact"/>
              <w:jc w:val="right"/>
            </w:pPr>
            <w:r>
              <w:t xml:space="preserve">0.047</w:t>
            </w:r>
          </w:p>
        </w:tc>
        <w:tc>
          <w:tcPr/>
          <w:p>
            <w:pPr>
              <w:pStyle w:val="Compact"/>
              <w:jc w:val="right"/>
            </w:pPr>
            <w:r>
              <w:t xml:space="preserve">–0.695</w:t>
            </w:r>
          </w:p>
        </w:tc>
      </w:tr>
      <w:tr>
        <w:tc>
          <w:tcPr/>
          <w:p>
            <w:pPr>
              <w:pStyle w:val="Compact"/>
              <w:jc w:val="left"/>
            </w:pPr>
            <w:r>
              <w:t xml:space="preserve">HRP_Dynamic_94</w:t>
            </w:r>
          </w:p>
        </w:tc>
        <w:tc>
          <w:tcPr/>
          <w:p>
            <w:pPr>
              <w:pStyle w:val="Compact"/>
              <w:jc w:val="right"/>
            </w:pPr>
            <w:r>
              <w:t xml:space="preserve">0.749</w:t>
            </w:r>
          </w:p>
        </w:tc>
        <w:tc>
          <w:tcPr/>
          <w:p>
            <w:pPr>
              <w:pStyle w:val="Compact"/>
              <w:jc w:val="right"/>
            </w:pPr>
            <w:r>
              <w:t xml:space="preserve">0.099</w:t>
            </w:r>
          </w:p>
        </w:tc>
        <w:tc>
          <w:tcPr/>
          <w:p>
            <w:pPr>
              <w:pStyle w:val="Compact"/>
              <w:jc w:val="right"/>
            </w:pPr>
            <w:r>
              <w:t xml:space="preserve">–0.650</w:t>
            </w:r>
          </w:p>
        </w:tc>
      </w:tr>
      <w:tr>
        <w:tc>
          <w:tcPr/>
          <w:p>
            <w:pPr>
              <w:pStyle w:val="Compact"/>
              <w:jc w:val="left"/>
            </w:pPr>
            <w:r>
              <w:t xml:space="preserve">HRP_ShrunkCov</w:t>
            </w:r>
          </w:p>
        </w:tc>
        <w:tc>
          <w:tcPr/>
          <w:p>
            <w:pPr>
              <w:pStyle w:val="Compact"/>
              <w:jc w:val="right"/>
            </w:pPr>
            <w:r>
              <w:t xml:space="preserve">0.746</w:t>
            </w:r>
          </w:p>
        </w:tc>
        <w:tc>
          <w:tcPr/>
          <w:p>
            <w:pPr>
              <w:pStyle w:val="Compact"/>
              <w:jc w:val="right"/>
            </w:pPr>
            <w:r>
              <w:t xml:space="preserve">0.038</w:t>
            </w:r>
          </w:p>
        </w:tc>
        <w:tc>
          <w:tcPr/>
          <w:p>
            <w:pPr>
              <w:pStyle w:val="Compact"/>
              <w:jc w:val="right"/>
            </w:pPr>
            <w:r>
              <w:t xml:space="preserve">–0.707</w:t>
            </w:r>
          </w:p>
        </w:tc>
      </w:tr>
      <w:tr>
        <w:tc>
          <w:tcPr/>
          <w:p>
            <w:pPr>
              <w:pStyle w:val="Compact"/>
              <w:jc w:val="left"/>
            </w:pPr>
            <w:r>
              <w:t xml:space="preserve">HRP_PartialCorr</w:t>
            </w:r>
          </w:p>
        </w:tc>
        <w:tc>
          <w:tcPr/>
          <w:p>
            <w:pPr>
              <w:pStyle w:val="Compact"/>
              <w:jc w:val="right"/>
            </w:pPr>
            <w:r>
              <w:t xml:space="preserve">0.720</w:t>
            </w:r>
          </w:p>
        </w:tc>
        <w:tc>
          <w:tcPr/>
          <w:p>
            <w:pPr>
              <w:pStyle w:val="Compact"/>
              <w:jc w:val="right"/>
            </w:pPr>
            <w:r>
              <w:t xml:space="preserve">0.057</w:t>
            </w:r>
          </w:p>
        </w:tc>
        <w:tc>
          <w:tcPr/>
          <w:p>
            <w:pPr>
              <w:pStyle w:val="Compact"/>
              <w:jc w:val="right"/>
            </w:pPr>
            <w:r>
              <w:t xml:space="preserve">–0.663</w:t>
            </w:r>
          </w:p>
        </w:tc>
      </w:tr>
      <w:tr>
        <w:tc>
          <w:tcPr/>
          <w:p>
            <w:pPr>
              <w:pStyle w:val="Compact"/>
              <w:jc w:val="left"/>
            </w:pPr>
            <w:r>
              <w:t xml:space="preserve">HRP_Contrastive</w:t>
            </w:r>
          </w:p>
        </w:tc>
        <w:tc>
          <w:tcPr/>
          <w:p>
            <w:pPr>
              <w:pStyle w:val="Compact"/>
              <w:jc w:val="right"/>
            </w:pPr>
            <w:r>
              <w:t xml:space="preserve">0.710</w:t>
            </w:r>
          </w:p>
        </w:tc>
        <w:tc>
          <w:tcPr/>
          <w:p>
            <w:pPr>
              <w:pStyle w:val="Compact"/>
              <w:jc w:val="right"/>
            </w:pPr>
            <w:r>
              <w:t xml:space="preserve">0.056</w:t>
            </w:r>
          </w:p>
        </w:tc>
        <w:tc>
          <w:tcPr/>
          <w:p>
            <w:pPr>
              <w:pStyle w:val="Compact"/>
              <w:jc w:val="right"/>
            </w:pPr>
            <w:r>
              <w:t xml:space="preserve">–0.655</w:t>
            </w:r>
          </w:p>
        </w:tc>
      </w:tr>
      <w:tr>
        <w:tc>
          <w:tcPr/>
          <w:p>
            <w:pPr>
              <w:pStyle w:val="Compact"/>
              <w:jc w:val="left"/>
            </w:pPr>
            <w:r>
              <w:t xml:space="preserve">HRP_PathSig</w:t>
            </w:r>
          </w:p>
        </w:tc>
        <w:tc>
          <w:tcPr/>
          <w:p>
            <w:pPr>
              <w:pStyle w:val="Compact"/>
              <w:jc w:val="right"/>
            </w:pPr>
            <w:r>
              <w:t xml:space="preserve">0.714</w:t>
            </w:r>
          </w:p>
        </w:tc>
        <w:tc>
          <w:tcPr/>
          <w:p>
            <w:pPr>
              <w:pStyle w:val="Compact"/>
              <w:jc w:val="right"/>
            </w:pPr>
            <w:r>
              <w:t xml:space="preserve">0.055</w:t>
            </w:r>
          </w:p>
        </w:tc>
        <w:tc>
          <w:tcPr/>
          <w:p>
            <w:pPr>
              <w:pStyle w:val="Compact"/>
              <w:jc w:val="right"/>
            </w:pPr>
            <w:r>
              <w:t xml:space="preserve">–0.659</w:t>
            </w:r>
          </w:p>
        </w:tc>
      </w:tr>
      <w:tr>
        <w:tc>
          <w:tcPr/>
          <w:p>
            <w:pPr>
              <w:pStyle w:val="Compact"/>
              <w:jc w:val="left"/>
            </w:pPr>
            <w:r>
              <w:t xml:space="preserve">HRP_TS2Vec</w:t>
            </w:r>
          </w:p>
        </w:tc>
        <w:tc>
          <w:tcPr/>
          <w:p>
            <w:pPr>
              <w:pStyle w:val="Compact"/>
              <w:jc w:val="right"/>
            </w:pPr>
            <w:r>
              <w:t xml:space="preserve">0.703</w:t>
            </w:r>
          </w:p>
        </w:tc>
        <w:tc>
          <w:tcPr/>
          <w:p>
            <w:pPr>
              <w:pStyle w:val="Compact"/>
              <w:jc w:val="right"/>
            </w:pPr>
            <w:r>
              <w:t xml:space="preserve">0.047</w:t>
            </w:r>
          </w:p>
        </w:tc>
        <w:tc>
          <w:tcPr/>
          <w:p>
            <w:pPr>
              <w:pStyle w:val="Compact"/>
              <w:jc w:val="right"/>
            </w:pPr>
            <w:r>
              <w:t xml:space="preserve">–0.657</w:t>
            </w:r>
          </w:p>
        </w:tc>
      </w:tr>
      <w:tr>
        <w:tc>
          <w:tcPr/>
          <w:p>
            <w:pPr>
              <w:pStyle w:val="Compact"/>
              <w:jc w:val="left"/>
            </w:pPr>
            <w:r>
              <w:t xml:space="preserve">HRP_NodeEmbed</w:t>
            </w:r>
          </w:p>
        </w:tc>
        <w:tc>
          <w:tcPr/>
          <w:p>
            <w:pPr>
              <w:pStyle w:val="Compact"/>
              <w:jc w:val="right"/>
            </w:pPr>
            <w:r>
              <w:t xml:space="preserve">0.705</w:t>
            </w:r>
          </w:p>
        </w:tc>
        <w:tc>
          <w:tcPr/>
          <w:p>
            <w:pPr>
              <w:pStyle w:val="Compact"/>
              <w:jc w:val="right"/>
            </w:pPr>
            <w:r>
              <w:t xml:space="preserve">0.031</w:t>
            </w:r>
          </w:p>
        </w:tc>
        <w:tc>
          <w:tcPr/>
          <w:p>
            <w:pPr>
              <w:pStyle w:val="Compact"/>
              <w:jc w:val="right"/>
            </w:pPr>
            <w:r>
              <w:t xml:space="preserve">–0.674</w:t>
            </w:r>
          </w:p>
        </w:tc>
      </w:tr>
      <w:tr>
        <w:tc>
          <w:tcPr/>
          <w:p>
            <w:pPr>
              <w:pStyle w:val="Compact"/>
              <w:jc w:val="left"/>
            </w:pPr>
            <w:r>
              <w:rPr>
                <w:b/>
                <w:bCs/>
              </w:rPr>
              <w:t xml:space="preserve">CRISP</w:t>
            </w:r>
          </w:p>
        </w:tc>
        <w:tc>
          <w:tcPr/>
          <w:p>
            <w:pPr>
              <w:pStyle w:val="Compact"/>
              <w:jc w:val="right"/>
            </w:pPr>
            <w:r>
              <w:rPr>
                <w:b/>
                <w:bCs/>
              </w:rPr>
              <w:t xml:space="preserve">0.989</w:t>
            </w:r>
          </w:p>
        </w:tc>
        <w:tc>
          <w:tcPr/>
          <w:p>
            <w:pPr>
              <w:pStyle w:val="Compact"/>
              <w:jc w:val="right"/>
            </w:pPr>
            <w:r>
              <w:rPr>
                <w:b/>
                <w:bCs/>
              </w:rPr>
              <w:t xml:space="preserve">0.363</w:t>
            </w:r>
          </w:p>
        </w:tc>
        <w:tc>
          <w:tcPr/>
          <w:p>
            <w:pPr>
              <w:pStyle w:val="Compact"/>
              <w:jc w:val="right"/>
            </w:pPr>
            <w:r>
              <w:t xml:space="preserve">–0.626</w:t>
            </w:r>
          </w:p>
        </w:tc>
      </w:tr>
      <w:tr>
        <w:tc>
          <w:tcPr/>
          <w:p>
            <w:pPr>
              <w:pStyle w:val="Compact"/>
              <w:jc w:val="left"/>
            </w:pPr>
            <w:r>
              <w:rPr>
                <w:b/>
                <w:bCs/>
              </w:rPr>
              <w:t xml:space="preserve">NCO_CRISP</w:t>
            </w:r>
          </w:p>
        </w:tc>
        <w:tc>
          <w:tcPr/>
          <w:p>
            <w:pPr>
              <w:pStyle w:val="Compact"/>
              <w:jc w:val="right"/>
            </w:pPr>
            <w:r>
              <w:rPr>
                <w:b/>
                <w:bCs/>
              </w:rPr>
              <w:t xml:space="preserve">0.977</w:t>
            </w:r>
          </w:p>
        </w:tc>
        <w:tc>
          <w:tcPr/>
          <w:p>
            <w:pPr>
              <w:pStyle w:val="Compact"/>
              <w:jc w:val="right"/>
            </w:pPr>
            <w:r>
              <w:rPr>
                <w:b/>
                <w:bCs/>
              </w:rPr>
              <w:t xml:space="preserve">0.368</w:t>
            </w:r>
          </w:p>
        </w:tc>
        <w:tc>
          <w:tcPr/>
          <w:p>
            <w:pPr>
              <w:pStyle w:val="Compact"/>
              <w:jc w:val="right"/>
            </w:pPr>
            <w:r>
              <w:t xml:space="preserve">–0.610</w:t>
            </w:r>
          </w:p>
        </w:tc>
      </w:tr>
      <w:tr>
        <w:tc>
          <w:tcPr/>
          <w:p>
            <w:pPr>
              <w:pStyle w:val="Compact"/>
              <w:jc w:val="left"/>
            </w:pPr>
            <w:r>
              <w:rPr>
                <w:b/>
                <w:bCs/>
              </w:rPr>
              <w:t xml:space="preserve">NCO</w:t>
            </w:r>
          </w:p>
        </w:tc>
        <w:tc>
          <w:tcPr/>
          <w:p>
            <w:pPr>
              <w:pStyle w:val="Compact"/>
              <w:jc w:val="right"/>
            </w:pPr>
            <w:r>
              <w:rPr>
                <w:b/>
                <w:bCs/>
              </w:rPr>
              <w:t xml:space="preserve">0.933</w:t>
            </w:r>
          </w:p>
        </w:tc>
        <w:tc>
          <w:tcPr/>
          <w:p>
            <w:pPr>
              <w:pStyle w:val="Compact"/>
              <w:jc w:val="right"/>
            </w:pPr>
            <w:r>
              <w:rPr>
                <w:b/>
                <w:bCs/>
              </w:rPr>
              <w:t xml:space="preserve">0.264</w:t>
            </w:r>
          </w:p>
        </w:tc>
        <w:tc>
          <w:tcPr/>
          <w:p>
            <w:pPr>
              <w:pStyle w:val="Compact"/>
              <w:jc w:val="right"/>
            </w:pPr>
            <w:r>
              <w:t xml:space="preserve">–0.669</w:t>
            </w:r>
          </w:p>
        </w:tc>
      </w:tr>
      <w:tr>
        <w:tc>
          <w:tcPr/>
          <w:p>
            <w:pPr>
              <w:pStyle w:val="Compact"/>
              <w:jc w:val="left"/>
            </w:pPr>
            <w:r>
              <w:t xml:space="preserve">MVP</w:t>
            </w:r>
          </w:p>
        </w:tc>
        <w:tc>
          <w:tcPr/>
          <w:p>
            <w:pPr>
              <w:pStyle w:val="Compact"/>
              <w:jc w:val="right"/>
            </w:pPr>
            <w:r>
              <w:t xml:space="preserve">1.057</w:t>
            </w:r>
          </w:p>
        </w:tc>
        <w:tc>
          <w:tcPr/>
          <w:p>
            <w:pPr>
              <w:pStyle w:val="Compact"/>
              <w:jc w:val="right"/>
            </w:pPr>
            <w:r>
              <w:t xml:space="preserve">0.482</w:t>
            </w:r>
          </w:p>
        </w:tc>
        <w:tc>
          <w:tcPr/>
          <w:p>
            <w:pPr>
              <w:pStyle w:val="Compact"/>
              <w:jc w:val="right"/>
            </w:pPr>
            <w:r>
              <w:t xml:space="preserve">–0.575</w:t>
            </w:r>
          </w:p>
        </w:tc>
      </w:tr>
      <w:tr>
        <w:tc>
          <w:tcPr/>
          <w:p>
            <w:pPr>
              <w:pStyle w:val="Compact"/>
              <w:jc w:val="left"/>
            </w:pPr>
            <w:r>
              <w:t xml:space="preserve">MaxDiv</w:t>
            </w:r>
          </w:p>
        </w:tc>
        <w:tc>
          <w:tcPr/>
          <w:p>
            <w:pPr>
              <w:pStyle w:val="Compact"/>
              <w:jc w:val="right"/>
            </w:pPr>
            <w:r>
              <w:t xml:space="preserve">0.719</w:t>
            </w:r>
          </w:p>
        </w:tc>
        <w:tc>
          <w:tcPr/>
          <w:p>
            <w:pPr>
              <w:pStyle w:val="Compact"/>
              <w:jc w:val="right"/>
            </w:pPr>
            <w:r>
              <w:t xml:space="preserve">–0.163</w:t>
            </w:r>
          </w:p>
        </w:tc>
        <w:tc>
          <w:tcPr/>
          <w:p>
            <w:pPr>
              <w:pStyle w:val="Compact"/>
              <w:jc w:val="right"/>
            </w:pPr>
            <w:r>
              <w:t xml:space="preserve">–0.882</w:t>
            </w:r>
          </w:p>
        </w:tc>
      </w:tr>
      <w:tr>
        <w:tc>
          <w:tcPr/>
          <w:p>
            <w:pPr>
              <w:pStyle w:val="Compact"/>
              <w:jc w:val="left"/>
            </w:pPr>
            <w:r>
              <w:t xml:space="preserve">ERC</w:t>
            </w:r>
          </w:p>
        </w:tc>
        <w:tc>
          <w:tcPr/>
          <w:p>
            <w:pPr>
              <w:pStyle w:val="Compact"/>
              <w:jc w:val="right"/>
            </w:pPr>
            <w:r>
              <w:t xml:space="preserve">0.663</w:t>
            </w:r>
          </w:p>
        </w:tc>
        <w:tc>
          <w:tcPr/>
          <w:p>
            <w:pPr>
              <w:pStyle w:val="Compact"/>
              <w:jc w:val="right"/>
            </w:pPr>
            <w:r>
              <w:t xml:space="preserve">–0.026</w:t>
            </w:r>
          </w:p>
        </w:tc>
        <w:tc>
          <w:tcPr/>
          <w:p>
            <w:pPr>
              <w:pStyle w:val="Compact"/>
              <w:jc w:val="right"/>
            </w:pPr>
            <w:r>
              <w:t xml:space="preserve">–0.688</w:t>
            </w:r>
          </w:p>
        </w:tc>
      </w:tr>
      <w:tr>
        <w:tc>
          <w:tcPr/>
          <w:p>
            <w:pPr>
              <w:pStyle w:val="Compact"/>
              <w:jc w:val="left"/>
            </w:pPr>
            <w:r>
              <w:t xml:space="preserve">CS_MOM_eq21</w:t>
            </w:r>
          </w:p>
        </w:tc>
        <w:tc>
          <w:tcPr/>
          <w:p>
            <w:pPr>
              <w:pStyle w:val="Compact"/>
              <w:jc w:val="right"/>
            </w:pPr>
            <w:r>
              <w:t xml:space="preserve">0.663</w:t>
            </w:r>
          </w:p>
        </w:tc>
        <w:tc>
          <w:tcPr/>
          <w:p>
            <w:pPr>
              <w:pStyle w:val="Compact"/>
              <w:jc w:val="right"/>
            </w:pPr>
            <w:r>
              <w:t xml:space="preserve">–0.161</w:t>
            </w:r>
          </w:p>
        </w:tc>
        <w:tc>
          <w:tcPr/>
          <w:p>
            <w:pPr>
              <w:pStyle w:val="Compact"/>
              <w:jc w:val="right"/>
            </w:pPr>
            <w:r>
              <w:t xml:space="preserve">–0.824</w:t>
            </w:r>
          </w:p>
        </w:tc>
      </w:tr>
      <w:tr>
        <w:tc>
          <w:tcPr/>
          <w:p>
            <w:pPr>
              <w:pStyle w:val="Compact"/>
              <w:jc w:val="left"/>
            </w:pPr>
            <w:r>
              <w:t xml:space="preserve">RM_MOM</w:t>
            </w:r>
          </w:p>
        </w:tc>
        <w:tc>
          <w:tcPr/>
          <w:p>
            <w:pPr>
              <w:pStyle w:val="Compact"/>
              <w:jc w:val="right"/>
            </w:pPr>
            <w:r>
              <w:t xml:space="preserve">0.663</w:t>
            </w:r>
          </w:p>
        </w:tc>
        <w:tc>
          <w:tcPr/>
          <w:p>
            <w:pPr>
              <w:pStyle w:val="Compact"/>
              <w:jc w:val="right"/>
            </w:pPr>
            <w:r>
              <w:t xml:space="preserve">–0.160</w:t>
            </w:r>
          </w:p>
        </w:tc>
        <w:tc>
          <w:tcPr/>
          <w:p>
            <w:pPr>
              <w:pStyle w:val="Compact"/>
              <w:jc w:val="right"/>
            </w:pPr>
            <w:r>
              <w:t xml:space="preserve">–0.824</w:t>
            </w:r>
          </w:p>
        </w:tc>
      </w:tr>
      <w:tr>
        <w:tc>
          <w:tcPr/>
          <w:p>
            <w:pPr>
              <w:pStyle w:val="Compact"/>
              <w:jc w:val="left"/>
            </w:pPr>
            <w:r>
              <w:t xml:space="preserve">NCO_RT</w:t>
            </w:r>
          </w:p>
        </w:tc>
        <w:tc>
          <w:tcPr/>
          <w:p>
            <w:pPr>
              <w:pStyle w:val="Compact"/>
              <w:jc w:val="right"/>
            </w:pPr>
            <w:r>
              <w:t xml:space="preserve">0.003</w:t>
            </w:r>
          </w:p>
        </w:tc>
        <w:tc>
          <w:tcPr/>
          <w:p>
            <w:pPr>
              <w:pStyle w:val="Compact"/>
              <w:jc w:val="right"/>
            </w:pPr>
            <w:r>
              <w:t xml:space="preserve">–0.414</w:t>
            </w:r>
          </w:p>
        </w:tc>
        <w:tc>
          <w:tcPr/>
          <w:p>
            <w:pPr>
              <w:pStyle w:val="Compact"/>
              <w:jc w:val="right"/>
            </w:pPr>
            <w:r>
              <w:t xml:space="preserve">–0.417</w:t>
            </w:r>
          </w:p>
        </w:tc>
      </w:tr>
      <w:tr>
        <w:tc>
          <w:tcPr/>
          <w:p>
            <w:pPr>
              <w:pStyle w:val="Compact"/>
              <w:jc w:val="left"/>
            </w:pPr>
            <w:r>
              <w:t xml:space="preserve">HODL_BTC</w:t>
            </w:r>
          </w:p>
        </w:tc>
        <w:tc>
          <w:tcPr/>
          <w:p>
            <w:pPr>
              <w:pStyle w:val="Compact"/>
              <w:jc w:val="right"/>
            </w:pPr>
            <w:r>
              <w:t xml:space="preserve">0.868</w:t>
            </w:r>
          </w:p>
        </w:tc>
        <w:tc>
          <w:tcPr/>
          <w:p>
            <w:pPr>
              <w:pStyle w:val="Compact"/>
              <w:jc w:val="right"/>
            </w:pPr>
            <w:r>
              <w:t xml:space="preserve">0.585</w:t>
            </w:r>
          </w:p>
        </w:tc>
        <w:tc>
          <w:tcPr/>
          <w:p>
            <w:pPr>
              <w:pStyle w:val="Compact"/>
              <w:jc w:val="right"/>
            </w:pPr>
            <w:r>
              <w:t xml:space="preserve">–0.283</w:t>
            </w:r>
          </w:p>
        </w:tc>
      </w:tr>
    </w:tbl>
    <w:bookmarkEnd w:id="94"/>
    <w:bookmarkEnd w:id="95"/>
    <w:bookmarkEnd w:id="96"/>
    <w:bookmarkStart w:id="105" w:name="cost-sensitivity-and-scenario-comparison"/>
    <w:p>
      <w:pPr>
        <w:pStyle w:val="Heading2"/>
      </w:pPr>
      <w:r>
        <w:t xml:space="preserve">Cost sensitivity and scenario comparison</w:t>
      </w:r>
    </w:p>
    <w:p>
      <w:pPr>
        <w:pStyle w:val="FirstParagraph"/>
      </w:pPr>
      <w:r>
        <w:t xml:space="preserve">The cost grid (Figure </w:t>
      </w:r>
      <w:hyperlink w:anchor="fig:cost_sens">
        <w:r>
          <w:rPr>
            <w:rStyle w:val="Hyperlink"/>
          </w:rPr>
          <w:t xml:space="preserve">6</w:t>
        </w:r>
      </w:hyperlink>
      <w:r>
        <w:t xml:space="preserve">) shows annualised-Sharpe</w:t>
      </w:r>
      <w:r>
        <w:t xml:space="preserve"> </w:t>
      </w:r>
      <w:r>
        <w:t xml:space="preserve">shifts under</w:t>
      </w:r>
      <w:r>
        <w:t xml:space="preserve"> </w:t>
      </w:r>
      <m:oMath>
        <m:r>
          <m:t>0.01</m:t>
        </m:r>
      </m:oMath>
      <w:r>
        <w:t xml:space="preserve"> </w:t>
      </w:r>
      <w:r>
        <w:t xml:space="preserve">across the four cost scenarios for all five</w:t>
      </w:r>
      <w:r>
        <w:t xml:space="preserve"> </w:t>
      </w:r>
      <w:r>
        <w:t xml:space="preserve">strategies tested: baseline HRP, for example, moves from</w:t>
      </w:r>
      <w:r>
        <w:t xml:space="preserve"> </w:t>
      </w:r>
      <m:oMath>
        <m:r>
          <m:t>0.749</m:t>
        </m:r>
      </m:oMath>
      <w:r>
        <w:t xml:space="preserve"> </w:t>
      </w:r>
      <w:r>
        <w:t xml:space="preserve">(zero</w:t>
      </w:r>
      <w:r>
        <w:t xml:space="preserve"> </w:t>
      </w:r>
      <w:r>
        <w:t xml:space="preserve">cost) to</w:t>
      </w:r>
      <w:r>
        <w:t xml:space="preserve"> </w:t>
      </w:r>
      <m:oMath>
        <m:r>
          <m:t>0.740</m:t>
        </m:r>
      </m:oMath>
      <w:r>
        <w:t xml:space="preserve"> </w:t>
      </w:r>
      <w:r>
        <w:t xml:space="preserve">(stress). Monthly-cadence transaction costs do not drive</w:t>
      </w:r>
      <w:r>
        <w:t xml:space="preserve"> </w:t>
      </w:r>
      <w:r>
        <w:t xml:space="preserve">strategy differentiation on this dataset. This is a stylized flat</w:t>
      </w:r>
      <w:r>
        <w:t xml:space="preserve"> </w:t>
      </w:r>
      <w:r>
        <w:t xml:space="preserve">turnover-based sensitivity model with a liquidation premium, not a full</w:t>
      </w:r>
      <w:r>
        <w:t xml:space="preserve"> </w:t>
      </w:r>
      <w:r>
        <w:t xml:space="preserve">liquidity-impact execution model.</w:t>
      </w:r>
    </w:p>
    <w:bookmarkStart w:id="100" w:name="fig:cost_sens"/>
    <w:p>
      <w:pPr>
        <w:pStyle w:val="CaptionedFigure"/>
      </w:pPr>
      <w:r>
        <w:drawing>
          <wp:inline>
            <wp:extent cx="4533900" cy="2496589"/>
            <wp:effectExtent b="0" l="0" r="0" t="0"/>
            <wp:docPr descr="" title="" id="98" name="Picture"/>
            <a:graphic>
              <a:graphicData uri="http://schemas.openxmlformats.org/drawingml/2006/picture">
                <pic:pic>
                  <pic:nvPicPr>
                    <pic:cNvPr descr="../figures/cost_sensitivity_sharpe.png" id="99" name="Picture"/>
                    <pic:cNvPicPr>
                      <a:picLocks noChangeArrowheads="1" noChangeAspect="1"/>
                    </pic:cNvPicPr>
                  </pic:nvPicPr>
                  <pic:blipFill>
                    <a:blip r:embed="rId97"/>
                    <a:stretch>
                      <a:fillRect/>
                    </a:stretch>
                  </pic:blipFill>
                  <pic:spPr bwMode="auto">
                    <a:xfrm>
                      <a:off x="0" y="0"/>
                      <a:ext cx="4533900" cy="2496589"/>
                    </a:xfrm>
                    <a:prstGeom prst="rect">
                      <a:avLst/>
                    </a:prstGeom>
                    <a:noFill/>
                    <a:ln w="9525">
                      <a:noFill/>
                      <a:headEnd/>
                      <a:tailEnd/>
                    </a:ln>
                  </pic:spPr>
                </pic:pic>
              </a:graphicData>
            </a:graphic>
          </wp:inline>
        </w:drawing>
      </w:r>
    </w:p>
    <w:p>
      <w:pPr>
        <w:pStyle w:val="ImageCaption"/>
      </w:pPr>
      <w:r>
        <w:t xml:space="preserve">Cost-sensitivity grid. Rankings are robust across the four</w:t>
      </w:r>
      <w:r>
        <w:t xml:space="preserve"> </w:t>
      </w:r>
      <w:r>
        <w:t xml:space="preserve">cost scenarios.</w:t>
      </w:r>
    </w:p>
    <w:bookmarkEnd w:id="100"/>
    <w:bookmarkStart w:id="104" w:name="fig:turnover"/>
    <w:p>
      <w:pPr>
        <w:pStyle w:val="CaptionedFigure"/>
      </w:pPr>
      <w:r>
        <w:drawing>
          <wp:inline>
            <wp:extent cx="5067300" cy="2508057"/>
            <wp:effectExtent b="0" l="0" r="0" t="0"/>
            <wp:docPr descr="" title="" id="102" name="Picture"/>
            <a:graphic>
              <a:graphicData uri="http://schemas.openxmlformats.org/drawingml/2006/picture">
                <pic:pic>
                  <pic:nvPicPr>
                    <pic:cNvPr descr="../figures/turnover_analysis.png" id="103" name="Picture"/>
                    <pic:cNvPicPr>
                      <a:picLocks noChangeArrowheads="1" noChangeAspect="1"/>
                    </pic:cNvPicPr>
                  </pic:nvPicPr>
                  <pic:blipFill>
                    <a:blip r:embed="rId101"/>
                    <a:stretch>
                      <a:fillRect/>
                    </a:stretch>
                  </pic:blipFill>
                  <pic:spPr bwMode="auto">
                    <a:xfrm>
                      <a:off x="0" y="0"/>
                      <a:ext cx="5067300" cy="2508057"/>
                    </a:xfrm>
                    <a:prstGeom prst="rect">
                      <a:avLst/>
                    </a:prstGeom>
                    <a:noFill/>
                    <a:ln w="9525">
                      <a:noFill/>
                      <a:headEnd/>
                      <a:tailEnd/>
                    </a:ln>
                  </pic:spPr>
                </pic:pic>
              </a:graphicData>
            </a:graphic>
          </wp:inline>
        </w:drawing>
      </w:r>
    </w:p>
    <w:p>
      <w:pPr>
        <w:pStyle w:val="ImageCaption"/>
      </w:pPr>
      <w:r>
        <w:t xml:space="preserve">Average</w:t>
      </w:r>
      <w:r>
        <w:t xml:space="preserve"> </w:t>
      </w:r>
      <m:oMath>
        <m:sSub>
          <m:e>
            <m:r>
              <m:t>L</m:t>
            </m:r>
          </m:e>
          <m:sub>
            <m:r>
              <m:t>1</m:t>
            </m:r>
          </m:sub>
        </m:sSub>
      </m:oMath>
      <w:r>
        <w:t xml:space="preserve"> </w:t>
      </w:r>
      <w:r>
        <w:t xml:space="preserve">turnover per rebalance over time. Risk-based</w:t>
      </w:r>
      <w:r>
        <w:t xml:space="preserve"> </w:t>
      </w:r>
      <w:r>
        <w:t xml:space="preserve">HRP variants and IVP cluster around</w:t>
      </w:r>
      <w:r>
        <w:t xml:space="preserve"> </w:t>
      </w:r>
      <m:oMath>
        <m:r>
          <m:t>0.2</m:t>
        </m:r>
      </m:oMath>
      <w:r>
        <w:t xml:space="preserve">–</w:t>
      </w:r>
      <m:oMath>
        <m:r>
          <m:t>0.4</m:t>
        </m:r>
      </m:oMath>
      <w:r>
        <w:t xml:space="preserve">; momentum and the</w:t>
      </w:r>
      <w:r>
        <w:t xml:space="preserve"> </w:t>
      </w:r>
      <w:r>
        <w:t xml:space="preserve">return-tilted strategies (CS_MOM, MOM_HRP, NCO_RT, NCOML,</w:t>
      </w:r>
      <w:r>
        <w:t xml:space="preserve"> </w:t>
      </w:r>
      <w:r>
        <w:t xml:space="preserve">HRPSigmaMu) carry</w:t>
      </w:r>
      <w:r>
        <w:t xml:space="preserve"> </w:t>
      </w:r>
      <m:oMath>
        <m:r>
          <m:t>1.4</m:t>
        </m:r>
      </m:oMath>
      <w:r>
        <w:t xml:space="preserve">–</w:t>
      </w:r>
      <m:oMath>
        <m:r>
          <m:t>1.7</m:t>
        </m:r>
      </m:oMath>
      <w:r>
        <w:t xml:space="preserve">, an order of magnitude higher.</w:t>
      </w:r>
      <w:r>
        <w:t xml:space="preserve"> </w:t>
      </w:r>
      <w:r>
        <w:t xml:space="preserve">Costs at the headline 10 bps fee never alter the Sharpe ranking</w:t>
      </w:r>
      <w:r>
        <w:t xml:space="preserve"> </w:t>
      </w:r>
      <w:r>
        <w:t xml:space="preserve">(Figure </w:t>
      </w:r>
      <w:hyperlink w:anchor="fig:cost_sens">
        <w:r>
          <w:rPr>
            <w:rStyle w:val="Hyperlink"/>
          </w:rPr>
          <w:t xml:space="preserve">6</w:t>
        </w:r>
      </w:hyperlink>
      <w:r>
        <w:t xml:space="preserve">), but the gap shows where any</w:t>
      </w:r>
      <w:r>
        <w:t xml:space="preserve"> </w:t>
      </w:r>
      <w:r>
        <w:t xml:space="preserve">liquidity-impact extension to the cost model would bite.</w:t>
      </w:r>
    </w:p>
    <w:bookmarkEnd w:id="104"/>
    <w:p>
      <w:pPr>
        <w:pStyle w:val="BodyText"/>
      </w:pPr>
      <w:r>
        <w:t xml:space="preserve">Threshold rebalancing (Scenario C, 5% drift trigger) does not improve</w:t>
      </w:r>
      <w:r>
        <w:t xml:space="preserve"> </w:t>
      </w:r>
      <w:r>
        <w:t xml:space="preserve">on calendar rebalancing here: HRP’s Sharpe edges down from</w:t>
      </w:r>
      <w:r>
        <w:t xml:space="preserve"> </w:t>
      </w:r>
      <m:oMath>
        <m:r>
          <m:t>0.741</m:t>
        </m:r>
      </m:oMath>
      <w:r>
        <w:t xml:space="preserve"> </w:t>
      </w:r>
      <w:r>
        <w:t xml:space="preserve">to</w:t>
      </w:r>
      <w:r>
        <w:t xml:space="preserve"> </w:t>
      </w:r>
      <m:oMath>
        <m:r>
          <m:t>0.735</m:t>
        </m:r>
      </m:oMath>
      <w:r>
        <w:t xml:space="preserve"> </w:t>
      </w:r>
      <w:r>
        <w:t xml:space="preserve">and HRP_ShrunkCov is essentially flat (</w:t>
      </w:r>
      <m:oMath>
        <m:r>
          <m:t>0.746</m:t>
        </m:r>
        <m:r>
          <m:rPr>
            <m:sty m:val="p"/>
          </m:rPr>
          <m:t>→</m:t>
        </m:r>
        <m:r>
          <m:t>0.745</m:t>
        </m:r>
      </m:oMath>
      <w:r>
        <w:t xml:space="preserve">),</w:t>
      </w:r>
      <w:r>
        <w:t xml:space="preserve"> </w:t>
      </w:r>
      <w:r>
        <w:t xml:space="preserve">with only a marginal turnover reduction. The smoothed variant</w:t>
      </w:r>
      <w:r>
        <w:t xml:space="preserve"> </w:t>
      </w:r>
      <w:r>
        <w:t xml:space="preserve">(Scenario C</w:t>
      </w:r>
      <m:oMath>
        <m:r>
          <m:rPr>
            <m:sty m:val="p"/>
          </m:rPr>
          <m:t>′</m:t>
        </m:r>
      </m:oMath>
      <w:r>
        <w:t xml:space="preserve">) cuts turnover more materially, with HRP’s average</w:t>
      </w:r>
      <w:r>
        <w:t xml:space="preserve"> </w:t>
      </w:r>
      <m:oMath>
        <m:sSub>
          <m:e>
            <m:r>
              <m:t>L</m:t>
            </m:r>
          </m:e>
          <m:sub>
            <m:r>
              <m:t>1</m:t>
            </m:r>
          </m:sub>
        </m:sSub>
      </m:oMath>
      <w:r>
        <w:t xml:space="preserve"> </w:t>
      </w:r>
      <w:r>
        <w:t xml:space="preserve">turnover falling from</w:t>
      </w:r>
      <w:r>
        <w:t xml:space="preserve"> </w:t>
      </w:r>
      <m:oMath>
        <m:r>
          <m:t>0.36</m:t>
        </m:r>
      </m:oMath>
      <w:r>
        <w:t xml:space="preserve"> </w:t>
      </w:r>
      <w:r>
        <w:t xml:space="preserve">to</w:t>
      </w:r>
      <w:r>
        <w:t xml:space="preserve"> </w:t>
      </w:r>
      <m:oMath>
        <m:r>
          <m:t>0.23</m:t>
        </m:r>
      </m:oMath>
      <w:r>
        <w:t xml:space="preserve">, at a modest Sharpe cost</w:t>
      </w:r>
      <w:r>
        <w:t xml:space="preserve"> </w:t>
      </w:r>
      <w:r>
        <w:t xml:space="preserve">(</w:t>
      </w:r>
      <m:oMath>
        <m:r>
          <m:t>0.741</m:t>
        </m:r>
        <m:r>
          <m:rPr>
            <m:sty m:val="p"/>
          </m:rPr>
          <m:t>→</m:t>
        </m:r>
        <m:r>
          <m:t>0.731</m:t>
        </m:r>
      </m:oMath>
      <w:r>
        <w:t xml:space="preserve">). The momentum strategies are the exception:</w:t>
      </w:r>
      <w:r>
        <w:t xml:space="preserve"> </w:t>
      </w:r>
      <w:r>
        <w:t xml:space="preserve">RM_MOM’s volatility-targeting overlay needs to trade to function, and</w:t>
      </w:r>
      <w:r>
        <w:t xml:space="preserve"> </w:t>
      </w:r>
      <w:r>
        <w:t xml:space="preserve">suppressing or smoothing its rebalances collapses its Sharpe (from</w:t>
      </w:r>
      <w:r>
        <w:t xml:space="preserve"> </w:t>
      </w:r>
      <m:oMath>
        <m:r>
          <m:t>0.66</m:t>
        </m:r>
      </m:oMath>
      <w:r>
        <w:t xml:space="preserve"> </w:t>
      </w:r>
      <w:r>
        <w:t xml:space="preserve">under calendar rebalancing to</w:t>
      </w:r>
      <w:r>
        <w:t xml:space="preserve"> </w:t>
      </w:r>
      <m:oMath>
        <m:r>
          <m:t>0.37</m:t>
        </m:r>
      </m:oMath>
      <w:r>
        <w:t xml:space="preserve"> </w:t>
      </w:r>
      <w:r>
        <w:t xml:space="preserve">under Scenario C and</w:t>
      </w:r>
      <w:r>
        <w:t xml:space="preserve"> </w:t>
      </w:r>
      <m:oMath>
        <m:r>
          <m:t>0.05</m:t>
        </m:r>
      </m:oMath>
      <w:r>
        <w:t xml:space="preserve"> </w:t>
      </w:r>
      <w:r>
        <w:t xml:space="preserve">under C</w:t>
      </w:r>
      <m:oMath>
        <m:r>
          <m:rPr>
            <m:sty m:val="p"/>
          </m:rPr>
          <m:t>′</m:t>
        </m:r>
      </m:oMath>
      <w:r>
        <w:t xml:space="preserve">). Threshold logic suits low-turnover risk-based</w:t>
      </w:r>
      <w:r>
        <w:t xml:space="preserve"> </w:t>
      </w:r>
      <w:r>
        <w:t xml:space="preserve">strategies and actively harms turnover-dependent ones.</w:t>
      </w:r>
    </w:p>
    <w:bookmarkEnd w:id="105"/>
    <w:bookmarkStart w:id="106" w:name="sec:results-weekly"/>
    <w:p>
      <w:pPr>
        <w:pStyle w:val="Heading2"/>
      </w:pPr>
      <w:r>
        <w:t xml:space="preserve">Weekly cadence</w:t>
      </w:r>
    </w:p>
    <w:p>
      <w:pPr>
        <w:pStyle w:val="FirstParagraph"/>
      </w:pPr>
      <w:r>
        <w:t xml:space="preserve">The headline uses 76 monthly rebalances; crypto momentum is documented</w:t>
      </w:r>
      <w:r>
        <w:t xml:space="preserve"> </w:t>
      </w:r>
      <w:r>
        <w:t xml:space="preserve">to decay over 1–4 weeks</w:t>
      </w:r>
      <w:r>
        <w:t xml:space="preserve"> </w:t>
      </w:r>
      <w:r>
        <w:t xml:space="preserve">(Liu et al. 2022)</w:t>
      </w:r>
      <w:r>
        <w:t xml:space="preserve">, so monthly</w:t>
      </w:r>
      <w:r>
        <w:t xml:space="preserve"> </w:t>
      </w:r>
      <w:r>
        <w:t xml:space="preserve">rebalancing may understate any faster-horizon edge. We re-ran the</w:t>
      </w:r>
      <w:r>
        <w:t xml:space="preserve"> </w:t>
      </w:r>
      <w:r>
        <w:t xml:space="preserve">non-embedding strategies at weekly cadence (</w:t>
      </w:r>
      <m:oMath>
        <m:r>
          <m:rPr>
            <m:sty m:val="p"/>
          </m:rPr>
          <m:t>∼</m:t>
        </m:r>
      </m:oMath>
      <w:r>
        <w:t xml:space="preserve">330 rebalances;</w:t>
      </w:r>
      <w:r>
        <w:t xml:space="preserve"> </w:t>
      </w:r>
      <w:r>
        <w:t xml:space="preserve">embeddings are excluded as retraining four encoders 330 times is</w:t>
      </w:r>
      <w:r>
        <w:t xml:space="preserve"> </w:t>
      </w:r>
      <w:r>
        <w:t xml:space="preserve">prohibitive). Two things change. First,</w:t>
      </w:r>
      <w:r>
        <w:t xml:space="preserve"> </w:t>
      </w:r>
      <w:r>
        <w:rPr>
          <w:i/>
          <w:iCs/>
        </w:rPr>
        <w:t xml:space="preserve">every</w:t>
      </w:r>
      <w:r>
        <w:t xml:space="preserve"> </w:t>
      </w:r>
      <w:r>
        <w:t xml:space="preserve">strategy’s Sharpe</w:t>
      </w:r>
      <w:r>
        <w:t xml:space="preserve"> </w:t>
      </w:r>
      <w:r>
        <w:t xml:space="preserve">rises (baseline HRP</w:t>
      </w:r>
      <w:r>
        <w:t xml:space="preserve"> </w:t>
      </w:r>
      <m:oMath>
        <m:r>
          <m:t>0.74</m:t>
        </m:r>
        <m:r>
          <m:rPr>
            <m:sty m:val="p"/>
          </m:rPr>
          <m:t>→</m:t>
        </m:r>
        <m:r>
          <m:t>0.82</m:t>
        </m:r>
      </m:oMath>
      <w:r>
        <w:t xml:space="preserve">, NCO</w:t>
      </w:r>
      <w:r>
        <w:t xml:space="preserve"> </w:t>
      </w:r>
      <m:oMath>
        <m:r>
          <m:t>0.93</m:t>
        </m:r>
        <m:r>
          <m:rPr>
            <m:sty m:val="p"/>
          </m:rPr>
          <m:t>→</m:t>
        </m:r>
        <m:r>
          <m:t>1.03</m:t>
        </m:r>
      </m:oMath>
      <w:r>
        <w:t xml:space="preserve">), and the momentum</w:t>
      </w:r>
      <w:r>
        <w:t xml:space="preserve"> </w:t>
      </w:r>
      <w:r>
        <w:t xml:space="preserve">family rises most (RM_MOM</w:t>
      </w:r>
      <w:r>
        <w:t xml:space="preserve"> </w:t>
      </w:r>
      <m:oMath>
        <m:r>
          <m:t>0.66</m:t>
        </m:r>
        <m:r>
          <m:rPr>
            <m:sty m:val="p"/>
          </m:rPr>
          <m:t>→</m:t>
        </m:r>
        <m:r>
          <m:t>0.92</m:t>
        </m:r>
      </m:oMath>
      <w:r>
        <w:t xml:space="preserve">, CS_MOM</w:t>
      </w:r>
      <w:r>
        <w:t xml:space="preserve"> </w:t>
      </w:r>
      <m:oMath>
        <m:r>
          <m:t>0.66</m:t>
        </m:r>
        <m:r>
          <m:rPr>
            <m:sty m:val="p"/>
          </m:rPr>
          <m:t>→</m:t>
        </m:r>
        <m:r>
          <m:t>0.91</m:t>
        </m:r>
      </m:oMath>
      <w:r>
        <w:t xml:space="preserve">),</w:t>
      </w:r>
      <w:r>
        <w:t xml:space="preserve"> </w:t>
      </w:r>
      <w:r>
        <w:t xml:space="preserve">consistent with momentum’s short crypto half-life: monthly rebalancing</w:t>
      </w:r>
      <w:r>
        <w:t xml:space="preserve"> </w:t>
      </w:r>
      <w:r>
        <w:t xml:space="preserve">was simply too slow for it. Second, and despite the</w:t>
      </w:r>
      <w:r>
        <w:t xml:space="preserve"> </w:t>
      </w:r>
      <m:oMath>
        <m:r>
          <m:rPr>
            <m:sty m:val="p"/>
          </m:rPr>
          <m:t>∼</m:t>
        </m:r>
      </m:oMath>
      <w:r>
        <w:t xml:space="preserve">4</w:t>
      </w:r>
      <m:oMath>
        <m:r>
          <m:rPr>
            <m:sty m:val="p"/>
          </m:rPr>
          <m:t>×</m:t>
        </m:r>
      </m:oMath>
      <w:r>
        <w:t xml:space="preserve"> </w:t>
      </w:r>
      <w:r>
        <w:t xml:space="preserve">larger rebalance count, the inference does</w:t>
      </w:r>
      <w:r>
        <w:t xml:space="preserve"> </w:t>
      </w:r>
      <w:r>
        <w:rPr>
          <w:i/>
          <w:iCs/>
        </w:rPr>
        <w:t xml:space="preserve">not</w:t>
      </w:r>
      <w:r>
        <w:t xml:space="preserve"> </w:t>
      </w:r>
      <w:r>
        <w:t xml:space="preserve">sharpen: the</w:t>
      </w:r>
      <w:r>
        <w:t xml:space="preserve"> </w:t>
      </w:r>
      <w:r>
        <w:t xml:space="preserve">weekly Hansen SPA still gives</w:t>
      </w:r>
      <w:r>
        <w:t xml:space="preserve"> </w:t>
      </w:r>
      <m:oMath>
        <m:sSub>
          <m:e>
            <m:r>
              <m:t>p</m:t>
            </m:r>
          </m:e>
          <m:sub>
            <m:r>
              <m:rPr>
                <m:nor/>
                <m:sty m:val="p"/>
              </m:rPr>
              <m:t>consistent</m:t>
            </m:r>
          </m:sub>
        </m:sSub>
        <m:r>
          <m:rPr>
            <m:sty m:val="p"/>
          </m:rPr>
          <m:t>=</m:t>
        </m:r>
        <m:r>
          <m:t>0.57</m:t>
        </m:r>
      </m:oMath>
      <w:r>
        <w:t xml:space="preserve"> </w:t>
      </w:r>
      <w:r>
        <w:t xml:space="preserve">(corrected</w:t>
      </w:r>
      <w:r>
        <w:t xml:space="preserve"> </w:t>
      </w:r>
      <w:r>
        <w:t xml:space="preserve">over the smaller, embedding-free weekly candidate set) and the</w:t>
      </w:r>
      <w:r>
        <w:t xml:space="preserve"> </w:t>
      </w:r>
      <w:r>
        <w:t xml:space="preserve">bootstrap Sharpe CIs stay</w:t>
      </w:r>
      <w:r>
        <w:t xml:space="preserve"> </w:t>
      </w:r>
      <m:oMath>
        <m:r>
          <m:rPr>
            <m:sty m:val="p"/>
          </m:rPr>
          <m:t>∼</m:t>
        </m:r>
      </m:oMath>
      <w:r>
        <w:t xml:space="preserve">1.5 wide. More rebalances do not help</w:t>
      </w:r>
      <w:r>
        <w:t xml:space="preserve"> </w:t>
      </w:r>
      <w:r>
        <w:t xml:space="preserve">when the per-period return volatility is what dominates the standard</w:t>
      </w:r>
      <w:r>
        <w:t xml:space="preserve"> </w:t>
      </w:r>
      <w:r>
        <w:t xml:space="preserve">error. Higher cadence changes the</w:t>
      </w:r>
      <w:r>
        <w:t xml:space="preserve"> </w:t>
      </w:r>
      <w:r>
        <w:rPr>
          <w:i/>
          <w:iCs/>
        </w:rPr>
        <w:t xml:space="preserve">ranking texture</w:t>
      </w:r>
      <w:r>
        <w:t xml:space="preserve"> </w:t>
      </w:r>
      <w:r>
        <w:t xml:space="preserve">(momentum</w:t>
      </w:r>
      <w:r>
        <w:t xml:space="preserve"> </w:t>
      </w:r>
      <w:r>
        <w:t xml:space="preserve">catches up) but not the</w:t>
      </w:r>
      <w:r>
        <w:t xml:space="preserve"> </w:t>
      </w:r>
      <w:r>
        <w:rPr>
          <w:i/>
          <w:iCs/>
        </w:rPr>
        <w:t xml:space="preserve">statistical verdict</w:t>
      </w:r>
      <w:r>
        <w:t xml:space="preserve">.</w:t>
      </w:r>
    </w:p>
    <w:bookmarkEnd w:id="106"/>
    <w:bookmarkStart w:id="113" w:name="sec:results-convergence"/>
    <w:p>
      <w:pPr>
        <w:pStyle w:val="Heading2"/>
      </w:pPr>
      <w:r>
        <w:t xml:space="preserve">Convergence findings (the structural results)</w:t>
      </w:r>
    </w:p>
    <w:p>
      <w:pPr>
        <w:pStyle w:val="FirstParagraph"/>
      </w:pPr>
      <w:r>
        <w:t xml:space="preserve">Two strategy pairs in our comparison are theoretically related: each</w:t>
      </w:r>
      <w:r>
        <w:t xml:space="preserve"> </w:t>
      </w:r>
      <w:r>
        <w:t xml:space="preserve">pair targets the same goal via different mathematical routes. We</w:t>
      </w:r>
      <w:r>
        <w:t xml:space="preserve"> </w:t>
      </w:r>
      <w:r>
        <w:t xml:space="preserve">quantify their weight-vector convergence across the full 76-snapshot</w:t>
      </w:r>
      <w:r>
        <w:t xml:space="preserve"> </w:t>
      </w:r>
      <w:r>
        <w:t xml:space="preserve">window (Figure </w:t>
      </w:r>
      <w:hyperlink w:anchor="fig:detone_pc">
        <w:r>
          <w:rPr>
            <w:rStyle w:val="Hyperlink"/>
          </w:rPr>
          <w:t xml:space="preserve">8</w:t>
        </w:r>
      </w:hyperlink>
      <w:r>
        <w:t xml:space="preserve">).</w:t>
      </w:r>
    </w:p>
    <w:bookmarkStart w:id="107" w:name="hrp_detoned-vs-hrp_partialcorr."/>
    <w:p>
      <w:pPr>
        <w:pStyle w:val="Heading4"/>
      </w:pPr>
      <w:r>
        <w:t xml:space="preserve">HRP_Detoned vs HRP_PartialCorr.</w:t>
      </w:r>
    </w:p>
    <w:p>
      <w:pPr>
        <w:pStyle w:val="FirstParagraph"/>
      </w:pPr>
      <w:r>
        <w:t xml:space="preserve">Spectral detoning and</w:t>
      </w:r>
      <w:r>
        <w:t xml:space="preserve"> </w:t>
      </w:r>
      <w:r>
        <w:t xml:space="preserve">precision-matrix partial correlation both remove the dominant market</w:t>
      </w:r>
      <w:r>
        <w:t xml:space="preserve"> </w:t>
      </w:r>
      <w:r>
        <w:t xml:space="preserve">mode, by different routes. Across the 76 monthly snapshots their</w:t>
      </w:r>
      <w:r>
        <w:t xml:space="preserve"> </w:t>
      </w:r>
      <w:r>
        <w:t xml:space="preserve">weight-vector rank correlation is high but not invariant: mean Spearman</w:t>
      </w:r>
      <w:r>
        <w:t xml:space="preserve"> </w:t>
      </w:r>
      <m:oMath>
        <m:r>
          <m:t>ρ</m:t>
        </m:r>
        <m:r>
          <m:rPr>
            <m:sty m:val="p"/>
          </m:rPr>
          <m:t>=</m:t>
        </m:r>
        <m:r>
          <m:t>0.87</m:t>
        </m:r>
      </m:oMath>
      <w:r>
        <w:t xml:space="preserve">, median</w:t>
      </w:r>
      <w:r>
        <w:t xml:space="preserve"> </w:t>
      </w:r>
      <m:oMath>
        <m:r>
          <m:t>0.93</m:t>
        </m:r>
      </m:oMath>
      <w:r>
        <w:t xml:space="preserve">, with regime-driven dips to</w:t>
      </w:r>
      <w:r>
        <w:t xml:space="preserve"> </w:t>
      </w:r>
      <m:oMath>
        <m:r>
          <m:t>ρ</m:t>
        </m:r>
        <m:r>
          <m:rPr>
            <m:sty m:val="p"/>
          </m:rPr>
          <m:t>=</m:t>
        </m:r>
        <m:r>
          <m:t>0.54</m:t>
        </m:r>
      </m:oMath>
      <w:r>
        <w:t xml:space="preserve"> </w:t>
      </w:r>
      <w:r>
        <w:t xml:space="preserve">in</w:t>
      </w:r>
      <w:r>
        <w:t xml:space="preserve"> </w:t>
      </w:r>
      <w:r>
        <w:t xml:space="preserve">months when the dominant eigenvector shifts sharply. The bug-fixed</w:t>
      </w:r>
      <w:r>
        <w:t xml:space="preserve"> </w:t>
      </w:r>
      <w:r>
        <w:t xml:space="preserve">HRP_PartialCorr (</w:t>
      </w:r>
      <m:oMath>
        <m:r>
          <m:t>α</m:t>
        </m:r>
        <m:r>
          <m:rPr>
            <m:sty m:val="p"/>
          </m:rPr>
          <m:t>=</m:t>
        </m:r>
        <m:sSup>
          <m:e>
            <m:r>
              <m:t>10</m:t>
            </m:r>
          </m:e>
          <m:sup>
            <m:r>
              <m:rPr>
                <m:sty m:val="p"/>
              </m:rPr>
              <m:t>−</m:t>
            </m:r>
            <m:r>
              <m:t>3</m:t>
            </m:r>
          </m:sup>
        </m:sSup>
      </m:oMath>
      <w:r>
        <w:t xml:space="preserve">) is now distinct from the</w:t>
      </w:r>
      <w:r>
        <w:t xml:space="preserve"> </w:t>
      </w:r>
      <w:r>
        <w:t xml:space="preserve">inverse-variance portfolio (its weight-rank correlation with IVP</w:t>
      </w:r>
      <w:r>
        <w:t xml:space="preserve"> </w:t>
      </w:r>
      <w:r>
        <w:t xml:space="preserve">averages only</w:t>
      </w:r>
      <w:r>
        <w:t xml:space="preserve"> </w:t>
      </w:r>
      <m:oMath>
        <m:r>
          <m:t>ρ</m:t>
        </m:r>
        <m:r>
          <m:rPr>
            <m:sty m:val="p"/>
          </m:rPr>
          <m:t>=</m:t>
        </m:r>
        <m:r>
          <m:t>0.08</m:t>
        </m:r>
      </m:oMath>
      <w:r>
        <w:t xml:space="preserve">), whereas the earlier degenerate</w:t>
      </w:r>
      <w:r>
        <w:t xml:space="preserve"> </w:t>
      </w:r>
      <m:oMath>
        <m:r>
          <m:t>α</m:t>
        </m:r>
        <m:r>
          <m:rPr>
            <m:sty m:val="p"/>
          </m:rPr>
          <m:t>=</m:t>
        </m:r>
        <m:r>
          <m:t>0.05</m:t>
        </m:r>
      </m:oMath>
      <w:r>
        <w:t xml:space="preserve"> </w:t>
      </w:r>
      <w:r>
        <w:t xml:space="preserve">implementation</w:t>
      </w:r>
      <w:r>
        <w:t xml:space="preserve"> </w:t>
      </w:r>
      <w:r>
        <w:rPr>
          <w:i/>
          <w:iCs/>
        </w:rPr>
        <w:t xml:space="preserve">was</w:t>
      </w:r>
      <w:r>
        <w:t xml:space="preserve"> </w:t>
      </w:r>
      <w:r>
        <w:t xml:space="preserve">IVP. The detoning /</w:t>
      </w:r>
      <w:r>
        <w:t xml:space="preserve"> </w:t>
      </w:r>
      <w:r>
        <w:t xml:space="preserve">partial-correlation convergence is therefore a structural relationship</w:t>
      </w:r>
      <w:r>
        <w:t xml:space="preserve"> </w:t>
      </w:r>
      <w:r>
        <w:t xml:space="preserve">between two market-mode-removal estimators, not an artefact of one</w:t>
      </w:r>
      <w:r>
        <w:t xml:space="preserve"> </w:t>
      </w:r>
      <w:r>
        <w:t xml:space="preserve">collapsing into IVP.</w:t>
      </w:r>
    </w:p>
    <w:bookmarkEnd w:id="107"/>
    <w:bookmarkStart w:id="112" w:name="hrp_taildep-vs-hrp_taildepshrunk."/>
    <w:p>
      <w:pPr>
        <w:pStyle w:val="Heading4"/>
      </w:pPr>
      <w:r>
        <w:t xml:space="preserve">HRP_TailDep vs HRP_TailDepShrunk.</w:t>
      </w:r>
    </w:p>
    <w:p>
      <w:pPr>
        <w:pStyle w:val="FirstParagraph"/>
      </w:pPr>
      <w:r>
        <w:t xml:space="preserve">The hybrid’s only</w:t>
      </w:r>
      <w:r>
        <w:t xml:space="preserve"> </w:t>
      </w:r>
      <w:r>
        <w:t xml:space="preserve">change is to substitute the Ledoit–Wolf shrunk covariance for the</w:t>
      </w:r>
      <w:r>
        <w:t xml:space="preserve"> </w:t>
      </w:r>
      <w:r>
        <w:t xml:space="preserve">sample covariance in the recursive-bisection step; the dendrogram</w:t>
      </w:r>
      <w:r>
        <w:t xml:space="preserve"> </w:t>
      </w:r>
      <w:r>
        <w:t xml:space="preserve">topology is byte-for-byte identical. Spearman is 0.998–1.000 in</w:t>
      </w:r>
      <w:r>
        <w:t xml:space="preserve"> </w:t>
      </w:r>
      <w:r>
        <w:t xml:space="preserve">every snapshot tested. This is the most robust convergence finding</w:t>
      </w:r>
      <w:r>
        <w:t xml:space="preserve"> </w:t>
      </w:r>
      <w:r>
        <w:t xml:space="preserve">in our analysis:</w:t>
      </w:r>
      <w:r>
        <w:t xml:space="preserve"> </w:t>
      </w:r>
      <w:r>
        <w:rPr>
          <w:i/>
          <w:iCs/>
        </w:rPr>
        <w:t xml:space="preserve">LW shrinkage in HRP’s bisection step is a</w:t>
      </w:r>
      <w:r>
        <w:rPr>
          <w:i/>
          <w:iCs/>
        </w:rPr>
        <w:t xml:space="preserve"> </w:t>
      </w:r>
      <w:r>
        <w:rPr>
          <w:i/>
          <w:iCs/>
        </w:rPr>
        <w:t xml:space="preserve">within-cluster variance refinement that does not re-order the</w:t>
      </w:r>
      <w:r>
        <w:rPr>
          <w:i/>
          <w:iCs/>
        </w:rPr>
        <w:t xml:space="preserve"> </w:t>
      </w:r>
      <w:r>
        <w:rPr>
          <w:i/>
          <w:iCs/>
        </w:rPr>
        <w:t xml:space="preserve">dendrogram</w:t>
      </w:r>
      <w:r>
        <w:t xml:space="preserve">.</w:t>
      </w:r>
    </w:p>
    <w:bookmarkStart w:id="111" w:name="fig:detone_pc"/>
    <w:p>
      <w:pPr>
        <w:pStyle w:val="CaptionedFigure"/>
      </w:pPr>
      <w:r>
        <w:drawing>
          <wp:inline>
            <wp:extent cx="5067300" cy="2045515"/>
            <wp:effectExtent b="0" l="0" r="0" t="0"/>
            <wp:docPr descr="" title="" id="109" name="Picture"/>
            <a:graphic>
              <a:graphicData uri="http://schemas.openxmlformats.org/drawingml/2006/picture">
                <pic:pic>
                  <pic:nvPicPr>
                    <pic:cNvPr descr="../figures/detoning_vs_partial_corr.png" id="110" name="Picture"/>
                    <pic:cNvPicPr>
                      <a:picLocks noChangeArrowheads="1" noChangeAspect="1"/>
                    </pic:cNvPicPr>
                  </pic:nvPicPr>
                  <pic:blipFill>
                    <a:blip r:embed="rId108"/>
                    <a:stretch>
                      <a:fillRect/>
                    </a:stretch>
                  </pic:blipFill>
                  <pic:spPr bwMode="auto">
                    <a:xfrm>
                      <a:off x="0" y="0"/>
                      <a:ext cx="5067300" cy="2045515"/>
                    </a:xfrm>
                    <a:prstGeom prst="rect">
                      <a:avLst/>
                    </a:prstGeom>
                    <a:noFill/>
                    <a:ln w="9525">
                      <a:noFill/>
                      <a:headEnd/>
                      <a:tailEnd/>
                    </a:ln>
                  </pic:spPr>
                </pic:pic>
              </a:graphicData>
            </a:graphic>
          </wp:inline>
        </w:drawing>
      </w:r>
    </w:p>
    <w:p>
      <w:pPr>
        <w:pStyle w:val="ImageCaption"/>
      </w:pPr>
      <w:r>
        <w:t xml:space="preserve">Spearman rank correlation between HRP_Detoned and</w:t>
      </w:r>
      <w:r>
        <w:t xml:space="preserve"> </w:t>
      </w:r>
      <w:r>
        <w:t xml:space="preserve">HRP_PartialCorr weight vectors across 76 monthly snapshots.</w:t>
      </w:r>
    </w:p>
    <w:bookmarkEnd w:id="111"/>
    <w:bookmarkEnd w:id="112"/>
    <w:bookmarkEnd w:id="113"/>
    <w:bookmarkStart w:id="119" w:name="sec:results-cluster"/>
    <w:p>
      <w:pPr>
        <w:pStyle w:val="Heading2"/>
      </w:pPr>
      <w:r>
        <w:t xml:space="preserve">Cluster stability: a retraction</w:t>
      </w:r>
    </w:p>
    <w:p>
      <w:pPr>
        <w:pStyle w:val="FirstParagraph"/>
      </w:pPr>
      <w:r>
        <w:t xml:space="preserve">An intermediate finding in earlier iterations of this work was that</w:t>
      </w:r>
      <w:r>
        <w:t xml:space="preserve"> </w:t>
      </w:r>
      <w:r>
        <w:t xml:space="preserve">HRP_TailDep produces more stable clusters than baseline HRP under</w:t>
      </w:r>
      <w:r>
        <w:t xml:space="preserve"> </w:t>
      </w:r>
      <w:r>
        <w:t xml:space="preserve">Pearson distance. That claim was based on a</w:t>
      </w:r>
      <w:r>
        <w:t xml:space="preserve"> </w:t>
      </w:r>
      <w:r>
        <w:rPr>
          <w:i/>
          <w:iCs/>
        </w:rPr>
        <w:t xml:space="preserve">single year-pair</w:t>
      </w:r>
      <w:r>
        <w:t xml:space="preserve"> </w:t>
      </w:r>
      <w:r>
        <w:t xml:space="preserve">(2022-12-31 vs 2023-12-31) and showed Pearson ARI</w:t>
      </w:r>
      <w:r>
        <w:t xml:space="preserve"> </w:t>
      </w:r>
      <m:oMath>
        <m:r>
          <m:rPr>
            <m:sty m:val="p"/>
          </m:rPr>
          <m:t>=</m:t>
        </m:r>
        <m:r>
          <m:rPr>
            <m:sty m:val="p"/>
          </m:rPr>
          <m:t>−</m:t>
        </m:r>
        <m:r>
          <m:t>0.047</m:t>
        </m:r>
      </m:oMath>
      <w:r>
        <w:t xml:space="preserve"> </w:t>
      </w:r>
      <w:r>
        <w:t xml:space="preserve">vs</w:t>
      </w:r>
      <w:r>
        <w:t xml:space="preserve"> </w:t>
      </w:r>
      <w:r>
        <w:t xml:space="preserve">TailDep ARI</w:t>
      </w:r>
      <w:r>
        <w:t xml:space="preserve"> </w:t>
      </w:r>
      <m:oMath>
        <m:r>
          <m:rPr>
            <m:sty m:val="p"/>
          </m:rPr>
          <m:t>=</m:t>
        </m:r>
        <m:r>
          <m:rPr>
            <m:sty m:val="p"/>
          </m:rPr>
          <m:t>+</m:t>
        </m:r>
        <m:r>
          <m:t>0.265</m:t>
        </m:r>
      </m:oMath>
      <w:r>
        <w:t xml:space="preserve"> </w:t>
      </w:r>
      <w:r>
        <w:t xml:space="preserve">at</w:t>
      </w:r>
      <w:r>
        <w:t xml:space="preserve"> </w:t>
      </w:r>
      <m:oMath>
        <m:r>
          <m:t>K</m:t>
        </m:r>
        <m:r>
          <m:rPr>
            <m:sty m:val="p"/>
          </m:rPr>
          <m:t>=</m:t>
        </m:r>
        <m:r>
          <m:t>5</m:t>
        </m:r>
      </m:oMath>
      <w:r>
        <w:t xml:space="preserve">.</w:t>
      </w:r>
    </w:p>
    <w:p>
      <w:pPr>
        <w:pStyle w:val="BodyText"/>
      </w:pPr>
      <w:r>
        <w:t xml:space="preserve">When we re-ran the analysis across all 76 monthly snapshots</w:t>
      </w:r>
      <w:r>
        <w:t xml:space="preserve"> </w:t>
      </w:r>
      <w:r>
        <w:t xml:space="preserve">(Figure </w:t>
      </w:r>
      <w:hyperlink w:anchor="fig:cluster_stab">
        <w:r>
          <w:rPr>
            <w:rStyle w:val="Hyperlink"/>
          </w:rPr>
          <w:t xml:space="preserve">9</w:t>
        </w:r>
      </w:hyperlink>
      <w:r>
        <w:t xml:space="preserve">, Table </w:t>
      </w:r>
      <w:hyperlink w:anchor="tab:cluster_stab">
        <w:r>
          <w:rPr>
            <w:rStyle w:val="Hyperlink"/>
          </w:rPr>
          <w:t xml:space="preserve">5</w:t>
        </w:r>
      </w:hyperlink>
      <w:r>
        <w:t xml:space="preserve">), the</w:t>
      </w:r>
      <w:r>
        <w:t xml:space="preserve"> </w:t>
      </w:r>
      <w:r>
        <w:t xml:space="preserve">direction reverses.</w:t>
      </w:r>
      <w:r>
        <w:t xml:space="preserve"> </w:t>
      </w:r>
      <w:r>
        <w:rPr>
          <w:b/>
          <w:bCs/>
        </w:rPr>
        <w:t xml:space="preserve">Pearson clusters are substantially more</w:t>
      </w:r>
      <w:r>
        <w:rPr>
          <w:b/>
          <w:bCs/>
        </w:rPr>
        <w:t xml:space="preserve"> </w:t>
      </w:r>
      <w:r>
        <w:rPr>
          <w:b/>
          <w:bCs/>
        </w:rPr>
        <w:t xml:space="preserve">stable than TailDep clusters at monthly resolution</w:t>
      </w:r>
      <w:r>
        <w:t xml:space="preserve">: Pearson ARI</w:t>
      </w:r>
      <w:r>
        <w:t xml:space="preserve"> </w:t>
      </w:r>
      <w:r>
        <w:t xml:space="preserve">mean</w:t>
      </w:r>
      <w:r>
        <w:t xml:space="preserve"> </w:t>
      </w:r>
      <m:oMath>
        <m:r>
          <m:rPr>
            <m:sty m:val="p"/>
          </m:rPr>
          <m:t>+</m:t>
        </m:r>
        <m:r>
          <m:t>0.744</m:t>
        </m:r>
      </m:oMath>
      <w:r>
        <w:t xml:space="preserve"> </w:t>
      </w:r>
      <w:r>
        <w:t xml:space="preserve">vs TailDep</w:t>
      </w:r>
      <w:r>
        <w:t xml:space="preserve"> </w:t>
      </w:r>
      <m:oMath>
        <m:r>
          <m:rPr>
            <m:sty m:val="p"/>
          </m:rPr>
          <m:t>+</m:t>
        </m:r>
        <m:r>
          <m:t>0.614</m:t>
        </m:r>
      </m:oMath>
      <w:r>
        <w:t xml:space="preserve">; Pearson cophenetic mean</w:t>
      </w:r>
      <w:r>
        <w:t xml:space="preserve"> </w:t>
      </w:r>
      <m:oMath>
        <m:r>
          <m:t>0.861</m:t>
        </m:r>
      </m:oMath>
      <w:r>
        <w:t xml:space="preserve"> </w:t>
      </w:r>
      <w:r>
        <w:t xml:space="preserve">vs</w:t>
      </w:r>
      <w:r>
        <w:t xml:space="preserve"> </w:t>
      </w:r>
      <w:r>
        <w:t xml:space="preserve">TailDep</w:t>
      </w:r>
      <w:r>
        <w:t xml:space="preserve"> </w:t>
      </w:r>
      <m:oMath>
        <m:r>
          <m:t>0.768</m:t>
        </m:r>
      </m:oMath>
      <w:r>
        <w:t xml:space="preserve">. TailDep ARI exceeds Pearson ARI in only 23 of 75</w:t>
      </w:r>
      <w:r>
        <w:t xml:space="preserve"> </w:t>
      </w:r>
      <w:r>
        <w:t xml:space="preserve">month-pairs (31%).</w:t>
      </w:r>
    </w:p>
    <w:bookmarkStart w:id="114" w:name="tab:cluster_stab"/>
    <w:p>
      <w:pPr>
        <w:pStyle w:val="TableCaption"/>
      </w:pPr>
      <w:r>
        <w:t xml:space="preserve">Cluster stability across 76 monthly snapshots (2020-2026).</w:t>
      </w:r>
    </w:p>
    <w:tbl>
      <w:tblPr>
        <w:tblStyle w:val="Table"/>
        <w:tblW w:type="auto" w:w="0"/>
        <w:tblLook w:firstRow="1" w:lastRow="0" w:firstColumn="0" w:lastColumn="0" w:noHBand="0" w:noVBand="0" w:val="0020"/>
        <w:tblCaption w:val="Cluster stability across 76 monthly snapshots (2020-2026)."/>
      </w:tblPr>
      <w:tblGrid>
        <w:gridCol w:w="2640"/>
        <w:gridCol w:w="2640"/>
        <w:gridCol w:w="2640"/>
      </w:tblGrid>
      <w:tr>
        <w:trPr>
          <w:tblHeader w:val="on"/>
        </w:trPr>
        <w:tc>
          <w:tcPr/>
          <w:p>
            <w:pPr>
              <w:pStyle w:val="Compact"/>
              <w:jc w:val="left"/>
            </w:pPr>
            <w:r>
              <w:t xml:space="preserve">Metric</w:t>
            </w:r>
          </w:p>
        </w:tc>
        <w:tc>
          <w:tcPr/>
          <w:p>
            <w:pPr>
              <w:pStyle w:val="Compact"/>
              <w:jc w:val="right"/>
            </w:pPr>
            <w:r>
              <w:t xml:space="preserve">Pearson distance</w:t>
            </w:r>
          </w:p>
        </w:tc>
        <w:tc>
          <w:tcPr/>
          <w:p>
            <w:pPr>
              <w:pStyle w:val="Compact"/>
              <w:jc w:val="right"/>
            </w:pPr>
            <w:r>
              <w:t xml:space="preserve">Lower-tail-dep distance</w:t>
            </w:r>
          </w:p>
        </w:tc>
      </w:tr>
      <w:tr>
        <w:tc>
          <w:tcPr/>
          <w:p>
            <w:pPr>
              <w:pStyle w:val="Compact"/>
              <w:jc w:val="left"/>
            </w:pPr>
            <w:r>
              <w:t xml:space="preserve">Average cophenetic correlation</w:t>
            </w:r>
          </w:p>
        </w:tc>
        <w:tc>
          <w:tcPr/>
          <w:p>
            <w:pPr>
              <w:pStyle w:val="Compact"/>
              <w:jc w:val="right"/>
            </w:pPr>
            <w:r>
              <w:rPr>
                <w:b/>
                <w:bCs/>
              </w:rPr>
              <w:t xml:space="preserve">0.861</w:t>
            </w:r>
          </w:p>
        </w:tc>
        <w:tc>
          <w:tcPr/>
          <w:p>
            <w:pPr>
              <w:pStyle w:val="Compact"/>
              <w:jc w:val="right"/>
            </w:pPr>
            <w:r>
              <w:t xml:space="preserve">0.768</w:t>
            </w:r>
          </w:p>
        </w:tc>
      </w:tr>
      <w:tr>
        <w:tc>
          <w:tcPr/>
          <w:p>
            <w:pPr>
              <w:pStyle w:val="Compact"/>
              <w:jc w:val="left"/>
            </w:pPr>
            <w:r>
              <w:t xml:space="preserve">Average ARI vs. previous snapshot (K=5)</w:t>
            </w:r>
          </w:p>
        </w:tc>
        <w:tc>
          <w:tcPr/>
          <w:p>
            <w:pPr>
              <w:pStyle w:val="Compact"/>
              <w:jc w:val="right"/>
            </w:pPr>
            <w:r>
              <w:rPr>
                <w:b/>
                <w:bCs/>
              </w:rPr>
              <w:t xml:space="preserve">+0.744</w:t>
            </w:r>
          </w:p>
        </w:tc>
        <w:tc>
          <w:tcPr/>
          <w:p>
            <w:pPr>
              <w:pStyle w:val="Compact"/>
              <w:jc w:val="right"/>
            </w:pPr>
            <w:r>
              <w:t xml:space="preserve">+0.614</w:t>
            </w:r>
          </w:p>
        </w:tc>
      </w:tr>
      <w:tr>
        <w:tc>
          <w:tcPr/>
          <w:p>
            <w:pPr>
              <w:pStyle w:val="Compact"/>
              <w:jc w:val="left"/>
            </w:pPr>
            <w:r>
              <w:t xml:space="preserve">Median ARI vs. previous snapshot</w:t>
            </w:r>
          </w:p>
        </w:tc>
        <w:tc>
          <w:tcPr/>
          <w:p>
            <w:pPr>
              <w:pStyle w:val="Compact"/>
              <w:jc w:val="right"/>
            </w:pPr>
            <w:r>
              <w:rPr>
                <w:b/>
                <w:bCs/>
              </w:rPr>
              <w:t xml:space="preserve">+0.783</w:t>
            </w:r>
          </w:p>
        </w:tc>
        <w:tc>
          <w:tcPr/>
          <w:p>
            <w:pPr>
              <w:pStyle w:val="Compact"/>
              <w:jc w:val="right"/>
            </w:pPr>
            <w:r>
              <w:t xml:space="preserve">+0.650</w:t>
            </w:r>
          </w:p>
        </w:tc>
      </w:tr>
      <w:tr>
        <w:tc>
          <w:tcPr/>
          <w:p>
            <w:pPr>
              <w:pStyle w:val="Compact"/>
              <w:jc w:val="left"/>
            </w:pPr>
            <w:r>
              <w:t xml:space="preserve">Months where TailDep ARI &gt; Pearson ARI</w:t>
            </w:r>
          </w:p>
        </w:tc>
        <w:tc>
          <w:tcPr/>
          <w:p>
            <w:pPr>
              <w:pStyle w:val="Compact"/>
              <w:jc w:val="right"/>
            </w:pPr>
            <w:r>
              <w:t xml:space="preserve">—</w:t>
            </w:r>
          </w:p>
        </w:tc>
        <w:tc>
          <w:tcPr/>
          <w:p>
            <w:pPr>
              <w:pStyle w:val="Compact"/>
              <w:jc w:val="right"/>
            </w:pPr>
            <w:r>
              <w:t xml:space="preserve">23 / 75 (31%)</w:t>
            </w:r>
          </w:p>
        </w:tc>
      </w:tr>
    </w:tbl>
    <w:bookmarkEnd w:id="114"/>
    <w:bookmarkStart w:id="118" w:name="fig:cluster_stab"/>
    <w:p>
      <w:pPr>
        <w:pStyle w:val="CaptionedFigure"/>
      </w:pPr>
      <w:r>
        <w:drawing>
          <wp:inline>
            <wp:extent cx="5067300" cy="2971719"/>
            <wp:effectExtent b="0" l="0" r="0" t="0"/>
            <wp:docPr descr="" title="" id="116" name="Picture"/>
            <a:graphic>
              <a:graphicData uri="http://schemas.openxmlformats.org/drawingml/2006/picture">
                <pic:pic>
                  <pic:nvPicPr>
                    <pic:cNvPr descr="../figures/cluster_stability_timeseries.png" id="117" name="Picture"/>
                    <pic:cNvPicPr>
                      <a:picLocks noChangeArrowheads="1" noChangeAspect="1"/>
                    </pic:cNvPicPr>
                  </pic:nvPicPr>
                  <pic:blipFill>
                    <a:blip r:embed="rId115"/>
                    <a:stretch>
                      <a:fillRect/>
                    </a:stretch>
                  </pic:blipFill>
                  <pic:spPr bwMode="auto">
                    <a:xfrm>
                      <a:off x="0" y="0"/>
                      <a:ext cx="5067300" cy="2971719"/>
                    </a:xfrm>
                    <a:prstGeom prst="rect">
                      <a:avLst/>
                    </a:prstGeom>
                    <a:noFill/>
                    <a:ln w="9525">
                      <a:noFill/>
                      <a:headEnd/>
                      <a:tailEnd/>
                    </a:ln>
                  </pic:spPr>
                </pic:pic>
              </a:graphicData>
            </a:graphic>
          </wp:inline>
        </w:drawing>
      </w:r>
    </w:p>
    <w:p>
      <w:pPr>
        <w:pStyle w:val="ImageCaption"/>
      </w:pPr>
      <w:r>
        <w:t xml:space="preserve">Cophenetic correlation (top) and ARI vs. previous snapshot</w:t>
      </w:r>
      <w:r>
        <w:t xml:space="preserve"> </w:t>
      </w:r>
      <w:r>
        <w:t xml:space="preserve">(bottom) for Pearson and tail-dependence distance matrices across</w:t>
      </w:r>
      <w:r>
        <w:t xml:space="preserve"> </w:t>
      </w:r>
      <w:r>
        <w:t xml:space="preserve">the 76-snapshot window.</w:t>
      </w:r>
    </w:p>
    <w:bookmarkEnd w:id="118"/>
    <w:p>
      <w:pPr>
        <w:pStyle w:val="BodyText"/>
      </w:pPr>
      <w:r>
        <w:t xml:space="preserve">The economic argument for HRP_TailDep, that it captures the</w:t>
      </w:r>
      <w:r>
        <w:t xml:space="preserve"> </w:t>
      </w:r>
      <w:r>
        <w:t xml:space="preserve">joint-crash co-movement structure Pearson summarises poorly,</w:t>
      </w:r>
      <w:r>
        <w:t xml:space="preserve"> </w:t>
      </w:r>
      <w:r>
        <w:rPr>
          <w:i/>
          <w:iCs/>
        </w:rPr>
        <w:t xml:space="preserve">stands</w:t>
      </w:r>
      <w:r>
        <w:t xml:space="preserve">; the secondary cluster-stability argument</w:t>
      </w:r>
      <w:r>
        <w:t xml:space="preserve"> </w:t>
      </w:r>
      <w:r>
        <w:rPr>
          <w:i/>
          <w:iCs/>
        </w:rPr>
        <w:t xml:space="preserve">does not</w:t>
      </w:r>
      <w:r>
        <w:t xml:space="preserve">.</w:t>
      </w:r>
      <w:r>
        <w:t xml:space="preserve"> </w:t>
      </w:r>
      <w:r>
        <w:t xml:space="preserve">We document the retraction here as a methodological point about the</w:t>
      </w:r>
      <w:r>
        <w:t xml:space="preserve"> </w:t>
      </w:r>
      <w:r>
        <w:t xml:space="preserve">danger of single-pair findings.</w:t>
      </w:r>
    </w:p>
    <w:bookmarkEnd w:id="119"/>
    <w:bookmarkEnd w:id="120"/>
    <w:bookmarkStart w:id="125" w:name="sec:discussion"/>
    <w:p>
      <w:pPr>
        <w:pStyle w:val="Heading1"/>
      </w:pPr>
      <w:r>
        <w:t xml:space="preserve">Discussion</w:t>
      </w:r>
    </w:p>
    <w:p>
      <w:pPr>
        <w:pStyle w:val="FirstParagraph"/>
      </w:pPr>
      <w:r>
        <w:t xml:space="preserve">The three threads of §</w:t>
      </w:r>
      <w:hyperlink w:anchor="sec:results">
        <w:r>
          <w:rPr>
            <w:rStyle w:val="Hyperlink"/>
          </w:rPr>
          <w:t xml:space="preserve">6</w:t>
        </w:r>
      </w:hyperlink>
      <w:r>
        <w:t xml:space="preserve"> </w:t>
      </w:r>
      <w:r>
        <w:t xml:space="preserve">converge on a single</w:t>
      </w:r>
      <w:r>
        <w:t xml:space="preserve"> </w:t>
      </w:r>
      <w:r>
        <w:t xml:space="preserve">argument. First, only one HRP design choice moves performance</w:t>
      </w:r>
      <w:r>
        <w:t xml:space="preserve"> </w:t>
      </w:r>
      <w:r>
        <w:t xml:space="preserve">materially: the allocation step. Across every clustering perturbation</w:t>
      </w:r>
      <w:r>
        <w:t xml:space="preserve"> </w:t>
      </w:r>
      <w:r>
        <w:t xml:space="preserve">we tried, no configuration escapes the HRP-family Sharpe band; the</w:t>
      </w:r>
      <w:r>
        <w:t xml:space="preserve"> </w:t>
      </w:r>
      <w:r>
        <w:t xml:space="preserve">strategies that do escape (NCO, CRISP, NCO_CRISP, and the return-</w:t>
      </w:r>
      <w:r>
        <w:t xml:space="preserve"> </w:t>
      </w:r>
      <w:r>
        <w:t xml:space="preserve">tilted NCO that collapses) all change the within-cluster solve, and</w:t>
      </w:r>
      <w:r>
        <w:t xml:space="preserve"> </w:t>
      </w:r>
      <w:r>
        <w:t xml:space="preserve">the two signal-aware extensions (NCOML, HRP-</w:t>
      </w:r>
      <m:oMath>
        <m:r>
          <m:rPr>
            <m:sty m:val="p"/>
          </m:rPr>
          <m:t>Σ</m:t>
        </m:r>
        <m:r>
          <m:t>μ</m:t>
        </m:r>
      </m:oMath>
      <w:r>
        <w:t xml:space="preserve">) reinforce the</w:t>
      </w:r>
      <w:r>
        <w:t xml:space="preserve"> </w:t>
      </w:r>
      <w:r>
        <w:t xml:space="preserve">same message in opposite directions. Second, the strategies that do</w:t>
      </w:r>
      <w:r>
        <w:t xml:space="preserve"> </w:t>
      </w:r>
      <w:r>
        <w:t xml:space="preserve">move are too few to clear the multiple-testing correction: the Hansen</w:t>
      </w:r>
      <w:r>
        <w:t xml:space="preserve"> </w:t>
      </w:r>
      <w:r>
        <w:t xml:space="preserve">SPA and the Deflated Sharpe Ratio agree that no edge survives the</w:t>
      </w:r>
      <w:r>
        <w:t xml:space="preserve"> </w:t>
      </w:r>
      <w:r>
        <w:t xml:space="preserve">search, even where CRISP and NCO–CRISP clear the pairwise bar</w:t>
      </w:r>
      <w:r>
        <w:t xml:space="preserve"> </w:t>
      </w:r>
      <w:r>
        <w:t xml:space="preserve">comfortably. Third, the whole finding is regime-conditional: in the</w:t>
      </w:r>
      <w:r>
        <w:t xml:space="preserve"> </w:t>
      </w:r>
      <w:r>
        <w:t xml:space="preserve">post-COVID cut, diversified HRP variants lose half their capital</w:t>
      </w:r>
      <w:r>
        <w:t xml:space="preserve"> </w:t>
      </w:r>
      <w:r>
        <w:t xml:space="preserve">while concentration still wins, so much of what reads as</w:t>
      </w:r>
      <w:r>
        <w:t xml:space="preserve"> </w:t>
      </w:r>
      <w:r>
        <w:t xml:space="preserve">“diversification works”</w:t>
      </w:r>
      <w:r>
        <w:t xml:space="preserve"> </w:t>
      </w:r>
      <w:r>
        <w:t xml:space="preserve">in the full window is a residual on the</w:t>
      </w:r>
      <w:r>
        <w:t xml:space="preserve"> </w:t>
      </w:r>
      <w:r>
        <w:t xml:space="preserve">BTC rally. The practical conclusion sits at the intersection of the</w:t>
      </w:r>
      <w:r>
        <w:t xml:space="preserve"> </w:t>
      </w:r>
      <w:r>
        <w:t xml:space="preserve">three: HRP’s signal-blindness is a feature in this market, the</w:t>
      </w:r>
      <w:r>
        <w:t xml:space="preserve"> </w:t>
      </w:r>
      <w:r>
        <w:t xml:space="preserve">allocation step is the main place where engineering effort appears to have paid</w:t>
      </w:r>
      <w:r>
        <w:t xml:space="preserve"> </w:t>
      </w:r>
      <w:r>
        <w:t xml:space="preserve">back, and even there the win is below what six years of data could</w:t>
      </w:r>
      <w:r>
        <w:t xml:space="preserve"> </w:t>
      </w:r>
      <w:r>
        <w:t xml:space="preserve">certify. The subsections below develop each thread in turn.</w:t>
      </w:r>
    </w:p>
    <w:bookmarkStart w:id="121" w:name="Xce4640758a9d629c162f50346bc71aadd75dff7"/>
    <w:p>
      <w:pPr>
        <w:pStyle w:val="Heading2"/>
      </w:pPr>
      <w:r>
        <w:t xml:space="preserve">Clustering versus allocation: the one design choice that</w:t>
      </w:r>
      <w:r>
        <w:t xml:space="preserve"> </w:t>
      </w:r>
      <w:r>
        <w:t xml:space="preserve">matters</w:t>
      </w:r>
    </w:p>
    <w:p>
      <w:pPr>
        <w:pStyle w:val="FirstParagraph"/>
      </w:pPr>
      <w:r>
        <w:t xml:space="preserve">The results of §</w:t>
      </w:r>
      <w:hyperlink w:anchor="sec:results">
        <w:r>
          <w:rPr>
            <w:rStyle w:val="Hyperlink"/>
          </w:rPr>
          <w:t xml:space="preserve">6</w:t>
        </w:r>
      </w:hyperlink>
      <w:r>
        <w:t xml:space="preserve"> </w:t>
      </w:r>
      <w:r>
        <w:t xml:space="preserve">point to one practical conclusion.</w:t>
      </w:r>
      <w:r>
        <w:t xml:space="preserve"> </w:t>
      </w:r>
      <w:r>
        <w:t xml:space="preserve">Varying the</w:t>
      </w:r>
      <w:r>
        <w:t xml:space="preserve"> </w:t>
      </w:r>
      <w:r>
        <w:rPr>
          <w:i/>
          <w:iCs/>
        </w:rPr>
        <w:t xml:space="preserve">clustering</w:t>
      </w:r>
      <w:r>
        <w:t xml:space="preserve"> </w:t>
      </w:r>
      <w:r>
        <w:t xml:space="preserve">step, across 547 hyperparameter cells,</w:t>
      </w:r>
      <w:r>
        <w:t xml:space="preserve"> </w:t>
      </w:r>
      <w:r>
        <w:t xml:space="preserve">did not separate a variant from baseline HRP; varying the</w:t>
      </w:r>
      <w:r>
        <w:t xml:space="preserve"> </w:t>
      </w:r>
      <w:r>
        <w:rPr>
          <w:i/>
          <w:iCs/>
        </w:rPr>
        <w:t xml:space="preserve">allocation</w:t>
      </w:r>
      <w:r>
        <w:t xml:space="preserve"> </w:t>
      </w:r>
      <w:r>
        <w:t xml:space="preserve">step did, in both directions (CRISP and the</w:t>
      </w:r>
      <w:r>
        <w:t xml:space="preserve"> </w:t>
      </w:r>
      <w:r>
        <w:t xml:space="preserve">NCO–CRISP hybrid to Sharpe</w:t>
      </w:r>
      <w:r>
        <w:t xml:space="preserve"> </w:t>
      </w:r>
      <m:oMath>
        <m:r>
          <m:rPr>
            <m:sty m:val="p"/>
          </m:rPr>
          <m:t>≈</m:t>
        </m:r>
        <m:r>
          <m:t>0.98</m:t>
        </m:r>
      </m:oMath>
      <w:r>
        <w:t xml:space="preserve">, the return-tilted NCO to</w:t>
      </w:r>
      <w:r>
        <w:t xml:space="preserve"> </w:t>
      </w:r>
      <m:oMath>
        <m:r>
          <m:rPr>
            <m:sty m:val="p"/>
          </m:rPr>
          <m:t>−</m:t>
        </m:r>
        <m:r>
          <m:t>97</m:t>
        </m:r>
        <m:r>
          <m:rPr>
            <m:sty m:val="p"/>
          </m:rPr>
          <m:t>%</m:t>
        </m:r>
      </m:oMath>
      <w:r>
        <w:t xml:space="preserve">). HRP and all its variants share one allocation rule,</w:t>
      </w:r>
      <w:r>
        <w:t xml:space="preserve"> </w:t>
      </w:r>
      <w:r>
        <w:t xml:space="preserve">inverse-variance recursive bisection, and that rule, not the</w:t>
      </w:r>
      <w:r>
        <w:t xml:space="preserve"> </w:t>
      </w:r>
      <w:r>
        <w:t xml:space="preserve">dendrogram, is what holds the family together. The NCO–CRISP hybrid</w:t>
      </w:r>
      <w:r>
        <w:t xml:space="preserve"> </w:t>
      </w:r>
      <w:r>
        <w:t xml:space="preserve">is the cleanest test: it places CRISP’s correlation-shrinkage solve</w:t>
      </w:r>
      <w:r>
        <w:t xml:space="preserve"> </w:t>
      </w:r>
      <w:r>
        <w:t xml:space="preserve">inside NCO’s hierarchical nesting, and lands</w:t>
      </w:r>
      <w:r>
        <w:t xml:space="preserve"> </w:t>
      </w:r>
      <w:r>
        <w:rPr>
          <w:i/>
          <w:iCs/>
        </w:rPr>
        <w:t xml:space="preserve">between</w:t>
      </w:r>
      <w:r>
        <w:t xml:space="preserve"> </w:t>
      </w:r>
      <w:r>
        <w:t xml:space="preserve">its two</w:t>
      </w:r>
      <w:r>
        <w:t xml:space="preserve"> </w:t>
      </w:r>
      <w:r>
        <w:t xml:space="preserve">parents (NCO 0.93, CRISP 0.99): the shrinkage and the nesting are</w:t>
      </w:r>
      <w:r>
        <w:t xml:space="preserve"> </w:t>
      </w:r>
      <w:r>
        <w:t xml:space="preserve">substitutes, not complements. For a practitioner the implication is</w:t>
      </w:r>
      <w:r>
        <w:t xml:space="preserve"> </w:t>
      </w:r>
      <w:r>
        <w:t xml:space="preserve">narrow but useful: on this evidence, effort spent engineering the</w:t>
      </w:r>
      <w:r>
        <w:t xml:space="preserve"> </w:t>
      </w:r>
      <w:r>
        <w:t xml:space="preserve">clustering distance is lower-yield than effort spent on the allocation</w:t>
      </w:r>
      <w:r>
        <w:t xml:space="preserve"> </w:t>
      </w:r>
      <w:r>
        <w:t xml:space="preserve">objective.</w:t>
      </w:r>
    </w:p>
    <w:p>
      <w:pPr>
        <w:pStyle w:val="BodyText"/>
      </w:pPr>
      <w:r>
        <w:t xml:space="preserve">The return-tilted NCO also speaks to a concurrent result.</w:t>
      </w:r>
      <w:r>
        <w:t xml:space="preserve"> </w:t>
      </w:r>
      <w:r>
        <w:t xml:space="preserve">Wuebben (2026)</w:t>
      </w:r>
      <w:r>
        <w:t xml:space="preserve"> </w:t>
      </w:r>
      <w:r>
        <w:t xml:space="preserve">reports, via Monte Carlo, that making a</w:t>
      </w:r>
      <w:r>
        <w:t xml:space="preserve"> </w:t>
      </w:r>
      <w:r>
        <w:t xml:space="preserve">hierarchical allocator return-aware improves out-of-sample Sharpe; our</w:t>
      </w:r>
      <w:r>
        <w:t xml:space="preserve"> </w:t>
      </w:r>
      <w:r>
        <w:t xml:space="preserve">live-market evidence is directionally different: a momentum-tilted NCO is</w:t>
      </w:r>
      <w:r>
        <w:t xml:space="preserve"> </w:t>
      </w:r>
      <w:r>
        <w:t xml:space="preserve">the worst strategy in the comparison. The two are reconcilable: a return</w:t>
      </w:r>
      <w:r>
        <w:t xml:space="preserve"> </w:t>
      </w:r>
      <w:r>
        <w:t xml:space="preserve">signal helps only when it carries genuine out-of-sample predictive</w:t>
      </w:r>
      <w:r>
        <w:t xml:space="preserve"> </w:t>
      </w:r>
      <w:r>
        <w:t xml:space="preserve">content, which a 63-day crypto-momentum signal over 2020–2026 does not.</w:t>
      </w:r>
      <w:r>
        <w:t xml:space="preserve"> </w:t>
      </w:r>
      <w:r>
        <w:t xml:space="preserve">Replacing the sample-mean tilt with a walk-forward XGBoost forecast</w:t>
      </w:r>
      <w:r>
        <w:t xml:space="preserve"> </w:t>
      </w:r>
      <w:r>
        <w:t xml:space="preserve">tests this directly.</w:t>
      </w:r>
      <w:r>
        <w:t xml:space="preserve"> </w:t>
      </w:r>
      <w:r>
        <w:rPr>
          <w:b/>
          <w:bCs/>
        </w:rPr>
        <w:t xml:space="preserve">NCOML</w:t>
      </w:r>
      <w:r>
        <w:t xml:space="preserve">, the same nested-clustering</w:t>
      </w:r>
      <w:r>
        <w:t xml:space="preserve"> </w:t>
      </w:r>
      <w:r>
        <w:t xml:space="preserve">optimiser fed by the learned signal, reaches Sharpe</w:t>
      </w:r>
      <w:r>
        <w:t xml:space="preserve"> </w:t>
      </w:r>
      <m:oMath>
        <m:r>
          <m:t>0.80</m:t>
        </m:r>
      </m:oMath>
      <w:r>
        <w:t xml:space="preserve">, sidestepping</w:t>
      </w:r>
      <w:r>
        <w:t xml:space="preserve"> </w:t>
      </w:r>
      <w:r>
        <w:t xml:space="preserve">the</w:t>
      </w:r>
      <w:r>
        <w:t xml:space="preserve"> </w:t>
      </w:r>
      <m:oMath>
        <m:r>
          <m:rPr>
            <m:sty m:val="p"/>
          </m:rPr>
          <m:t>−</m:t>
        </m:r>
        <m:r>
          <m:t>97</m:t>
        </m:r>
        <m:r>
          <m:rPr>
            <m:sty m:val="p"/>
          </m:rPr>
          <m:t>%</m:t>
        </m:r>
      </m:oMath>
      <w:r>
        <w:t xml:space="preserve"> </w:t>
      </w:r>
      <w:r>
        <w:t xml:space="preserve">collapse and suggesting the failure was mainly signal quality</w:t>
      </w:r>
      <w:r>
        <w:t xml:space="preserve"> </w:t>
      </w:r>
      <w:r>
        <w:t xml:space="preserve">rather than return-aware allocation in principle; but it also lands</w:t>
      </w:r>
      <w:r>
        <w:t xml:space="preserve"> </w:t>
      </w:r>
      <w:r>
        <w:rPr>
          <w:i/>
          <w:iCs/>
        </w:rPr>
        <w:t xml:space="preserve">below</w:t>
      </w:r>
      <w:r>
        <w:t xml:space="preserve"> </w:t>
      </w:r>
      <w:r>
        <w:t xml:space="preserve">pure (signal-blind) NCO at</w:t>
      </w:r>
      <w:r>
        <w:t xml:space="preserve"> </w:t>
      </w:r>
      <m:oMath>
        <m:r>
          <m:t>0.93</m:t>
        </m:r>
      </m:oMath>
      <w:r>
        <w:t xml:space="preserve">, so the XGBoost forecast</w:t>
      </w:r>
      <w:r>
        <w:t xml:space="preserve"> </w:t>
      </w:r>
      <w:r>
        <w:t xml:space="preserve">is enough to avoid disaster but not strong enough to outperform NCO’s</w:t>
      </w:r>
      <w:r>
        <w:t xml:space="preserve"> </w:t>
      </w:r>
      <w:r>
        <w:t xml:space="preserve">risk-only solve.</w:t>
      </w:r>
      <w:r>
        <w:t xml:space="preserve"> </w:t>
      </w:r>
      <w:r>
        <w:rPr>
          <w:b/>
          <w:bCs/>
        </w:rPr>
        <w:t xml:space="preserve">HRP-</w:t>
      </w:r>
      <m:oMath>
        <m:r>
          <m:rPr>
            <m:sty m:val="p"/>
          </m:rPr>
          <m:t>Σ</m:t>
        </m:r>
        <m:r>
          <m:t>μ</m:t>
        </m:r>
      </m:oMath>
      <w:r>
        <w:t xml:space="preserve">, Wuebben’s signal-aware</w:t>
      </w:r>
      <w:r>
        <w:t xml:space="preserve"> </w:t>
      </w:r>
      <w:r>
        <w:t xml:space="preserve">hierarchical optimiser fed by the same forecast, lands at</w:t>
      </w:r>
      <w:r>
        <w:t xml:space="preserve"> </w:t>
      </w:r>
      <m:oMath>
        <m:r>
          <m:t>0.61</m:t>
        </m:r>
      </m:oMath>
      <w:r>
        <w:t xml:space="preserve">,</w:t>
      </w:r>
      <w:r>
        <w:t xml:space="preserve"> </w:t>
      </w:r>
      <w:r>
        <w:rPr>
          <w:i/>
          <w:iCs/>
        </w:rPr>
        <w:t xml:space="preserve">below</w:t>
      </w:r>
      <w:r>
        <w:t xml:space="preserve"> </w:t>
      </w:r>
      <w:r>
        <w:t xml:space="preserve">baseline HRP: in this sample, injecting a return signal into</w:t>
      </w:r>
      <w:r>
        <w:t xml:space="preserve"> </w:t>
      </w:r>
      <w:r>
        <w:t xml:space="preserve">HRP’s hierarchy is associated with weaker performance, and the HRP family’s strength is therefore in</w:t>
      </w:r>
      <w:r>
        <w:t xml:space="preserve"> </w:t>
      </w:r>
      <w:r>
        <w:t xml:space="preserve">its signal-blindness, not despite it. The simulation optimism and the</w:t>
      </w:r>
      <w:r>
        <w:t xml:space="preserve"> </w:t>
      </w:r>
      <w:r>
        <w:t xml:space="preserve">live-data behaviour together delimit when signal-aware hierarchical</w:t>
      </w:r>
      <w:r>
        <w:t xml:space="preserve"> </w:t>
      </w:r>
      <w:r>
        <w:t xml:space="preserve">allocation is worth attempting: a credible signal removes the collapse</w:t>
      </w:r>
      <w:r>
        <w:t xml:space="preserve"> </w:t>
      </w:r>
      <w:r>
        <w:t xml:space="preserve">but does not, on this universe and horizon, beat the signal-blind</w:t>
      </w:r>
      <w:r>
        <w:t xml:space="preserve"> </w:t>
      </w:r>
      <w:r>
        <w:t xml:space="preserve">allocators that already exist.</w:t>
      </w:r>
    </w:p>
    <w:bookmarkEnd w:id="121"/>
    <w:bookmarkStart w:id="122" w:name="X2353e8b69548dfa547fc729ce7f2eda328d9a91"/>
    <w:p>
      <w:pPr>
        <w:pStyle w:val="Heading2"/>
      </w:pPr>
      <w:r>
        <w:t xml:space="preserve">Why does the Hansen SPA fail to reject, even for CRISP?</w:t>
      </w:r>
    </w:p>
    <w:p>
      <w:pPr>
        <w:pStyle w:val="FirstParagraph"/>
      </w:pPr>
      <w:r>
        <w:t xml:space="preserve">CRISP and the NCO–CRISP hybrid each post a</w:t>
      </w:r>
      <w:r>
        <w:t xml:space="preserve"> </w:t>
      </w:r>
      <m:oMath>
        <m:r>
          <m:rPr>
            <m:sty m:val="p"/>
          </m:rPr>
          <m:t>≈</m:t>
        </m:r>
        <m:r>
          <m:rPr>
            <m:sty m:val="p"/>
          </m:rPr>
          <m:t>+</m:t>
        </m:r>
        <m:r>
          <m:t>0.24</m:t>
        </m:r>
      </m:oMath>
      <w:r>
        <w:t xml:space="preserve"> </w:t>
      </w:r>
      <w:r>
        <w:t xml:space="preserve">Sharpe edge</w:t>
      </w:r>
      <w:r>
        <w:t xml:space="preserve"> </w:t>
      </w:r>
      <w:r>
        <w:t xml:space="preserve">over HRP that is pairwise-significant (Ledoit–Wolf</w:t>
      </w:r>
      <w:r>
        <w:t xml:space="preserve"> </w:t>
      </w:r>
      <m:oMath>
        <m:r>
          <m:t>p</m:t>
        </m:r>
        <m:r>
          <m:rPr>
            <m:sty m:val="p"/>
          </m:rPr>
          <m:t>≈</m:t>
        </m:r>
        <m:r>
          <m:t>0.01</m:t>
        </m:r>
      </m:oMath>
      <w:r>
        <w:t xml:space="preserve">) in</w:t>
      </w:r>
      <w:r>
        <w:t xml:space="preserve"> </w:t>
      </w:r>
      <w:r>
        <w:t xml:space="preserve">both the full and the post-COVID windows, yet the Hansen SPA</w:t>
      </w:r>
      <w:r>
        <w:t xml:space="preserve"> </w:t>
      </w:r>
      <w:r>
        <w:t xml:space="preserve">(</w:t>
      </w:r>
      <m:oMath>
        <m:sSub>
          <m:e>
            <m:r>
              <m:t>p</m:t>
            </m:r>
          </m:e>
          <m:sub>
            <m:r>
              <m:rPr>
                <m:nor/>
                <m:sty m:val="p"/>
              </m:rPr>
              <m:t>consistent</m:t>
            </m:r>
          </m:sub>
        </m:sSub>
        <m:r>
          <m:rPr>
            <m:sty m:val="p"/>
          </m:rPr>
          <m:t>=</m:t>
        </m:r>
        <m:r>
          <m:t>0.51</m:t>
        </m:r>
      </m:oMath>
      <w:r>
        <w:t xml:space="preserve">) does not reject. This is not a</w:t>
      </w:r>
      <w:r>
        <w:t xml:space="preserve"> </w:t>
      </w:r>
      <w:r>
        <w:t xml:space="preserve">contradiction; it is the multiple-testing correction working as</w:t>
      </w:r>
      <w:r>
        <w:t xml:space="preserve"> </w:t>
      </w:r>
      <w:r>
        <w:t xml:space="preserve">intended. The pairwise test asks</w:t>
      </w:r>
      <w:r>
        <w:t xml:space="preserve"> </w:t>
      </w:r>
      <w:r>
        <w:t xml:space="preserve">“does</w:t>
      </w:r>
      <w:r>
        <w:t xml:space="preserve"> </w:t>
      </w:r>
      <w:r>
        <w:rPr>
          <w:i/>
          <w:iCs/>
        </w:rPr>
        <w:t xml:space="preserve">this</w:t>
      </w:r>
      <w:r>
        <w:t xml:space="preserve"> </w:t>
      </w:r>
      <w:r>
        <w:t xml:space="preserve">strategy beat</w:t>
      </w:r>
      <w:r>
        <w:t xml:space="preserve"> </w:t>
      </w:r>
      <w:r>
        <w:t xml:space="preserve">HRP?”</w:t>
      </w:r>
      <w:r>
        <w:t xml:space="preserve">; the SPA asks</w:t>
      </w:r>
      <w:r>
        <w:t xml:space="preserve"> </w:t>
      </w:r>
      <w:r>
        <w:t xml:space="preserve">“does</w:t>
      </w:r>
      <w:r>
        <w:t xml:space="preserve"> </w:t>
      </w:r>
      <w:r>
        <w:rPr>
          <w:i/>
          <w:iCs/>
        </w:rPr>
        <w:t xml:space="preserve">the best of 27 searched strategies</w:t>
      </w:r>
      <w:r>
        <w:t xml:space="preserve"> </w:t>
      </w:r>
      <w:r>
        <w:t xml:space="preserve">beat HRP, given that we searched 27?”</w:t>
      </w:r>
      <w:r>
        <w:t xml:space="preserve">, and inflates the critical</w:t>
      </w:r>
      <w:r>
        <w:t xml:space="preserve"> </w:t>
      </w:r>
      <w:r>
        <w:t xml:space="preserve">value accordingly. CRISP’s and NCO–CRISP’s edges clear the first bar</w:t>
      </w:r>
      <w:r>
        <w:t xml:space="preserve"> </w:t>
      </w:r>
      <w:r>
        <w:t xml:space="preserve">and not the second. The honest reading is therefore specific: the two</w:t>
      </w:r>
      <w:r>
        <w:t xml:space="preserve"> </w:t>
      </w:r>
      <w:r>
        <w:t xml:space="preserve">shrinkage allocators show a real, regime-robust pairwise edge, but it</w:t>
      </w:r>
      <w:r>
        <w:t xml:space="preserve"> </w:t>
      </w:r>
      <w:r>
        <w:t xml:space="preserve">is not large enough to survive correction for the breadth of the</w:t>
      </w:r>
      <w:r>
        <w:t xml:space="preserve"> </w:t>
      </w:r>
      <w:r>
        <w:t xml:space="preserve">search: it is strongly suggested, not established.</w:t>
      </w:r>
    </w:p>
    <w:bookmarkEnd w:id="122"/>
    <w:bookmarkStart w:id="123" w:name="regime-conditionality"/>
    <w:p>
      <w:pPr>
        <w:pStyle w:val="Heading2"/>
      </w:pPr>
      <w:r>
        <w:t xml:space="preserve">Regime conditionality</w:t>
      </w:r>
    </w:p>
    <w:p>
      <w:pPr>
        <w:pStyle w:val="FirstParagraph"/>
      </w:pPr>
      <w:r>
        <w:t xml:space="preserve">Two regime-dependent findings frame the rest. Detoning and partial</w:t>
      </w:r>
      <w:r>
        <w:t xml:space="preserve"> </w:t>
      </w:r>
      <w:r>
        <w:t xml:space="preserve">correlation, both designed to remove the dominant market mode and</w:t>
      </w:r>
      <w:r>
        <w:t xml:space="preserve"> </w:t>
      </w:r>
      <w:r>
        <w:t xml:space="preserve">isolate idiosyncratic structure, underperform here because the dominant</w:t>
      </w:r>
      <w:r>
        <w:t xml:space="preserve"> </w:t>
      </w:r>
      <w:r>
        <w:t xml:space="preserve">mode</w:t>
      </w:r>
      <w:r>
        <w:t xml:space="preserve"> </w:t>
      </w:r>
      <w:r>
        <w:rPr>
          <w:i/>
          <w:iCs/>
        </w:rPr>
        <w:t xml:space="preserve">was</w:t>
      </w:r>
      <w:r>
        <w:t xml:space="preserve"> </w:t>
      </w:r>
      <w:r>
        <w:t xml:space="preserve">BTC and being underweight BTC was costly; their value</w:t>
      </w:r>
      <w:r>
        <w:t xml:space="preserve"> </w:t>
      </w:r>
      <w:r>
        <w:t xml:space="preserve">is regime-dependent rather than a universal Sharpe improvement, and</w:t>
      </w:r>
      <w:r>
        <w:t xml:space="preserve"> </w:t>
      </w:r>
      <w:r>
        <w:t xml:space="preserve">the sideways or rotational regimes 2020–2026 did not contain may yet</w:t>
      </w:r>
      <w:r>
        <w:t xml:space="preserve"> </w:t>
      </w:r>
      <w:r>
        <w:t xml:space="preserve">reward them. The flip side is that a passive 100% BTC hold (Sharpe</w:t>
      </w:r>
      <w:r>
        <w:t xml:space="preserve"> </w:t>
      </w:r>
      <m:oMath>
        <m:r>
          <m:t>0.87</m:t>
        </m:r>
      </m:oMath>
      <w:r>
        <w:t xml:space="preserve">,</w:t>
      </w:r>
      <w:r>
        <w:t xml:space="preserve"> </w:t>
      </w:r>
      <m:oMath>
        <m:r>
          <m:rPr>
            <m:sty m:val="p"/>
          </m:rPr>
          <m:t>+</m:t>
        </m:r>
        <m:r>
          <m:t>749</m:t>
        </m:r>
        <m:r>
          <m:rPr>
            <m:sty m:val="p"/>
          </m:rPr>
          <m:t>%</m:t>
        </m:r>
      </m:oMath>
      <w:r>
        <w:t xml:space="preserve">) beats every</w:t>
      </w:r>
      <w:r>
        <w:t xml:space="preserve"> </w:t>
      </w:r>
      <w:r>
        <w:rPr>
          <w:i/>
          <w:iCs/>
        </w:rPr>
        <w:t xml:space="preserve">diversified</w:t>
      </w:r>
      <w:r>
        <w:t xml:space="preserve"> </w:t>
      </w:r>
      <w:r>
        <w:t xml:space="preserve">portfolio in the</w:t>
      </w:r>
      <w:r>
        <w:t xml:space="preserve"> </w:t>
      </w:r>
      <w:r>
        <w:t xml:space="preserve">comparison; the only constructed strategies above it, MVP and NCO, get</w:t>
      </w:r>
      <w:r>
        <w:t xml:space="preserve"> </w:t>
      </w:r>
      <w:r>
        <w:t xml:space="preserve">there by concentrating back into BTC, and that re-concentration is a</w:t>
      </w:r>
      <w:r>
        <w:t xml:space="preserve"> </w:t>
      </w:r>
      <w:r>
        <w:t xml:space="preserve">regime-conditional bet rather than a portfolio-construction insight.</w:t>
      </w:r>
      <w:r>
        <w:t xml:space="preserve"> </w:t>
      </w:r>
      <w:r>
        <w:t xml:space="preserve">The post-COVID cut is the counterweight: there, diversified HRP</w:t>
      </w:r>
      <w:r>
        <w:t xml:space="preserve"> </w:t>
      </w:r>
      <w:r>
        <w:t xml:space="preserve">variants lose 51–64% while concentration still wins. Realised returns</w:t>
      </w:r>
      <w:r>
        <w:t xml:space="preserve"> </w:t>
      </w:r>
      <w:r>
        <w:t xml:space="preserve">over 2020–2026 have been dominated by the direction of BTC, and</w:t>
      </w:r>
      <w:r>
        <w:t xml:space="preserve"> </w:t>
      </w:r>
      <w:r>
        <w:t xml:space="preserve">inference about portfolio construction in this asset class has to be</w:t>
      </w:r>
      <w:r>
        <w:t xml:space="preserve"> </w:t>
      </w:r>
      <w:r>
        <w:t xml:space="preserve">conditioned on that fact.</w:t>
      </w:r>
    </w:p>
    <w:bookmarkEnd w:id="123"/>
    <w:bookmarkStart w:id="124" w:name="limitations"/>
    <w:p>
      <w:pPr>
        <w:pStyle w:val="Heading2"/>
      </w:pPr>
      <w:r>
        <w:t xml:space="preserve">Limitations</w:t>
      </w:r>
    </w:p>
    <w:p>
      <w:pPr>
        <w:numPr>
          <w:ilvl w:val="0"/>
          <w:numId w:val="1002"/>
        </w:numPr>
      </w:pPr>
      <w:r>
        <w:t xml:space="preserve">Statistical power. With six years of data the design cannot</w:t>
      </w:r>
      <w:r>
        <w:t xml:space="preserve"> </w:t>
      </w:r>
      <w:r>
        <w:t xml:space="preserve">resolve a Sharpe edge below</w:t>
      </w:r>
      <w:r>
        <w:t xml:space="preserve"> </w:t>
      </w:r>
      <m:oMath>
        <m:r>
          <m:rPr>
            <m:sty m:val="p"/>
          </m:rPr>
          <m:t>≈</m:t>
        </m:r>
        <m:r>
          <m:t>0.4</m:t>
        </m:r>
      </m:oMath>
      <w:r>
        <w:t xml:space="preserve"> </w:t>
      </w:r>
      <w:r>
        <w:t xml:space="preserve">for a strategy that</w:t>
      </w:r>
      <w:r>
        <w:t xml:space="preserve"> </w:t>
      </w:r>
      <w:r>
        <w:t xml:space="preserve">departs substantively from HRP (§</w:t>
      </w:r>
      <w:hyperlink w:anchor="sec:results-power">
        <w:r>
          <w:rPr>
            <w:rStyle w:val="Hyperlink"/>
          </w:rPr>
          <w:t xml:space="preserve">6.2.0.4</w:t>
        </w:r>
      </w:hyperlink>
      <w:r>
        <w:t xml:space="preserve">); NCO’s</w:t>
      </w:r>
      <w:r>
        <w:t xml:space="preserve"> </w:t>
      </w:r>
      <w:r>
        <w:t xml:space="preserve">economically large</w:t>
      </w:r>
      <w:r>
        <w:t xml:space="preserve"> </w:t>
      </w:r>
      <m:oMath>
        <m:r>
          <m:rPr>
            <m:sty m:val="p"/>
          </m:rPr>
          <m:t>+</m:t>
        </m:r>
        <m:r>
          <m:t>0.19</m:t>
        </m:r>
      </m:oMath>
      <w:r>
        <w:t xml:space="preserve"> </w:t>
      </w:r>
      <w:r>
        <w:t xml:space="preserve">edge is therefore left unresolved</w:t>
      </w:r>
      <w:r>
        <w:t xml:space="preserve"> </w:t>
      </w:r>
      <w:r>
        <w:t xml:space="preserve">rather than confirmed or refuted.</w:t>
      </w:r>
    </w:p>
    <w:p>
      <w:pPr>
        <w:numPr>
          <w:ilvl w:val="0"/>
          <w:numId w:val="1002"/>
        </w:numPr>
      </w:pPr>
      <w:r>
        <w:t xml:space="preserve">Single venue (Binance USDT spot). A multi-exchange consolidated</w:t>
      </w:r>
      <w:r>
        <w:t xml:space="preserve"> </w:t>
      </w:r>
      <w:r>
        <w:t xml:space="preserve">price (Kaiko, CCXT-aggregated) would give a more representative</w:t>
      </w:r>
      <w:r>
        <w:t xml:space="preserve"> </w:t>
      </w:r>
      <w:r>
        <w:t xml:space="preserve">cost model but was out of scope for this paper.</w:t>
      </w:r>
    </w:p>
    <w:p>
      <w:pPr>
        <w:numPr>
          <w:ilvl w:val="0"/>
          <w:numId w:val="1002"/>
        </w:numPr>
      </w:pPr>
      <w:r>
        <w:t xml:space="preserve">No on-chain factors. The Liu-Tsyvinski-Wu</w:t>
      </w:r>
      <w:r>
        <w:t xml:space="preserve"> </w:t>
      </w:r>
      <w:r>
        <w:t xml:space="preserve">(Liu et al. 2022)</w:t>
      </w:r>
      <w:r>
        <w:t xml:space="preserve"> </w:t>
      </w:r>
      <w:r>
        <w:t xml:space="preserve">three-factor model and on-chain signals (Glassnode) are</w:t>
      </w:r>
      <w:r>
        <w:t xml:space="preserve"> </w:t>
      </w:r>
      <w:r>
        <w:t xml:space="preserve">deferred to a follow-up.</w:t>
      </w:r>
    </w:p>
    <w:p>
      <w:pPr>
        <w:numPr>
          <w:ilvl w:val="0"/>
          <w:numId w:val="1002"/>
        </w:numPr>
      </w:pPr>
      <w:r>
        <w:t xml:space="preserve">PIT universe is ranked by Binance quote volume, not market cap.</w:t>
      </w:r>
      <w:r>
        <w:t xml:space="preserve"> </w:t>
      </w:r>
      <w:r>
        <w:t xml:space="preserve">Pro-tier CoinGecko or paid Kaiko data would enable a market-cap</w:t>
      </w:r>
      <w:r>
        <w:t xml:space="preserve"> </w:t>
      </w:r>
      <w:r>
        <w:t xml:space="preserve">robustness check.</w:t>
      </w:r>
    </w:p>
    <w:p>
      <w:pPr>
        <w:numPr>
          <w:ilvl w:val="0"/>
          <w:numId w:val="1002"/>
        </w:numPr>
      </w:pPr>
      <w:r>
        <w:t xml:space="preserve">Cross-platform reproducibility of trained-model strategies.</w:t>
      </w:r>
      <w:r>
        <w:t xml:space="preserve"> </w:t>
      </w:r>
      <w:r>
        <w:t xml:space="preserve">Closed-form strategies are highly stable across environments, but</w:t>
      </w:r>
      <w:r>
        <w:t xml:space="preserve"> </w:t>
      </w:r>
      <w:r>
        <w:t xml:space="preserve">strategies that rely on learned representations are only</w:t>
      </w:r>
      <w:r>
        <w:t xml:space="preserve"> </w:t>
      </w:r>
      <w:r>
        <w:t xml:space="preserve">conditionally reproducible because platform-level floating-point</w:t>
      </w:r>
      <w:r>
        <w:t xml:space="preserve"> </w:t>
      </w:r>
      <w:r>
        <w:t xml:space="preserve">differences can propagate through clustering and forecast-based</w:t>
      </w:r>
      <w:r>
        <w:t xml:space="preserve"> </w:t>
      </w:r>
      <w:r>
        <w:t xml:space="preserve">allocation. In robustness checks, this affects the PyTorch-based</w:t>
      </w:r>
      <w:r>
        <w:t xml:space="preserve"> </w:t>
      </w:r>
      <w:r>
        <w:t xml:space="preserve">embedding variants most, with Sharpe shifts on the order of</w:t>
      </w:r>
      <w:r>
        <w:t xml:space="preserve"> </w:t>
      </w:r>
      <m:oMath>
        <m:r>
          <m:rPr>
            <m:sty m:val="p"/>
          </m:rPr>
          <m:t>≈</m:t>
        </m:r>
        <m:r>
          <m:t>0.02</m:t>
        </m:r>
      </m:oMath>
      <w:r>
        <w:t xml:space="preserve"> </w:t>
      </w:r>
      <w:r>
        <w:t xml:space="preserve">and corresponding movement in marginal pairwise</w:t>
      </w:r>
      <w:r>
        <w:t xml:space="preserve"> </w:t>
      </w:r>
      <m:oMath>
        <m:r>
          <m:t>p</m:t>
        </m:r>
      </m:oMath>
      <w:r>
        <w:t xml:space="preserve">-values. The main ranking structure and joint-test conclusions,</w:t>
      </w:r>
      <w:r>
        <w:t xml:space="preserve"> </w:t>
      </w:r>
      <w:r>
        <w:t xml:space="preserve">however, remain unchanged.</w:t>
      </w:r>
    </w:p>
    <w:bookmarkEnd w:id="124"/>
    <w:bookmarkEnd w:id="125"/>
    <w:bookmarkStart w:id="126" w:name="sec:conclusion"/>
    <w:p>
      <w:pPr>
        <w:pStyle w:val="Heading1"/>
      </w:pPr>
      <w:r>
        <w:t xml:space="preserve">Conclusion</w:t>
      </w:r>
    </w:p>
    <w:p>
      <w:pPr>
        <w:pStyle w:val="FirstParagraph"/>
      </w:pPr>
      <w:r>
        <w:t xml:space="preserve">Across 27 constructed portfolio strategies tested against baseline HRP</w:t>
      </w:r>
      <w:r>
        <w:t xml:space="preserve"> </w:t>
      </w:r>
      <w:r>
        <w:t xml:space="preserve">on 76 monthly rebalances of a survivorship-bias-corrected Binance USDT</w:t>
      </w:r>
      <w:r>
        <w:t xml:space="preserve"> </w:t>
      </w:r>
      <w:r>
        <w:t xml:space="preserve">universe (2020–2026), the allocation step is the only HRP design</w:t>
      </w:r>
      <w:r>
        <w:t xml:space="preserve"> </w:t>
      </w:r>
      <w:r>
        <w:t xml:space="preserve">choice that materially moves performance, and even the strategies that</w:t>
      </w:r>
      <w:r>
        <w:t xml:space="preserve"> </w:t>
      </w:r>
      <w:r>
        <w:t xml:space="preserve">do move do not survive the multiple-testing correction. The roster</w:t>
      </w:r>
      <w:r>
        <w:t xml:space="preserve"> </w:t>
      </w:r>
      <w:r>
        <w:t xml:space="preserve">spans thirteen HRP-family variants (eight correlation/covariance</w:t>
      </w:r>
      <w:r>
        <w:t xml:space="preserve"> </w:t>
      </w:r>
      <w:r>
        <w:t xml:space="preserve">constructions and four embedding-based ones), five risk-based</w:t>
      </w:r>
      <w:r>
        <w:t xml:space="preserve"> </w:t>
      </w:r>
      <w:r>
        <w:t xml:space="preserve">comparators, four nested-clustering optimisers, three momentum</w:t>
      </w:r>
      <w:r>
        <w:t xml:space="preserve"> </w:t>
      </w:r>
      <w:r>
        <w:t xml:space="preserve">strategies and two signal-aware XGBoost-fed extensions; every</w:t>
      </w:r>
      <w:r>
        <w:t xml:space="preserve"> </w:t>
      </w:r>
      <w:r>
        <w:t xml:space="preserve">comparison is wrapped in a studentized Ledoit–Wolf test and the</w:t>
      </w:r>
      <w:r>
        <w:t xml:space="preserve"> </w:t>
      </w:r>
      <w:r>
        <w:t xml:space="preserve">reference Hansen SPA on a 146-ever-included-symbols point-in-time</w:t>
      </w:r>
      <w:r>
        <w:t xml:space="preserve"> </w:t>
      </w:r>
      <w:r>
        <w:t xml:space="preserve">universe.</w:t>
      </w:r>
    </w:p>
    <w:p>
      <w:pPr>
        <w:pStyle w:val="BodyText"/>
      </w:pPr>
      <w:r>
        <w:t xml:space="preserve">Concretely: varying the</w:t>
      </w:r>
      <w:r>
        <w:t xml:space="preserve"> </w:t>
      </w:r>
      <w:r>
        <w:rPr>
          <w:i/>
          <w:iCs/>
        </w:rPr>
        <w:t xml:space="preserve">clustering</w:t>
      </w:r>
      <w:r>
        <w:t xml:space="preserve"> </w:t>
      </w:r>
      <w:r>
        <w:t xml:space="preserve">step, that is the</w:t>
      </w:r>
      <w:r>
        <w:t xml:space="preserve"> </w:t>
      </w:r>
      <w:r>
        <w:t xml:space="preserve">correlation, distance, linkage or learned embedding that builds the</w:t>
      </w:r>
      <w:r>
        <w:t xml:space="preserve"> </w:t>
      </w:r>
      <w:r>
        <w:t xml:space="preserve">dendrogram, did not produce a detectable outperformance over baseline</w:t>
      </w:r>
      <w:r>
        <w:t xml:space="preserve"> </w:t>
      </w:r>
      <w:r>
        <w:t xml:space="preserve">HRP: across a 547-cell hyperparameter grid no configuration escapes</w:t>
      </w:r>
      <w:r>
        <w:t xml:space="preserve"> </w:t>
      </w:r>
      <w:r>
        <w:t xml:space="preserve">the HRP-family Sharpe band, and the combined Hansen SPA cannot reject</w:t>
      </w:r>
      <w:r>
        <w:t xml:space="preserve"> </w:t>
      </w:r>
      <w:r>
        <w:t xml:space="preserve">the null (</w:t>
      </w:r>
      <m:oMath>
        <m:sSub>
          <m:e>
            <m:r>
              <m:t>p</m:t>
            </m:r>
          </m:e>
          <m:sub>
            <m:r>
              <m:rPr>
                <m:nor/>
                <m:sty m:val="p"/>
              </m:rPr>
              <m:t>consistent</m:t>
            </m:r>
          </m:sub>
        </m:sSub>
        <m:r>
          <m:rPr>
            <m:sty m:val="p"/>
          </m:rPr>
          <m:t>=</m:t>
        </m:r>
        <m:r>
          <m:t>0.91</m:t>
        </m:r>
      </m:oMath>
      <w:r>
        <w:t xml:space="preserve">). The</w:t>
      </w:r>
      <w:r>
        <w:t xml:space="preserve"> </w:t>
      </w:r>
      <w:r>
        <w:rPr>
          <w:i/>
          <w:iCs/>
        </w:rPr>
        <w:t xml:space="preserve">allocation</w:t>
      </w:r>
      <w:r>
        <w:t xml:space="preserve"> </w:t>
      </w:r>
      <w:r>
        <w:t xml:space="preserve">step</w:t>
      </w:r>
      <w:r>
        <w:t xml:space="preserve"> </w:t>
      </w:r>
      <w:r>
        <w:t xml:space="preserve">is more strongly associated with performance dispersion:</w:t>
      </w:r>
      <w:r>
        <w:t xml:space="preserve"> </w:t>
      </w:r>
      <w:r>
        <w:t xml:space="preserve">the CRISP correlation-shrinkage portfolio (Sharpe 0.99), an NCO–CRISP</w:t>
      </w:r>
      <w:r>
        <w:t xml:space="preserve"> </w:t>
      </w:r>
      <w:r>
        <w:t xml:space="preserve">hybrid (0.98) and NCO (0.93) all clear baseline HRP, while a</w:t>
      </w:r>
      <w:r>
        <w:t xml:space="preserve"> </w:t>
      </w:r>
      <w:r>
        <w:t xml:space="preserve">return-tilted NCO collapses to</w:t>
      </w:r>
      <w:r>
        <w:t xml:space="preserve"> </w:t>
      </w:r>
      <m:oMath>
        <m:r>
          <m:rPr>
            <m:sty m:val="p"/>
          </m:rPr>
          <m:t>−</m:t>
        </m:r>
        <m:r>
          <m:t>97</m:t>
        </m:r>
        <m:r>
          <m:rPr>
            <m:sty m:val="p"/>
          </m:rPr>
          <m:t>%</m:t>
        </m:r>
      </m:oMath>
      <w:r>
        <w:t xml:space="preserve">. Replacing that sample-mean</w:t>
      </w:r>
      <w:r>
        <w:t xml:space="preserve"> </w:t>
      </w:r>
      <w:r>
        <w:t xml:space="preserve">signal with a walk-forward XGBoost forecast sidesteps the collapse</w:t>
      </w:r>
      <w:r>
        <w:t xml:space="preserve"> </w:t>
      </w:r>
      <w:r>
        <w:t xml:space="preserve">(NCOML, Sharpe 0.80) without beating signal-blind NCO; feeding the</w:t>
      </w:r>
      <w:r>
        <w:t xml:space="preserve"> </w:t>
      </w:r>
      <w:r>
        <w:t xml:space="preserve">same forecast into Wuebben’s signal-aware HRP-</w:t>
      </w:r>
      <m:oMath>
        <m:r>
          <m:rPr>
            <m:sty m:val="p"/>
          </m:rPr>
          <m:t>Σ</m:t>
        </m:r>
        <m:r>
          <m:t>μ</m:t>
        </m:r>
      </m:oMath>
      <w:r>
        <w:t xml:space="preserve"> </w:t>
      </w:r>
      <w:r>
        <w:t xml:space="preserve">underperforms</w:t>
      </w:r>
      <w:r>
        <w:t xml:space="preserve"> </w:t>
      </w:r>
      <w:r>
        <w:t xml:space="preserve">baseline HRP (0.61). CRISP and NCO–CRISP beat HRP at the pairwise</w:t>
      </w:r>
      <w:r>
        <w:t xml:space="preserve"> </w:t>
      </w:r>
      <w:r>
        <w:t xml:space="preserve">level in both the full and post-COVID windows (Ledoit–Wolf</w:t>
      </w:r>
      <w:r>
        <w:t xml:space="preserve"> </w:t>
      </w:r>
      <m:oMath>
        <m:r>
          <m:t>p</m:t>
        </m:r>
        <m:r>
          <m:rPr>
            <m:sty m:val="p"/>
          </m:rPr>
          <m:t>≈</m:t>
        </m:r>
        <m:r>
          <m:t>0.01</m:t>
        </m:r>
      </m:oMath>
      <w:r>
        <w:t xml:space="preserve">). But the Hansen SPA, correcting for the 27-candidate</w:t>
      </w:r>
      <w:r>
        <w:t xml:space="preserve"> </w:t>
      </w:r>
      <w:r>
        <w:t xml:space="preserve">search, still does not reject the null</w:t>
      </w:r>
      <w:r>
        <w:t xml:space="preserve"> </w:t>
      </w:r>
      <w:r>
        <w:t xml:space="preserve">(</w:t>
      </w:r>
      <m:oMath>
        <m:sSub>
          <m:e>
            <m:r>
              <m:t>p</m:t>
            </m:r>
          </m:e>
          <m:sub>
            <m:r>
              <m:rPr>
                <m:nor/>
                <m:sty m:val="p"/>
              </m:rPr>
              <m:t>consistent</m:t>
            </m:r>
          </m:sub>
        </m:sSub>
        <m:r>
          <m:rPr>
            <m:sty m:val="p"/>
          </m:rPr>
          <m:t>=</m:t>
        </m:r>
        <m:r>
          <m:t>0.51</m:t>
        </m:r>
      </m:oMath>
      <w:r>
        <w:t xml:space="preserve">): no edge survives the multiple-testing</w:t>
      </w:r>
      <w:r>
        <w:t xml:space="preserve"> </w:t>
      </w:r>
      <w:r>
        <w:t xml:space="preserve">correction. The null is a statement about detectable, search-corrected</w:t>
      </w:r>
      <w:r>
        <w:t xml:space="preserve"> </w:t>
      </w:r>
      <w:r>
        <w:t xml:space="preserve">effect size rather than a proof of zero effect.</w:t>
      </w:r>
    </w:p>
    <w:p>
      <w:pPr>
        <w:pStyle w:val="BodyText"/>
      </w:pPr>
      <w:r>
        <w:t xml:space="preserve">Two caveats frame the result. First, a passive 100% BTC hold beats</w:t>
      </w:r>
      <w:r>
        <w:t xml:space="preserve"> </w:t>
      </w:r>
      <w:r>
        <w:t xml:space="preserve">every diversified portfolio, and the only constructed strategies that</w:t>
      </w:r>
      <w:r>
        <w:t xml:space="preserve"> </w:t>
      </w:r>
      <w:r>
        <w:t xml:space="preserve">beat</w:t>
      </w:r>
      <w:r>
        <w:t xml:space="preserve"> </w:t>
      </w:r>
      <w:r>
        <w:rPr>
          <w:i/>
          <w:iCs/>
        </w:rPr>
        <w:t xml:space="preserve">it</w:t>
      </w:r>
      <w:r>
        <w:t xml:space="preserve"> </w:t>
      </w:r>
      <w:r>
        <w:t xml:space="preserve">(MVP, CRISP, NCO–CRISP, NCO) win by concentrating back</w:t>
      </w:r>
      <w:r>
        <w:t xml:space="preserve"> </w:t>
      </w:r>
      <w:r>
        <w:t xml:space="preserve">into BTC; in this asset class and regime, portfolio construction has</w:t>
      </w:r>
      <w:r>
        <w:t xml:space="preserve"> </w:t>
      </w:r>
      <w:r>
        <w:t xml:space="preserve">been second-order to the BTC beta. Second, in the post-COVID sub-sample</w:t>
      </w:r>
      <w:r>
        <w:t xml:space="preserve"> </w:t>
      </w:r>
      <w:r>
        <w:t xml:space="preserve">every diversified HRP variant lost 51–64% of capital, so the</w:t>
      </w:r>
      <w:r>
        <w:t xml:space="preserve"> </w:t>
      </w:r>
      <w:r>
        <w:t xml:space="preserve">“diversification works”</w:t>
      </w:r>
      <w:r>
        <w:t xml:space="preserve"> </w:t>
      </w:r>
      <w:r>
        <w:t xml:space="preserve">reading of the full window is itself</w:t>
      </w:r>
      <w:r>
        <w:t xml:space="preserve"> </w:t>
      </w:r>
      <w:r>
        <w:t xml:space="preserve">regime-conditional. We also retract an earlier cluster-stability claim</w:t>
      </w:r>
      <w:r>
        <w:t xml:space="preserve"> </w:t>
      </w:r>
      <w:r>
        <w:t xml:space="preserve">that the 76-snapshot re-analysis falsifies.</w:t>
      </w:r>
    </w:p>
    <w:p>
      <w:pPr>
        <w:pStyle w:val="BodyText"/>
      </w:pPr>
      <w:r>
        <w:t xml:space="preserve">The paper’s contribution is an empirically-tested map of which HRP</w:t>
      </w:r>
      <w:r>
        <w:t xml:space="preserve"> </w:t>
      </w:r>
      <w:r>
        <w:t xml:space="preserve">design choices affect performance: of the many parameters an HRP</w:t>
      </w:r>
      <w:r>
        <w:t xml:space="preserve"> </w:t>
      </w:r>
      <w:r>
        <w:t xml:space="preserve">practitioner can vary, the allocation objective is the component most</w:t>
      </w:r>
      <w:r>
        <w:t xml:space="preserve"> </w:t>
      </w:r>
      <w:r>
        <w:t xml:space="preserve">consistently associated with</w:t>
      </w:r>
      <w:r>
        <w:t xml:space="preserve"> </w:t>
      </w:r>
      <w:r>
        <w:t xml:space="preserve">detectable change, and even the strategies that improve on baseline</w:t>
      </w:r>
      <w:r>
        <w:t xml:space="preserve"> </w:t>
      </w:r>
      <w:r>
        <w:t xml:space="preserve">(CRISP, NCO–CRISP) do so by an edge that does not survive correction</w:t>
      </w:r>
      <w:r>
        <w:t xml:space="preserve"> </w:t>
      </w:r>
      <w:r>
        <w:t xml:space="preserve">for the number of strategies tried.</w:t>
      </w:r>
    </w:p>
    <w:p>
      <w:pPr>
        <w:pStyle w:val="BodyText"/>
      </w:pPr>
      <w:r>
        <w:t xml:space="preserve">Several directions remain open for future work. Time-varying</w:t>
      </w:r>
      <w:r>
        <w:t xml:space="preserve"> </w:t>
      </w:r>
      <w:r>
        <w:t xml:space="preserve">conditional covariance (DCC-GARCH) would give the dynamic-correlation</w:t>
      </w:r>
      <w:r>
        <w:t xml:space="preserve"> </w:t>
      </w:r>
      <w:r>
        <w:t xml:space="preserve">layer a properly</w:t>
      </w:r>
      <w:r>
        <w:t xml:space="preserve"> </w:t>
      </w:r>
      <w:r>
        <w:t xml:space="preserve">conditional second moment in place of the EWMA recursion.</w:t>
      </w:r>
      <w:r>
        <w:t xml:space="preserve"> </w:t>
      </w:r>
      <w:r>
        <w:t xml:space="preserve">Regime-switching analysis could test directly whether detoning and</w:t>
      </w:r>
      <w:r>
        <w:t xml:space="preserve"> </w:t>
      </w:r>
      <w:r>
        <w:t xml:space="preserve">partial correlation, which underperform in the BTC-led 2020–2026</w:t>
      </w:r>
      <w:r>
        <w:t xml:space="preserve"> </w:t>
      </w:r>
      <w:r>
        <w:t xml:space="preserve">window, add value in the sideways or rotational regimes that window</w:t>
      </w:r>
      <w:r>
        <w:t xml:space="preserve"> </w:t>
      </w:r>
      <w:r>
        <w:t xml:space="preserve">did not contain. On-chain factors</w:t>
      </w:r>
      <w:r>
        <w:t xml:space="preserve"> </w:t>
      </w:r>
      <w:r>
        <w:t xml:space="preserve">(Liu et al. 2022)</w:t>
      </w:r>
      <w:r>
        <w:t xml:space="preserve"> </w:t>
      </w:r>
      <w:r>
        <w:t xml:space="preserve">and a</w:t>
      </w:r>
      <w:r>
        <w:t xml:space="preserve"> </w:t>
      </w:r>
      <w:r>
        <w:t xml:space="preserve">multi-exchange consolidated price (e.g. Kaiko) for a venue-robust cost</w:t>
      </w:r>
      <w:r>
        <w:t xml:space="preserve"> </w:t>
      </w:r>
      <w:r>
        <w:t xml:space="preserve">model are natural data extensions. The most concrete empirical</w:t>
      </w:r>
      <w:r>
        <w:t xml:space="preserve"> </w:t>
      </w:r>
      <w:r>
        <w:t xml:space="preserve">follow-up, though, is a longer out-of-sample window: the power analysis</w:t>
      </w:r>
      <w:r>
        <w:t xml:space="preserve"> </w:t>
      </w:r>
      <w:r>
        <w:t xml:space="preserve">(§</w:t>
      </w:r>
      <w:hyperlink w:anchor="sec:results-power">
        <w:r>
          <w:rPr>
            <w:rStyle w:val="Hyperlink"/>
          </w:rPr>
          <w:t xml:space="preserve">6.2.0.4</w:t>
        </w:r>
      </w:hyperlink>
      <w:r>
        <w:t xml:space="preserve">) shows NCO’s</w:t>
      </w:r>
      <w:r>
        <w:t xml:space="preserve"> </w:t>
      </w:r>
      <m:oMath>
        <m:r>
          <m:rPr>
            <m:sty m:val="p"/>
          </m:rPr>
          <m:t>+</m:t>
        </m:r>
        <m:r>
          <m:t>0.19</m:t>
        </m:r>
      </m:oMath>
      <w:r>
        <w:t xml:space="preserve"> </w:t>
      </w:r>
      <w:r>
        <w:t xml:space="preserve">Sharpe edge cannot be</w:t>
      </w:r>
      <w:r>
        <w:t xml:space="preserve"> </w:t>
      </w:r>
      <w:r>
        <w:t xml:space="preserve">certified on six years of crypto data, and the post-COVID cut suggests</w:t>
      </w:r>
      <w:r>
        <w:t xml:space="preserve"> </w:t>
      </w:r>
      <w:r>
        <w:t xml:space="preserve">that at least one embedding variant can edge</w:t>
      </w:r>
      <w:r>
        <w:t xml:space="preserve"> </w:t>
      </w:r>
      <w:r>
        <w:rPr>
          <w:i/>
          <w:iCs/>
        </w:rPr>
        <w:t xml:space="preserve">ahead</w:t>
      </w:r>
      <w:r>
        <w:t xml:space="preserve"> </w:t>
      </w:r>
      <w:r>
        <w:t xml:space="preserve">of baseline</w:t>
      </w:r>
      <w:r>
        <w:t xml:space="preserve"> </w:t>
      </w:r>
      <w:r>
        <w:t xml:space="preserve">HRP in choppier regimes while the others remain close. This signal is too weak to confirm here but</w:t>
      </w:r>
      <w:r>
        <w:t xml:space="preserve"> </w:t>
      </w:r>
      <w:r>
        <w:t xml:space="preserve">worth revisiting once more non-bull data accrues. The NCO result also</w:t>
      </w:r>
      <w:r>
        <w:t xml:space="preserve"> </w:t>
      </w:r>
      <w:r>
        <w:t xml:space="preserve">invites a closer study of</w:t>
      </w:r>
      <w:r>
        <w:t xml:space="preserve"> </w:t>
      </w:r>
      <w:r>
        <w:rPr>
          <w:i/>
          <w:iCs/>
        </w:rPr>
        <w:t xml:space="preserve">why</w:t>
      </w:r>
      <w:r>
        <w:t xml:space="preserve"> </w:t>
      </w:r>
      <w:r>
        <w:t xml:space="preserve">a nested minimum-variance</w:t>
      </w:r>
      <w:r>
        <w:t xml:space="preserve"> </w:t>
      </w:r>
      <w:r>
        <w:t xml:space="preserve">allocation tends to separate from the HRP pack in this sample.</w:t>
      </w:r>
    </w:p>
    <w:bookmarkEnd w:id="126"/>
    <w:bookmarkStart w:id="162" w:name="acknowledgements"/>
    <w:p>
      <w:pPr>
        <w:pStyle w:val="Heading1"/>
      </w:pPr>
      <w:r>
        <w:t xml:space="preserve">Acknowledgements</w:t>
      </w:r>
    </w:p>
    <w:p>
      <w:pPr>
        <w:pStyle w:val="FirstParagraph"/>
      </w:pPr>
      <w:r>
        <w:t xml:space="preserve">We thank the UCEMA</w:t>
      </w:r>
      <w:r>
        <w:t xml:space="preserve"> </w:t>
      </w:r>
      <w:r>
        <w:t xml:space="preserve">Quantitative Finance faculty, particularly Manuel Maurette and Pablo</w:t>
      </w:r>
      <w:r>
        <w:t xml:space="preserve"> </w:t>
      </w:r>
      <w:r>
        <w:t xml:space="preserve">Martin Gechidjian, for their support and feedback. Finally, we thank</w:t>
      </w:r>
      <w:r>
        <w:t xml:space="preserve"> </w:t>
      </w:r>
      <w:r>
        <w:t xml:space="preserve">Marcos López de Prado for developing the foundational Hierarchical</w:t>
      </w:r>
      <w:r>
        <w:t xml:space="preserve"> </w:t>
      </w:r>
      <w:r>
        <w:t xml:space="preserve">Risk Parity framework that this study extends.</w:t>
      </w:r>
    </w:p>
    <w:bookmarkStart w:id="161" w:name="refs"/>
    <w:bookmarkStart w:id="127" w:name="ref-bailey2014dsr"/>
    <w:p>
      <w:pPr>
        <w:pStyle w:val="Bibliography"/>
      </w:pPr>
      <w:r>
        <w:t xml:space="preserve">Bailey, David H., and Marcos López de Prado. 2014.</w:t>
      </w:r>
      <w:r>
        <w:t xml:space="preserve"> </w:t>
      </w:r>
      <w:r>
        <w:t xml:space="preserve">“The Deflated Sharpe Ratio: Correcting for Selection Bias, Backtest Overfitting, and Non-Normality.”</w:t>
      </w:r>
      <w:r>
        <w:t xml:space="preserve"> </w:t>
      </w:r>
      <w:r>
        <w:rPr>
          <w:i/>
          <w:iCs/>
        </w:rPr>
        <w:t xml:space="preserve">Journal of Portfolio Management</w:t>
      </w:r>
      <w:r>
        <w:t xml:space="preserve"> </w:t>
      </w:r>
      <w:r>
        <w:t xml:space="preserve">40 (5): 94–107.</w:t>
      </w:r>
    </w:p>
    <w:bookmarkEnd w:id="127"/>
    <w:bookmarkStart w:id="128" w:name="ref-barroso2015momentum"/>
    <w:p>
      <w:pPr>
        <w:pStyle w:val="Bibliography"/>
      </w:pPr>
      <w:r>
        <w:t xml:space="preserve">Barroso, Pedro, and Pedro Santa-Clara. 2015.</w:t>
      </w:r>
      <w:r>
        <w:t xml:space="preserve"> </w:t>
      </w:r>
      <w:r>
        <w:t xml:space="preserve">“Momentum Has Its Moments.”</w:t>
      </w:r>
      <w:r>
        <w:t xml:space="preserve"> </w:t>
      </w:r>
      <w:r>
        <w:rPr>
          <w:i/>
          <w:iCs/>
        </w:rPr>
        <w:t xml:space="preserve">Journal of Financial Economics</w:t>
      </w:r>
      <w:r>
        <w:t xml:space="preserve"> </w:t>
      </w:r>
      <w:r>
        <w:t xml:space="preserve">116 (1): 111–20.</w:t>
      </w:r>
    </w:p>
    <w:bookmarkEnd w:id="128"/>
    <w:bookmarkStart w:id="129" w:name="ref-chen2020"/>
    <w:p>
      <w:pPr>
        <w:pStyle w:val="Bibliography"/>
      </w:pPr>
      <w:r>
        <w:t xml:space="preserve">Chen, Ting, Simon Kornblith, Mohammad Norouzi, and Geoffrey Hinton. 2020.</w:t>
      </w:r>
      <w:r>
        <w:t xml:space="preserve"> </w:t>
      </w:r>
      <w:r>
        <w:t xml:space="preserve">“A Simple Framework for Contrastive Learning of Visual Representations.”</w:t>
      </w:r>
      <w:r>
        <w:t xml:space="preserve"> </w:t>
      </w:r>
      <w:r>
        <w:rPr>
          <w:i/>
          <w:iCs/>
        </w:rPr>
        <w:t xml:space="preserve">ICML</w:t>
      </w:r>
      <w:r>
        <w:t xml:space="preserve">.</w:t>
      </w:r>
    </w:p>
    <w:bookmarkEnd w:id="129"/>
    <w:bookmarkStart w:id="130" w:name="ref-choueifaty2008maxdiv"/>
    <w:p>
      <w:pPr>
        <w:pStyle w:val="Bibliography"/>
      </w:pPr>
      <w:r>
        <w:t xml:space="preserve">Choueifaty, Yves, and Yves Coignard. 2008.</w:t>
      </w:r>
      <w:r>
        <w:t xml:space="preserve"> </w:t>
      </w:r>
      <w:r>
        <w:t xml:space="preserve">“Toward Maximum Diversification.”</w:t>
      </w:r>
      <w:r>
        <w:t xml:space="preserve"> </w:t>
      </w:r>
      <w:r>
        <w:rPr>
          <w:i/>
          <w:iCs/>
        </w:rPr>
        <w:t xml:space="preserve">Journal of Portfolio Management</w:t>
      </w:r>
      <w:r>
        <w:t xml:space="preserve"> </w:t>
      </w:r>
      <w:r>
        <w:t xml:space="preserve">35 (1): 40–51.</w:t>
      </w:r>
    </w:p>
    <w:bookmarkEnd w:id="130"/>
    <w:bookmarkStart w:id="131" w:name="ref-ciciretti2024nrp"/>
    <w:p>
      <w:pPr>
        <w:pStyle w:val="Bibliography"/>
      </w:pPr>
      <w:r>
        <w:t xml:space="preserve">Ciciretti, Vito, and Alberto Pallotta. 2024.</w:t>
      </w:r>
      <w:r>
        <w:t xml:space="preserve"> </w:t>
      </w:r>
      <w:r>
        <w:rPr>
          <w:i/>
          <w:iCs/>
        </w:rPr>
        <w:t xml:space="preserve">Network Risk Parity</w:t>
      </w:r>
      <w:r>
        <w:t xml:space="preserve">. Working paper.</w:t>
      </w:r>
    </w:p>
    <w:bookmarkEnd w:id="131"/>
    <w:bookmarkStart w:id="132" w:name="ref-friedman2008glasso"/>
    <w:p>
      <w:pPr>
        <w:pStyle w:val="Bibliography"/>
      </w:pPr>
      <w:r>
        <w:t xml:space="preserve">Friedman, Jerome, Trevor Hastie, and Robert Tibshirani. 2008.</w:t>
      </w:r>
      <w:r>
        <w:t xml:space="preserve"> </w:t>
      </w:r>
      <w:r>
        <w:t xml:space="preserve">“Sparse Inverse Covariance Estimation with the Graphical Lasso.”</w:t>
      </w:r>
      <w:r>
        <w:t xml:space="preserve"> </w:t>
      </w:r>
      <w:r>
        <w:rPr>
          <w:i/>
          <w:iCs/>
        </w:rPr>
        <w:t xml:space="preserve">Biostatistics</w:t>
      </w:r>
      <w:r>
        <w:t xml:space="preserve"> </w:t>
      </w:r>
      <w:r>
        <w:t xml:space="preserve">9 (3): 432–41.</w:t>
      </w:r>
    </w:p>
    <w:bookmarkEnd w:id="132"/>
    <w:bookmarkStart w:id="133" w:name="ref-grover2016"/>
    <w:p>
      <w:pPr>
        <w:pStyle w:val="Bibliography"/>
      </w:pPr>
      <w:r>
        <w:t xml:space="preserve">Grover, Aditya, and Jure Leskovec. 2016.</w:t>
      </w:r>
      <w:r>
        <w:t xml:space="preserve"> </w:t>
      </w:r>
      <w:r>
        <w:t xml:space="preserve">“Node2vec: Scalable Feature Learning for Networks.”</w:t>
      </w:r>
      <w:r>
        <w:t xml:space="preserve"> </w:t>
      </w:r>
      <w:r>
        <w:rPr>
          <w:i/>
          <w:iCs/>
        </w:rPr>
        <w:t xml:space="preserve">Proceedings of the 22nd ACM SIGKDD International Conference on Knowledge Discovery and Data Mining</w:t>
      </w:r>
      <w:r>
        <w:t xml:space="preserve">, 855–64.</w:t>
      </w:r>
    </w:p>
    <w:bookmarkEnd w:id="133"/>
    <w:bookmarkStart w:id="134" w:name="ref-hansen2005spa"/>
    <w:p>
      <w:pPr>
        <w:pStyle w:val="Bibliography"/>
      </w:pPr>
      <w:r>
        <w:t xml:space="preserve">Hansen, Peter Reinhard. 2005.</w:t>
      </w:r>
      <w:r>
        <w:t xml:space="preserve"> </w:t>
      </w:r>
      <w:r>
        <w:t xml:space="preserve">“A Test for Superior Predictive Ability.”</w:t>
      </w:r>
      <w:r>
        <w:t xml:space="preserve"> </w:t>
      </w:r>
      <w:r>
        <w:rPr>
          <w:i/>
          <w:iCs/>
        </w:rPr>
        <w:t xml:space="preserve">Journal of Business &amp; Economic Statistics</w:t>
      </w:r>
      <w:r>
        <w:t xml:space="preserve"> </w:t>
      </w:r>
      <w:r>
        <w:t xml:space="preserve">23 (4): 365–80.</w:t>
      </w:r>
    </w:p>
    <w:bookmarkEnd w:id="134"/>
    <w:bookmarkStart w:id="135" w:name="ref-hubert1985ari"/>
    <w:p>
      <w:pPr>
        <w:pStyle w:val="Bibliography"/>
      </w:pPr>
      <w:r>
        <w:t xml:space="preserve">Hubert, Lawrence, and Phipps Arabie. 1985.</w:t>
      </w:r>
      <w:r>
        <w:t xml:space="preserve"> </w:t>
      </w:r>
      <w:r>
        <w:t xml:space="preserve">“Comparing Partitions.”</w:t>
      </w:r>
      <w:r>
        <w:t xml:space="preserve"> </w:t>
      </w:r>
      <w:r>
        <w:rPr>
          <w:i/>
          <w:iCs/>
        </w:rPr>
        <w:t xml:space="preserve">Journal of Classification</w:t>
      </w:r>
      <w:r>
        <w:t xml:space="preserve"> </w:t>
      </w:r>
      <w:r>
        <w:t xml:space="preserve">2 (1): 193–218.</w:t>
      </w:r>
    </w:p>
    <w:bookmarkEnd w:id="135"/>
    <w:bookmarkStart w:id="136" w:name="ref-laloux1999"/>
    <w:p>
      <w:pPr>
        <w:pStyle w:val="Bibliography"/>
      </w:pPr>
      <w:r>
        <w:t xml:space="preserve">Laloux, Laurent, Pierre Cizeau, Jean-Philippe Bouchaud, and Marc Potters. 1999.</w:t>
      </w:r>
      <w:r>
        <w:t xml:space="preserve"> </w:t>
      </w:r>
      <w:r>
        <w:t xml:space="preserve">“Noise Dressing of Financial Correlation Matrices.”</w:t>
      </w:r>
      <w:r>
        <w:t xml:space="preserve"> </w:t>
      </w:r>
      <w:r>
        <w:rPr>
          <w:i/>
          <w:iCs/>
        </w:rPr>
        <w:t xml:space="preserve">Physical Review Letters</w:t>
      </w:r>
      <w:r>
        <w:t xml:space="preserve"> </w:t>
      </w:r>
      <w:r>
        <w:t xml:space="preserve">83 (7): 1467–70.</w:t>
      </w:r>
    </w:p>
    <w:bookmarkEnd w:id="136"/>
    <w:bookmarkStart w:id="137" w:name="ref-ledoitwolf2003shrunk"/>
    <w:p>
      <w:pPr>
        <w:pStyle w:val="Bibliography"/>
      </w:pPr>
      <w:r>
        <w:t xml:space="preserve">Ledoit, Olivier, and Michael Wolf. 2003.</w:t>
      </w:r>
      <w:r>
        <w:t xml:space="preserve"> </w:t>
      </w:r>
      <w:r>
        <w:t xml:space="preserve">“Honey, i Shrunk the Sample Covariance Matrix.”</w:t>
      </w:r>
      <w:r>
        <w:t xml:space="preserve"> </w:t>
      </w:r>
      <w:r>
        <w:rPr>
          <w:i/>
          <w:iCs/>
        </w:rPr>
        <w:t xml:space="preserve">Journal of Portfolio Management</w:t>
      </w:r>
      <w:r>
        <w:t xml:space="preserve">.</w:t>
      </w:r>
    </w:p>
    <w:bookmarkEnd w:id="137"/>
    <w:bookmarkStart w:id="138" w:name="ref-ledoitwolf2004wellcond"/>
    <w:p>
      <w:pPr>
        <w:pStyle w:val="Bibliography"/>
      </w:pPr>
      <w:r>
        <w:t xml:space="preserve">Ledoit, Olivier, and Michael Wolf. 2004.</w:t>
      </w:r>
      <w:r>
        <w:t xml:space="preserve"> </w:t>
      </w:r>
      <w:r>
        <w:t xml:space="preserve">“A Well-Conditioned Estimator for Large-Dimensional Covariance Matrices.”</w:t>
      </w:r>
      <w:r>
        <w:t xml:space="preserve"> </w:t>
      </w:r>
      <w:r>
        <w:rPr>
          <w:i/>
          <w:iCs/>
        </w:rPr>
        <w:t xml:space="preserve">Journal of Multivariate Analysis</w:t>
      </w:r>
      <w:r>
        <w:t xml:space="preserve"> </w:t>
      </w:r>
      <w:r>
        <w:t xml:space="preserve">88 (2): 365–411.</w:t>
      </w:r>
    </w:p>
    <w:bookmarkEnd w:id="138"/>
    <w:bookmarkStart w:id="139" w:name="ref-ledoitwolf2008sharpe"/>
    <w:p>
      <w:pPr>
        <w:pStyle w:val="Bibliography"/>
      </w:pPr>
      <w:r>
        <w:t xml:space="preserve">Ledoit, Olivier, and Michael Wolf. 2008.</w:t>
      </w:r>
      <w:r>
        <w:t xml:space="preserve"> </w:t>
      </w:r>
      <w:r>
        <w:t xml:space="preserve">“Robust Performance Hypothesis Testing with the Sharpe Ratio.”</w:t>
      </w:r>
      <w:r>
        <w:t xml:space="preserve"> </w:t>
      </w:r>
      <w:r>
        <w:rPr>
          <w:i/>
          <w:iCs/>
        </w:rPr>
        <w:t xml:space="preserve">Journal of Empirical Finance</w:t>
      </w:r>
      <w:r>
        <w:t xml:space="preserve"> </w:t>
      </w:r>
      <w:r>
        <w:t xml:space="preserve">15 (5): 850–59.</w:t>
      </w:r>
    </w:p>
    <w:bookmarkEnd w:id="139"/>
    <w:bookmarkStart w:id="140" w:name="ref-liu2022cryptofactors"/>
    <w:p>
      <w:pPr>
        <w:pStyle w:val="Bibliography"/>
      </w:pPr>
      <w:r>
        <w:t xml:space="preserve">Liu, Yukun, Aleh Tsyvinski, and Xi Wu. 2022.</w:t>
      </w:r>
      <w:r>
        <w:t xml:space="preserve"> </w:t>
      </w:r>
      <w:r>
        <w:t xml:space="preserve">“Common Risk Factors in Cryptocurrency.”</w:t>
      </w:r>
      <w:r>
        <w:t xml:space="preserve"> </w:t>
      </w:r>
      <w:r>
        <w:rPr>
          <w:i/>
          <w:iCs/>
        </w:rPr>
        <w:t xml:space="preserve">Journal of Finance</w:t>
      </w:r>
      <w:r>
        <w:t xml:space="preserve">.</w:t>
      </w:r>
    </w:p>
    <w:bookmarkEnd w:id="140"/>
    <w:bookmarkStart w:id="141" w:name="ref-lohre2020tailhrp"/>
    <w:p>
      <w:pPr>
        <w:pStyle w:val="Bibliography"/>
      </w:pPr>
      <w:r>
        <w:t xml:space="preserve">Lohre, Harald, Carsten Rother, and Kilian A. Schäfer. 2020.</w:t>
      </w:r>
      <w:r>
        <w:t xml:space="preserve"> </w:t>
      </w:r>
      <w:r>
        <w:t xml:space="preserve">“Hierarchical Risk Parity: Accounting for Tail Dependencies in Multi-Asset Multi-Factor Allocations.”</w:t>
      </w:r>
      <w:r>
        <w:t xml:space="preserve"> </w:t>
      </w:r>
      <w:r>
        <w:rPr>
          <w:i/>
          <w:iCs/>
        </w:rPr>
        <w:t xml:space="preserve">Journal of Asset Management</w:t>
      </w:r>
      <w:r>
        <w:t xml:space="preserve">.</w:t>
      </w:r>
    </w:p>
    <w:bookmarkEnd w:id="141"/>
    <w:bookmarkStart w:id="143" w:name="ref-lopezdeprado2016hrp"/>
    <w:p>
      <w:pPr>
        <w:pStyle w:val="Bibliography"/>
      </w:pPr>
      <w:r>
        <w:t xml:space="preserve">López de Prado, Marcos. 2016.</w:t>
      </w:r>
      <w:r>
        <w:t xml:space="preserve"> </w:t>
      </w:r>
      <w:r>
        <w:t xml:space="preserve">“Building Diversified Portfolios That Outperform Out-of-Sample.”</w:t>
      </w:r>
      <w:r>
        <w:t xml:space="preserve"> </w:t>
      </w:r>
      <w:r>
        <w:rPr>
          <w:i/>
          <w:iCs/>
        </w:rPr>
        <w:t xml:space="preserve">Journal of Portfolio Management</w:t>
      </w:r>
      <w:r>
        <w:t xml:space="preserve"> </w:t>
      </w:r>
      <w:r>
        <w:t xml:space="preserve">42 (4): 59–69.</w:t>
      </w:r>
      <w:r>
        <w:t xml:space="preserve"> </w:t>
      </w:r>
      <w:hyperlink r:id="rId142">
        <w:r>
          <w:rPr>
            <w:rStyle w:val="Hyperlink"/>
          </w:rPr>
          <w:t xml:space="preserve">https://doi.org/10.3905/jpm.2016.42.4.059</w:t>
        </w:r>
      </w:hyperlink>
      <w:r>
        <w:t xml:space="preserve">.</w:t>
      </w:r>
    </w:p>
    <w:bookmarkEnd w:id="143"/>
    <w:bookmarkStart w:id="144" w:name="ref-lopezdeprado2018afml"/>
    <w:p>
      <w:pPr>
        <w:pStyle w:val="Bibliography"/>
      </w:pPr>
      <w:r>
        <w:t xml:space="preserve">López de Prado, Marcos. 2018.</w:t>
      </w:r>
      <w:r>
        <w:t xml:space="preserve"> </w:t>
      </w:r>
      <w:r>
        <w:rPr>
          <w:i/>
          <w:iCs/>
        </w:rPr>
        <w:t xml:space="preserve">Advances in Financial Machine Learning</w:t>
      </w:r>
      <w:r>
        <w:t xml:space="preserve">. John Wiley &amp; Sons.</w:t>
      </w:r>
    </w:p>
    <w:bookmarkEnd w:id="144"/>
    <w:bookmarkStart w:id="146" w:name="ref-lopezdeprado2019nco"/>
    <w:p>
      <w:pPr>
        <w:pStyle w:val="Bibliography"/>
      </w:pPr>
      <w:r>
        <w:t xml:space="preserve">López de Prado, Marcos. 2019.</w:t>
      </w:r>
      <w:r>
        <w:t xml:space="preserve"> </w:t>
      </w:r>
      <w:r>
        <w:t xml:space="preserve">“A Robust Estimator of the Efficient Frontier.”</w:t>
      </w:r>
      <w:r>
        <w:t xml:space="preserve"> </w:t>
      </w:r>
      <w:r>
        <w:rPr>
          <w:i/>
          <w:iCs/>
        </w:rPr>
        <w:t xml:space="preserve">SSRN Electronic Journal</w:t>
      </w:r>
      <w:r>
        <w:t xml:space="preserve">, ahead of print.</w:t>
      </w:r>
      <w:r>
        <w:t xml:space="preserve"> </w:t>
      </w:r>
      <w:hyperlink r:id="rId145">
        <w:r>
          <w:rPr>
            <w:rStyle w:val="Hyperlink"/>
          </w:rPr>
          <w:t xml:space="preserve">https://doi.org/10.2139/ssrn.3469961</w:t>
        </w:r>
      </w:hyperlink>
      <w:r>
        <w:t xml:space="preserve">.</w:t>
      </w:r>
    </w:p>
    <w:bookmarkEnd w:id="146"/>
    <w:bookmarkStart w:id="147" w:name="ref-lopezdeprado2020mlam"/>
    <w:p>
      <w:pPr>
        <w:pStyle w:val="Bibliography"/>
      </w:pPr>
      <w:r>
        <w:t xml:space="preserve">López de Prado, Marcos. 2020.</w:t>
      </w:r>
      <w:r>
        <w:t xml:space="preserve"> </w:t>
      </w:r>
      <w:r>
        <w:rPr>
          <w:i/>
          <w:iCs/>
        </w:rPr>
        <w:t xml:space="preserve">Machine Learning for Asset Managers</w:t>
      </w:r>
      <w:r>
        <w:t xml:space="preserve">. Cambridge University Press.</w:t>
      </w:r>
    </w:p>
    <w:bookmarkEnd w:id="147"/>
    <w:bookmarkStart w:id="148" w:name="ref-lyons1998"/>
    <w:p>
      <w:pPr>
        <w:pStyle w:val="Bibliography"/>
      </w:pPr>
      <w:r>
        <w:t xml:space="preserve">Lyons, Terry J. 1998.</w:t>
      </w:r>
      <w:r>
        <w:t xml:space="preserve"> </w:t>
      </w:r>
      <w:r>
        <w:t xml:space="preserve">“Differential Equations Driven by Rough Signals.”</w:t>
      </w:r>
      <w:r>
        <w:t xml:space="preserve"> </w:t>
      </w:r>
      <w:r>
        <w:rPr>
          <w:i/>
          <w:iCs/>
        </w:rPr>
        <w:t xml:space="preserve">Revista Matemática Iberoamericana</w:t>
      </w:r>
      <w:r>
        <w:t xml:space="preserve"> </w:t>
      </w:r>
      <w:r>
        <w:t xml:space="preserve">14 (2): 215–310.</w:t>
      </w:r>
    </w:p>
    <w:bookmarkEnd w:id="148"/>
    <w:bookmarkStart w:id="149" w:name="ref-maillard2010erc"/>
    <w:p>
      <w:pPr>
        <w:pStyle w:val="Bibliography"/>
      </w:pPr>
      <w:r>
        <w:t xml:space="preserve">Maillard, Sébastien, Thierry Roncalli, and Jérôme Teı̈letche. 2010.</w:t>
      </w:r>
      <w:r>
        <w:t xml:space="preserve"> </w:t>
      </w:r>
      <w:r>
        <w:t xml:space="preserve">“The Properties of Equally-Weighted Risk Contribution Portfolios.”</w:t>
      </w:r>
      <w:r>
        <w:t xml:space="preserve"> </w:t>
      </w:r>
      <w:r>
        <w:rPr>
          <w:i/>
          <w:iCs/>
        </w:rPr>
        <w:t xml:space="preserve">Journal of Portfolio Management</w:t>
      </w:r>
      <w:r>
        <w:t xml:space="preserve"> </w:t>
      </w:r>
      <w:r>
        <w:t xml:space="preserve">36 (4): 60–70.</w:t>
      </w:r>
    </w:p>
    <w:bookmarkEnd w:id="149"/>
    <w:bookmarkStart w:id="150" w:name="ref-mantegna1999mst"/>
    <w:p>
      <w:pPr>
        <w:pStyle w:val="Bibliography"/>
      </w:pPr>
      <w:r>
        <w:t xml:space="preserve">Mantegna, Rosario N. 1999.</w:t>
      </w:r>
      <w:r>
        <w:t xml:space="preserve"> </w:t>
      </w:r>
      <w:r>
        <w:t xml:space="preserve">“Hierarchical Structure in Financial Markets.”</w:t>
      </w:r>
      <w:r>
        <w:t xml:space="preserve"> </w:t>
      </w:r>
      <w:r>
        <w:rPr>
          <w:i/>
          <w:iCs/>
        </w:rPr>
        <w:t xml:space="preserve">European Physical Journal B</w:t>
      </w:r>
      <w:r>
        <w:t xml:space="preserve"> </w:t>
      </w:r>
      <w:r>
        <w:t xml:space="preserve">11 (1): 193–97.</w:t>
      </w:r>
    </w:p>
    <w:bookmarkEnd w:id="150"/>
    <w:bookmarkStart w:id="151" w:name="ref-marchenko1967"/>
    <w:p>
      <w:pPr>
        <w:pStyle w:val="Bibliography"/>
      </w:pPr>
      <w:r>
        <w:t xml:space="preserve">Marchenko, V. A., and L. A. Pastur. 1967.</w:t>
      </w:r>
      <w:r>
        <w:t xml:space="preserve"> </w:t>
      </w:r>
      <w:r>
        <w:t xml:space="preserve">“Distribution of Eigenvalues for Some Sets of Random Matrices.”</w:t>
      </w:r>
      <w:r>
        <w:t xml:space="preserve"> </w:t>
      </w:r>
      <w:r>
        <w:rPr>
          <w:i/>
          <w:iCs/>
        </w:rPr>
        <w:t xml:space="preserve">Mathematics of the USSR-Sbornik</w:t>
      </w:r>
      <w:r>
        <w:t xml:space="preserve"> </w:t>
      </w:r>
      <w:r>
        <w:t xml:space="preserve">1 (4): 457–83.</w:t>
      </w:r>
    </w:p>
    <w:bookmarkEnd w:id="151"/>
    <w:bookmarkStart w:id="152" w:name="ref-matys2025maci"/>
    <w:p>
      <w:pPr>
        <w:pStyle w:val="Bibliography"/>
      </w:pPr>
      <w:r>
        <w:t xml:space="preserve">Matys, Alan, and Federico Martin Rodriguez. 2025.</w:t>
      </w:r>
      <w:r>
        <w:t xml:space="preserve"> </w:t>
      </w:r>
      <w:r>
        <w:t xml:space="preserve">“Hierarchical Risk Parity for Cryptocurrency Portfolios: A Comparative Analysis.”</w:t>
      </w:r>
      <w:r>
        <w:t xml:space="preserve"> </w:t>
      </w:r>
      <w:r>
        <w:rPr>
          <w:i/>
          <w:iCs/>
        </w:rPr>
        <w:t xml:space="preserve">Proceedings of MACI 2025</w:t>
      </w:r>
      <w:r>
        <w:t xml:space="preserve">.</w:t>
      </w:r>
    </w:p>
    <w:bookmarkEnd w:id="152"/>
    <w:bookmarkStart w:id="153" w:name="ref-moskowitz2012tsmom"/>
    <w:p>
      <w:pPr>
        <w:pStyle w:val="Bibliography"/>
      </w:pPr>
      <w:r>
        <w:t xml:space="preserve">Moskowitz, Tobias J., Yao Hua Ooi, and Lasse Heje Pedersen. 2012.</w:t>
      </w:r>
      <w:r>
        <w:t xml:space="preserve"> </w:t>
      </w:r>
      <w:r>
        <w:t xml:space="preserve">“Time Series Momentum.”</w:t>
      </w:r>
      <w:r>
        <w:t xml:space="preserve"> </w:t>
      </w:r>
      <w:r>
        <w:rPr>
          <w:i/>
          <w:iCs/>
        </w:rPr>
        <w:t xml:space="preserve">Journal of Financial Economics</w:t>
      </w:r>
      <w:r>
        <w:t xml:space="preserve"> </w:t>
      </w:r>
      <w:r>
        <w:t xml:space="preserve">104 (2): 228–50.</w:t>
      </w:r>
    </w:p>
    <w:bookmarkEnd w:id="153"/>
    <w:bookmarkStart w:id="154" w:name="ref-politis1994bootstrap"/>
    <w:p>
      <w:pPr>
        <w:pStyle w:val="Bibliography"/>
      </w:pPr>
      <w:r>
        <w:t xml:space="preserve">Politis, Dimitris N., and Joseph P. Romano. 1994.</w:t>
      </w:r>
      <w:r>
        <w:t xml:space="preserve"> </w:t>
      </w:r>
      <w:r>
        <w:t xml:space="preserve">“The Stationary Bootstrap.”</w:t>
      </w:r>
      <w:r>
        <w:t xml:space="preserve"> </w:t>
      </w:r>
      <w:r>
        <w:rPr>
          <w:i/>
          <w:iCs/>
        </w:rPr>
        <w:t xml:space="preserve">Journal of the American Statistical Association</w:t>
      </w:r>
      <w:r>
        <w:t xml:space="preserve"> </w:t>
      </w:r>
      <w:r>
        <w:t xml:space="preserve">89 (428): 1303–13.</w:t>
      </w:r>
    </w:p>
    <w:bookmarkEnd w:id="154"/>
    <w:bookmarkStart w:id="155" w:name="ref-politis2004blocklength"/>
    <w:p>
      <w:pPr>
        <w:pStyle w:val="Bibliography"/>
      </w:pPr>
      <w:r>
        <w:t xml:space="preserve">Politis, Dimitris N., and Halbert White. 2004.</w:t>
      </w:r>
      <w:r>
        <w:t xml:space="preserve"> </w:t>
      </w:r>
      <w:r>
        <w:t xml:space="preserve">“Automatic Block-Length Selection for the Dependent Bootstrap.”</w:t>
      </w:r>
      <w:r>
        <w:t xml:space="preserve"> </w:t>
      </w:r>
      <w:r>
        <w:rPr>
          <w:i/>
          <w:iCs/>
        </w:rPr>
        <w:t xml:space="preserve">Econometric Reviews</w:t>
      </w:r>
      <w:r>
        <w:t xml:space="preserve"> </w:t>
      </w:r>
      <w:r>
        <w:t xml:space="preserve">23 (1): 53–70.</w:t>
      </w:r>
    </w:p>
    <w:bookmarkEnd w:id="155"/>
    <w:bookmarkStart w:id="157" w:name="ref-raffinot2018herc"/>
    <w:p>
      <w:pPr>
        <w:pStyle w:val="Bibliography"/>
      </w:pPr>
      <w:r>
        <w:t xml:space="preserve">Raffinot, Thomas. 2018.</w:t>
      </w:r>
      <w:r>
        <w:t xml:space="preserve"> </w:t>
      </w:r>
      <w:r>
        <w:t xml:space="preserve">“The Hierarchical Equal Risk Contribution Portfolio.”</w:t>
      </w:r>
      <w:r>
        <w:t xml:space="preserve"> </w:t>
      </w:r>
      <w:r>
        <w:rPr>
          <w:i/>
          <w:iCs/>
        </w:rPr>
        <w:t xml:space="preserve">SSRN Electronic Journal</w:t>
      </w:r>
      <w:r>
        <w:t xml:space="preserve">, ahead of print.</w:t>
      </w:r>
      <w:r>
        <w:t xml:space="preserve"> </w:t>
      </w:r>
      <w:hyperlink r:id="rId156">
        <w:r>
          <w:rPr>
            <w:rStyle w:val="Hyperlink"/>
          </w:rPr>
          <w:t xml:space="preserve">https://doi.org/10.2139/ssrn.3237540</w:t>
        </w:r>
      </w:hyperlink>
      <w:r>
        <w:t xml:space="preserve">.</w:t>
      </w:r>
    </w:p>
    <w:bookmarkEnd w:id="157"/>
    <w:bookmarkStart w:id="158" w:name="ref-tumminello2005pmfg"/>
    <w:p>
      <w:pPr>
        <w:pStyle w:val="Bibliography"/>
      </w:pPr>
      <w:r>
        <w:t xml:space="preserve">Tumminello, Michele, Tomaso Aste, Tiziana Di Matteo, and Rosario N. Mantegna. 2005.</w:t>
      </w:r>
      <w:r>
        <w:t xml:space="preserve"> </w:t>
      </w:r>
      <w:r>
        <w:t xml:space="preserve">“A Tool for Filtering Information in Complex Systems.”</w:t>
      </w:r>
      <w:r>
        <w:t xml:space="preserve"> </w:t>
      </w:r>
      <w:r>
        <w:rPr>
          <w:i/>
          <w:iCs/>
        </w:rPr>
        <w:t xml:space="preserve">Proceedings of the National Academy of Sciences</w:t>
      </w:r>
      <w:r>
        <w:t xml:space="preserve"> </w:t>
      </w:r>
      <w:r>
        <w:t xml:space="preserve">102 (30): 10421–26.</w:t>
      </w:r>
    </w:p>
    <w:bookmarkEnd w:id="158"/>
    <w:bookmarkStart w:id="159" w:name="ref-wuebben2026crisp"/>
    <w:p>
      <w:pPr>
        <w:pStyle w:val="Bibliography"/>
      </w:pPr>
      <w:r>
        <w:t xml:space="preserve">Wuebben, Bernd Johannes. 2026.</w:t>
      </w:r>
      <w:r>
        <w:t xml:space="preserve"> </w:t>
      </w:r>
      <w:r>
        <w:t xml:space="preserve">“Beyond de Prado and Cotton: Hierarchical and Iterative Methods for General Mean-Variance Portfolios.”</w:t>
      </w:r>
      <w:r>
        <w:t xml:space="preserve"> </w:t>
      </w:r>
      <w:r>
        <w:rPr>
          <w:i/>
          <w:iCs/>
        </w:rPr>
        <w:t xml:space="preserve">arXiv Preprint arXiv:2604.23833</w:t>
      </w:r>
      <w:r>
        <w:t xml:space="preserve">.</w:t>
      </w:r>
    </w:p>
    <w:bookmarkEnd w:id="159"/>
    <w:bookmarkStart w:id="160" w:name="ref-yue2022"/>
    <w:p>
      <w:pPr>
        <w:pStyle w:val="Bibliography"/>
      </w:pPr>
      <w:r>
        <w:t xml:space="preserve">Yue, Zhihan, Yujing Wang, Juanyong Duan, et al. 2022.</w:t>
      </w:r>
      <w:r>
        <w:t xml:space="preserve"> </w:t>
      </w:r>
      <w:r>
        <w:t xml:space="preserve">“TS2Vec: Towards Universal Representation of Time Series.”</w:t>
      </w:r>
      <w:r>
        <w:t xml:space="preserve"> </w:t>
      </w:r>
      <w:r>
        <w:rPr>
          <w:i/>
          <w:iCs/>
        </w:rPr>
        <w:t xml:space="preserve">AAAI</w:t>
      </w:r>
      <w:r>
        <w:t xml:space="preserve">.</w:t>
      </w:r>
    </w:p>
    <w:bookmarkEnd w:id="160"/>
    <w:bookmarkEnd w:id="161"/>
    <w:bookmarkEnd w:id="1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5" Target="media/rId115.png" /><Relationship Type="http://schemas.openxmlformats.org/officeDocument/2006/relationships/image" Id="rId97" Target="media/rId97.png" /><Relationship Type="http://schemas.openxmlformats.org/officeDocument/2006/relationships/image" Id="rId108" Target="media/rId108.png" /><Relationship Type="http://schemas.openxmlformats.org/officeDocument/2006/relationships/image" Id="rId44" Target="media/rId4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81" Target="media/rId81.png" /><Relationship Type="http://schemas.openxmlformats.org/officeDocument/2006/relationships/image" Id="rId101" Target="media/rId101.png" /><Relationship Type="http://schemas.openxmlformats.org/officeDocument/2006/relationships/image" Id="rId73" Target="media/rId73.png" /><Relationship Type="http://schemas.openxmlformats.org/officeDocument/2006/relationships/hyperlink" Id="rId156" Target="https://doi.org/10.2139/ssrn.3237540" TargetMode="External" /><Relationship Type="http://schemas.openxmlformats.org/officeDocument/2006/relationships/hyperlink" Id="rId145" Target="https://doi.org/10.2139/ssrn.3469961" TargetMode="External" /><Relationship Type="http://schemas.openxmlformats.org/officeDocument/2006/relationships/hyperlink" Id="rId142" Target="https://doi.org/10.3905/jpm.2016.42.4.059" TargetMode="External" /></Relationships>
</file>

<file path=word/_rels/footnotes.xml.rels><?xml version="1.0" encoding="UTF-8"?><Relationships xmlns="http://schemas.openxmlformats.org/package/2006/relationships"><Relationship Type="http://schemas.openxmlformats.org/officeDocument/2006/relationships/hyperlink" Id="rId156" Target="https://doi.org/10.2139/ssrn.3237540" TargetMode="External" /><Relationship Type="http://schemas.openxmlformats.org/officeDocument/2006/relationships/hyperlink" Id="rId145" Target="https://doi.org/10.2139/ssrn.3469961" TargetMode="External" /><Relationship Type="http://schemas.openxmlformats.org/officeDocument/2006/relationships/hyperlink" Id="rId142" Target="https://doi.org/10.3905/jpm.2016.42.4.05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Hierarchical Risk Parity Variants for Cryptocurrency Portfolios: Denoising, Detoning, Tail Dependence, Embeddings, and Statistical Inference, 2020–2026</dc:title>
  <dc:creator>Alan Matys; Federico Martin Rodriguez; Emiliano Delfau</dc:creator>
  <cp:keywords/>
  <dcterms:created xsi:type="dcterms:W3CDTF">2026-07-21T22:39:06Z</dcterms:created>
  <dcterms:modified xsi:type="dcterms:W3CDTF">2026-07-21T22:39:06Z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extend the 2025 conference study on Hierarchical Risk Parity (HRP) by addressing its two stated methodological follow-ups (Marchenko–Pastur denoising and spectral detoning) and by evaluating a broader cross-section of portfolio construction choices on a survivorship-bias-corrected, point-in-time Binance universe (146 ever-included symbols, 2020–2026). The comparison includes 27 constructed strategies spanning HRP-family variants, risk-based allocators, nested-clustering optimisers, momentum rules, and signal-aware extensions.Across 76 monthly rebalances, the HRP-family variants remain tightly clustered in risk-adjusted performance (annualised Sharpe 0.69–0.75), and this result persists under a 547-cell hyperparameter sweep (combined Hansen Superior Predictive Ability (SPA) p_{\text{consistent}}=0.91). Strategies that alter the allocation step produce larger dispersion (notably the Minimum Variance Portfolio (MVP), the Correlation-Regularised Iterative Shrinkage Portfolio (CRISP), the Nested Clustered Optimization with CRISP allocation (NCO–CRISP), and Nested Clustered Optimization (NCO)), with CRISP and NCO–CRISP significant in pairwise Ledoit–Wolf tests versus baseline HRP in both full and post-COVID windows. However, after accounting for multiple comparisons, the headline SPA does not reject (p_{\text{consistent}}=0.51), and the Deflated Sharpe Ratio (DSR) is directionally consistent with that conclusion.Post-COVID results indicate strong regime sensitivity: diversified HRP variants lose 51–64% of capital while Bitcoin (BTC) and BTC-concentrating allocators hold up better. We also revise an earlier interpretation on cluster stability: over the full panel, Pearson-based clustering is more stable than lower-tail dependence at monthly frequency. Overall, the evidence supports a cautious interpretation: within this universe, horizon, and search space, allocation choices are more strongly associated with performance differences than clustering perturbations, but those edges remain statistically fragile under search-adjusted inference.</vt:lpwstr>
  </property>
  <property fmtid="{D5CDD505-2E9C-101B-9397-08002B2CF9AE}" pid="3" name="bibliography">
    <vt:lpwstr>references.bib</vt:lpwstr>
  </property>
  <property fmtid="{D5CDD505-2E9C-101B-9397-08002B2CF9AE}" pid="4" name="date">
    <vt:lpwstr>Universidad del CEMA — May 2026</vt:lpwstr>
  </property>
</Properties>
</file>