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22" w:lineRule="exact" w:before="75"/>
      </w:pPr>
      <w:r>
        <w:rPr/>
        <w:t>LIQUID</w:t>
      </w:r>
      <w:r>
        <w:rPr>
          <w:spacing w:val="-7"/>
        </w:rPr>
        <w:t> </w:t>
      </w:r>
      <w:r>
        <w:rPr>
          <w:spacing w:val="-2"/>
        </w:rPr>
        <w:t>GLUTAMINE</w:t>
      </w:r>
    </w:p>
    <w:p>
      <w:pPr>
        <w:pStyle w:val="Title"/>
      </w:pPr>
      <w:r>
        <w:rPr/>
        <w:t>L-Glutamine</w:t>
      </w:r>
      <w:r>
        <w:rPr>
          <w:spacing w:val="-13"/>
        </w:rPr>
        <w:t> </w:t>
      </w:r>
      <w:r>
        <w:rPr>
          <w:spacing w:val="-2"/>
        </w:rPr>
        <w:t>Supplement</w:t>
      </w:r>
    </w:p>
    <w:p>
      <w:pPr>
        <w:pStyle w:val="BodyText"/>
        <w:spacing w:before="321"/>
        <w:ind w:left="297" w:right="262"/>
      </w:pPr>
      <w:r>
        <w:rPr/>
        <w:t>Each one of these convenient single-serving bottles (3 fl oz or 90 ml) contains Ultimate Nutrition’s exclusive liquid formulation for glutamine and is ideal for pounding</w:t>
      </w:r>
      <w:r>
        <w:rPr>
          <w:spacing w:val="-5"/>
        </w:rPr>
        <w:t> </w:t>
      </w:r>
      <w:r>
        <w:rPr/>
        <w:t>immediately</w:t>
      </w:r>
      <w:r>
        <w:rPr>
          <w:spacing w:val="-5"/>
        </w:rPr>
        <w:t> </w:t>
      </w:r>
      <w:r>
        <w:rPr/>
        <w:t>after</w:t>
      </w:r>
      <w:r>
        <w:rPr>
          <w:spacing w:val="-5"/>
        </w:rPr>
        <w:t> </w:t>
      </w:r>
      <w:r>
        <w:rPr/>
        <w:t>exhaustive</w:t>
      </w:r>
      <w:r>
        <w:rPr>
          <w:spacing w:val="-5"/>
        </w:rPr>
        <w:t> </w:t>
      </w:r>
      <w:r>
        <w:rPr/>
        <w:t>weight</w:t>
      </w:r>
      <w:r>
        <w:rPr>
          <w:spacing w:val="-5"/>
        </w:rPr>
        <w:t> </w:t>
      </w:r>
      <w:r>
        <w:rPr/>
        <w:t>training.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depletion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glutamine during intense exercise is commonly associated with post-workout lactic acid burn and</w:t>
      </w:r>
      <w:r>
        <w:rPr>
          <w:spacing w:val="-2"/>
        </w:rPr>
        <w:t> </w:t>
      </w:r>
      <w:r>
        <w:rPr/>
        <w:t>ensuing</w:t>
      </w:r>
      <w:r>
        <w:rPr>
          <w:spacing w:val="-2"/>
        </w:rPr>
        <w:t> </w:t>
      </w:r>
      <w:r>
        <w:rPr/>
        <w:t>muscle</w:t>
      </w:r>
      <w:r>
        <w:rPr>
          <w:spacing w:val="-2"/>
        </w:rPr>
        <w:t> </w:t>
      </w:r>
      <w:r>
        <w:rPr/>
        <w:t>soreness.</w:t>
      </w:r>
      <w:r>
        <w:rPr>
          <w:spacing w:val="-2"/>
        </w:rPr>
        <w:t> </w:t>
      </w:r>
      <w:r>
        <w:rPr/>
        <w:t>Therefore,</w:t>
      </w:r>
      <w:r>
        <w:rPr>
          <w:spacing w:val="-2"/>
        </w:rPr>
        <w:t> </w:t>
      </w:r>
      <w:r>
        <w:rPr/>
        <w:t>rapidly</w:t>
      </w:r>
      <w:r>
        <w:rPr>
          <w:spacing w:val="-2"/>
        </w:rPr>
        <w:t> </w:t>
      </w:r>
      <w:r>
        <w:rPr/>
        <w:t>supplying</w:t>
      </w:r>
      <w:r>
        <w:rPr>
          <w:spacing w:val="-2"/>
        </w:rPr>
        <w:t> </w:t>
      </w:r>
      <w:r>
        <w:rPr/>
        <w:t>fatigued</w:t>
      </w:r>
      <w:r>
        <w:rPr>
          <w:spacing w:val="-2"/>
        </w:rPr>
        <w:t> </w:t>
      </w:r>
      <w:r>
        <w:rPr/>
        <w:t>muscles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 concentrated form of this amino acid supports glycogen synthesis, positive</w:t>
      </w:r>
      <w:r>
        <w:rPr/>
        <w:t> nitrogen balance, and facilitates recovery in time for the next monster session. At 40 calories and packed with 2,500 mg of premium USP L-glutamine, our liquid formulation has a refreshing fruit-punch taste.</w:t>
      </w:r>
    </w:p>
    <w:p>
      <w:pPr>
        <w:pStyle w:val="BodyText"/>
        <w:rPr>
          <w:sz w:val="20"/>
        </w:rPr>
      </w:pPr>
    </w:p>
    <w:p>
      <w:pPr>
        <w:pStyle w:val="BodyText"/>
        <w:spacing w:before="19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797051</wp:posOffset>
                </wp:positionH>
                <wp:positionV relativeFrom="paragraph">
                  <wp:posOffset>285737</wp:posOffset>
                </wp:positionV>
                <wp:extent cx="6129655" cy="414655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129655" cy="41465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/>
                              <w:ind w:left="105" w:right="218" w:firstLine="0"/>
                              <w:jc w:val="left"/>
                              <w:rPr>
                                <w:b/>
                                <w:i/>
                                <w:sz w:val="28"/>
                              </w:rPr>
                            </w:pPr>
                            <w:r>
                              <w:rPr>
                                <w:b/>
                                <w:i/>
                                <w:sz w:val="28"/>
                              </w:rPr>
                              <w:t>These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8"/>
                              </w:rPr>
                              <w:t>statements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8"/>
                              </w:rPr>
                              <w:t>have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8"/>
                              </w:rPr>
                              <w:t>not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8"/>
                              </w:rPr>
                              <w:t>been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8"/>
                              </w:rPr>
                              <w:t>evaluated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8"/>
                              </w:rPr>
                              <w:t>by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8"/>
                              </w:rPr>
                              <w:t>the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8"/>
                              </w:rPr>
                              <w:t>Food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8"/>
                              </w:rPr>
                              <w:t>Drug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sz w:val="28"/>
                              </w:rPr>
                              <w:t>Administration. This product is not intended to diagnose, treat, cure, or prevent any disease.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2.759998pt;margin-top:22.499023pt;width:482.65pt;height:32.65pt;mso-position-horizontal-relative:page;mso-position-vertical-relative:paragraph;z-index:-15728640;mso-wrap-distance-left:0;mso-wrap-distance-right:0" type="#_x0000_t202" id="docshape1" filled="false" stroked="true" strokeweight=".48pt" strokecolor="#000000">
                <v:textbox inset="0,0,0,0">
                  <w:txbxContent>
                    <w:p>
                      <w:pPr>
                        <w:spacing w:line="240" w:lineRule="auto" w:before="0"/>
                        <w:ind w:left="105" w:right="218" w:firstLine="0"/>
                        <w:jc w:val="left"/>
                        <w:rPr>
                          <w:b/>
                          <w:i/>
                          <w:sz w:val="28"/>
                        </w:rPr>
                      </w:pPr>
                      <w:r>
                        <w:rPr>
                          <w:b/>
                          <w:i/>
                          <w:sz w:val="28"/>
                        </w:rPr>
                        <w:t>These</w:t>
                      </w:r>
                      <w:r>
                        <w:rPr>
                          <w:b/>
                          <w:i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b/>
                          <w:i/>
                          <w:sz w:val="28"/>
                        </w:rPr>
                        <w:t>statements</w:t>
                      </w:r>
                      <w:r>
                        <w:rPr>
                          <w:b/>
                          <w:i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b/>
                          <w:i/>
                          <w:sz w:val="28"/>
                        </w:rPr>
                        <w:t>have</w:t>
                      </w:r>
                      <w:r>
                        <w:rPr>
                          <w:b/>
                          <w:i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b/>
                          <w:i/>
                          <w:sz w:val="28"/>
                        </w:rPr>
                        <w:t>not</w:t>
                      </w:r>
                      <w:r>
                        <w:rPr>
                          <w:b/>
                          <w:i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b/>
                          <w:i/>
                          <w:sz w:val="28"/>
                        </w:rPr>
                        <w:t>been</w:t>
                      </w:r>
                      <w:r>
                        <w:rPr>
                          <w:b/>
                          <w:i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b/>
                          <w:i/>
                          <w:sz w:val="28"/>
                        </w:rPr>
                        <w:t>evaluated</w:t>
                      </w:r>
                      <w:r>
                        <w:rPr>
                          <w:b/>
                          <w:i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b/>
                          <w:i/>
                          <w:sz w:val="28"/>
                        </w:rPr>
                        <w:t>by</w:t>
                      </w:r>
                      <w:r>
                        <w:rPr>
                          <w:b/>
                          <w:i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b/>
                          <w:i/>
                          <w:sz w:val="28"/>
                        </w:rPr>
                        <w:t>the</w:t>
                      </w:r>
                      <w:r>
                        <w:rPr>
                          <w:b/>
                          <w:i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b/>
                          <w:i/>
                          <w:sz w:val="28"/>
                        </w:rPr>
                        <w:t>Food</w:t>
                      </w:r>
                      <w:r>
                        <w:rPr>
                          <w:b/>
                          <w:i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b/>
                          <w:i/>
                          <w:sz w:val="28"/>
                        </w:rPr>
                        <w:t>and</w:t>
                      </w:r>
                      <w:r>
                        <w:rPr>
                          <w:b/>
                          <w:i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b/>
                          <w:i/>
                          <w:sz w:val="28"/>
                        </w:rPr>
                        <w:t>Drug</w:t>
                      </w:r>
                      <w:r>
                        <w:rPr>
                          <w:b/>
                          <w:i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b/>
                          <w:i/>
                          <w:sz w:val="28"/>
                        </w:rPr>
                        <w:t>Administration. This product is not intended to diagnose, treat, cure, or prevent any disease.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sectPr>
      <w:type w:val="continuous"/>
      <w:pgSz w:w="12240" w:h="15840"/>
      <w:pgMar w:top="1360" w:bottom="280" w:left="1140" w:right="12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97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2024-12-31T12:21:04Z</dcterms:created>
  <dcterms:modified xsi:type="dcterms:W3CDTF">2024-12-31T12:21:04Z</dcterms:modified>
</cp:coreProperties>
</file>