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28"/>
        </w:rPr>
        <w:t>Anteproyecto hipotético de investigación</w:t>
      </w:r>
    </w:p>
    <w:p>
      <w:pPr>
        <w:spacing w:after="120"/>
        <w:jc w:val="center"/>
      </w:pPr>
      <w:r>
        <w:rPr>
          <w:rFonts w:ascii="Arial" w:hAnsi="Arial"/>
          <w:b/>
          <w:sz w:val="24"/>
        </w:rPr>
        <w:t>Predicción computacional de resistencia antimicrobiana en Escherichia coli</w:t>
      </w:r>
    </w:p>
    <w:p>
      <w:pPr>
        <w:jc w:val="center"/>
      </w:pPr>
      <w:r>
        <w:rPr>
          <w:rFonts w:ascii="Arial" w:hAnsi="Arial"/>
          <w:sz w:val="18"/>
        </w:rPr>
        <w:t>Nombre: ____________________    Asignatura: ____________________    Fecha: __________</w:t>
      </w:r>
    </w:p>
    <w:p>
      <w:pPr>
        <w:spacing w:before="100" w:after="60"/>
      </w:pPr>
      <w:r>
        <w:rPr>
          <w:rFonts w:ascii="Arial" w:hAnsi="Arial"/>
          <w:b/>
          <w:color w:val="1F4E79"/>
          <w:sz w:val="22"/>
        </w:rPr>
        <w:t>1. Nombre del proyecto</w:t>
      </w:r>
    </w:p>
    <w:p>
      <w:pPr>
        <w:jc w:val="both"/>
      </w:pPr>
      <w:r>
        <w:rPr>
          <w:rFonts w:ascii="Arial" w:hAnsi="Arial"/>
          <w:sz w:val="21"/>
        </w:rPr>
        <w:t xml:space="preserve">Predicción computacional de resistencia a ciprofloxacino y cefotaxima en </w:t>
      </w:r>
      <w:r>
        <w:rPr>
          <w:rFonts w:ascii="Arial" w:hAnsi="Arial"/>
          <w:i/>
          <w:sz w:val="21"/>
        </w:rPr>
        <w:t>Escherichia coli</w:t>
      </w:r>
      <w:r>
        <w:rPr>
          <w:rFonts w:ascii="Arial" w:hAnsi="Arial"/>
          <w:sz w:val="21"/>
        </w:rPr>
        <w:t xml:space="preserve"> a partir de genes de resistencia antimicrobiana.</w:t>
      </w:r>
    </w:p>
    <w:p>
      <w:pPr>
        <w:spacing w:before="100" w:after="60"/>
      </w:pPr>
      <w:r>
        <w:rPr>
          <w:rFonts w:ascii="Arial" w:hAnsi="Arial"/>
          <w:b/>
          <w:color w:val="1F4E79"/>
          <w:sz w:val="22"/>
        </w:rPr>
        <w:t>2. Resumen y objetivos</w:t>
      </w:r>
    </w:p>
    <w:p>
      <w:pPr>
        <w:spacing w:after="80" w:line="252" w:lineRule="auto"/>
        <w:jc w:val="both"/>
      </w:pPr>
      <w:r>
        <w:rPr>
          <w:rFonts w:ascii="Arial" w:hAnsi="Arial"/>
          <w:sz w:val="21"/>
        </w:rPr>
        <w:t>Resumen. Este anteproyecto propone evaluar si la presencia o ausencia de genes de resistencia antimicrobiana permite predecir el fenotipo resistente o susceptible de genomas de Escherichia coli frente a ciprofloxacino y cefotaxima. Se usarían datos públicos de genomas bacterianos, registros de susceptibilidad antimicrobiana obtenidos por laboratorio y anotaciones de genes AMR. El análisis sería completamente computacional y compararía modelos de clasificación supervisada, como regresión logística, random forest y XGBoost.</w:t>
      </w:r>
    </w:p>
    <w:p>
      <w:pPr>
        <w:spacing w:after="80" w:line="252" w:lineRule="auto"/>
        <w:jc w:val="both"/>
      </w:pPr>
      <w:r>
        <w:rPr>
          <w:rFonts w:ascii="Arial" w:hAnsi="Arial"/>
          <w:b/>
          <w:sz w:val="21"/>
        </w:rPr>
        <w:t>Objetivo general.</w:t>
      </w:r>
      <w:r>
        <w:rPr>
          <w:rFonts w:ascii="Arial" w:hAnsi="Arial"/>
          <w:sz w:val="21"/>
        </w:rPr>
        <w:t xml:space="preserve"> Evaluar la capacidad de modelos computacionales supervisados para predecir resistencia o susceptibilidad a ciprofloxacino y cefotaxima en Escherichia coli usando genes AMR como variables predictoras.</w:t>
      </w:r>
    </w:p>
    <w:p>
      <w:pPr>
        <w:spacing w:after="80" w:line="252" w:lineRule="auto"/>
        <w:jc w:val="both"/>
      </w:pPr>
      <w:r>
        <w:rPr>
          <w:rFonts w:ascii="Arial" w:hAnsi="Arial"/>
          <w:b/>
          <w:sz w:val="21"/>
        </w:rPr>
        <w:t>Objetivo particular.</w:t>
      </w:r>
      <w:r>
        <w:rPr>
          <w:rFonts w:ascii="Arial" w:hAnsi="Arial"/>
          <w:sz w:val="21"/>
        </w:rPr>
        <w:t xml:space="preserve"> Comparar el desempeño de tres modelos de clasificación para identificar cuál distingue mejor entre genomas resistentes y susceptibles, dando especial importancia a la reducción de falsos susceptibles.</w:t>
      </w:r>
    </w:p>
    <w:p>
      <w:pPr>
        <w:spacing w:before="100" w:after="60"/>
      </w:pPr>
      <w:r>
        <w:rPr>
          <w:rFonts w:ascii="Arial" w:hAnsi="Arial"/>
          <w:b/>
          <w:color w:val="1F4E79"/>
          <w:sz w:val="22"/>
        </w:rPr>
        <w:t>3. Justificación y antecedentes</w:t>
      </w:r>
    </w:p>
    <w:p>
      <w:pPr>
        <w:spacing w:after="80" w:line="252" w:lineRule="auto"/>
        <w:jc w:val="both"/>
      </w:pPr>
      <w:r>
        <w:rPr>
          <w:rFonts w:ascii="Arial" w:hAnsi="Arial"/>
          <w:sz w:val="21"/>
        </w:rPr>
        <w:t>La resistencia antimicrobiana es un problema de salud pública porque reduce la eficacia de los antibióticos y dificulta el tratamiento de infecciones bacterianas. En 2019, la resistencia bacteriana estuvo asociada con millones de muertes a nivel mundial, por lo que se considera una amenaza importante para la vigilancia epidemiológica y la atención clínica (Antimicrobial Resistance Collaborators, 2022).</w:t>
      </w:r>
    </w:p>
    <w:p>
      <w:pPr>
        <w:spacing w:after="80" w:line="252" w:lineRule="auto"/>
        <w:jc w:val="both"/>
      </w:pPr>
      <w:r>
        <w:rPr>
          <w:rFonts w:ascii="Arial" w:hAnsi="Arial"/>
          <w:sz w:val="21"/>
        </w:rPr>
        <w:t>Escherichia coli es relevante porque puede vivir como parte de la microbiota intestinal, pero también causar infecciones urinarias, gastrointestinales y sistémicas. Además, algunas cepas pueden adquirir genes de resistencia mediante plásmidos, transposones u otros elementos móviles. Esto favorece que ciertos determinantes genéticos se diseminen entre bacterias y compliquen el control de infecciones.</w:t>
      </w:r>
    </w:p>
    <w:p>
      <w:pPr>
        <w:spacing w:after="80" w:line="252" w:lineRule="auto"/>
        <w:jc w:val="both"/>
      </w:pPr>
      <w:r>
        <w:rPr>
          <w:rFonts w:ascii="Arial" w:hAnsi="Arial"/>
          <w:sz w:val="21"/>
        </w:rPr>
        <w:t>Ciprofloxacino y cefotaxima son antibióticos de importancia clínica. El primero pertenece a las fluoroquinolonas y suele relacionarse con cambios en blancos moleculares, bombas de expulsión y otros mecanismos. La cefotaxima es una cefalosporina de tercera generación, y su resistencia puede relacionarse con beta-lactamasas y otros determinantes genéticos.</w:t>
      </w:r>
    </w:p>
    <w:p>
      <w:r>
        <w:br w:type="page"/>
      </w:r>
    </w:p>
    <w:p>
      <w:pPr>
        <w:spacing w:before="100" w:after="60"/>
      </w:pPr>
      <w:r>
        <w:rPr>
          <w:rFonts w:ascii="Arial" w:hAnsi="Arial"/>
          <w:b/>
          <w:color w:val="1F4E79"/>
          <w:sz w:val="22"/>
        </w:rPr>
        <w:t>3. Justificación y antecedentes, continuación</w:t>
      </w:r>
    </w:p>
    <w:p>
      <w:pPr>
        <w:spacing w:after="80" w:line="252" w:lineRule="auto"/>
        <w:jc w:val="both"/>
      </w:pPr>
      <w:r>
        <w:rPr>
          <w:rFonts w:ascii="Arial" w:hAnsi="Arial"/>
          <w:sz w:val="21"/>
        </w:rPr>
        <w:t>Las bases de datos genómicas permiten unir información de secuencias bacterianas con fenotipos de susceptibilidad. BV-BRC integra genomas, metadatos, anotaciones y registros de resistencia antimicrobiana, lo que facilita construir conjuntos de datos para análisis comparativos (Olson et al., 2023). Por otro lado, CARD reúne genes, mutaciones y modelos de detección relacionados con resistencia antimicrobiana, así que funciona como referencia para interpretar determinantes AMR (Alcock et al., 2023).</w:t>
      </w:r>
    </w:p>
    <w:p>
      <w:pPr>
        <w:spacing w:after="80" w:line="252" w:lineRule="auto"/>
        <w:jc w:val="both"/>
      </w:pPr>
      <w:r>
        <w:rPr>
          <w:rFonts w:ascii="Arial" w:hAnsi="Arial"/>
          <w:sz w:val="21"/>
        </w:rPr>
        <w:t>El uso de aprendizaje automático en resistencia antimicrobiana no sustituye a las pruebas fenotípicas, pero puede apoyar la exploración de patrones genómicos. Estudios previos han mostrado que los datos de genomas completos y del pangenoma de E. coli pueden utilizarse para predecir fenotipos de resistencia con modelos computacionales (Her &amp; Wu, 2018). Por eso, este anteproyecto es útil para conectar genómica, bases de datos públicas y análisis predictivo.</w:t>
      </w:r>
    </w:p>
    <w:p>
      <w:pPr>
        <w:spacing w:before="100" w:after="60"/>
      </w:pPr>
      <w:r>
        <w:rPr>
          <w:rFonts w:ascii="Arial" w:hAnsi="Arial"/>
          <w:b/>
          <w:color w:val="1F4E79"/>
          <w:sz w:val="22"/>
        </w:rPr>
        <w:t>4. Planteamiento del problema</w:t>
      </w:r>
    </w:p>
    <w:p>
      <w:pPr>
        <w:spacing w:after="80" w:line="252" w:lineRule="auto"/>
        <w:jc w:val="both"/>
      </w:pPr>
      <w:r>
        <w:rPr>
          <w:rFonts w:ascii="Arial" w:hAnsi="Arial"/>
          <w:sz w:val="21"/>
        </w:rPr>
        <w:t>Aunque las pruebas de laboratorio siguen siendo esenciales para confirmar resistencia antimicrobiana, requieren tiempo, cultivo bacteriano y condiciones controladas. Al mismo tiempo, existen miles de genomas públicos con anotaciones de genes AMR, pero no siempre es claro si esos genes bastan para predecir correctamente si una cepa será resistente o susceptible. Esta duda es importante porque un modelo que clasifique como susceptible a una cepa realmente resistente podría tener baja utilidad para vigilancia.</w:t>
      </w:r>
    </w:p>
    <w:p>
      <w:pPr>
        <w:spacing w:after="80" w:line="252" w:lineRule="auto"/>
        <w:jc w:val="both"/>
      </w:pPr>
      <w:r>
        <w:rPr>
          <w:rFonts w:ascii="Arial" w:hAnsi="Arial"/>
          <w:b/>
          <w:sz w:val="21"/>
        </w:rPr>
        <w:t>Pregunta de investigación.</w:t>
      </w:r>
      <w:r>
        <w:rPr>
          <w:rFonts w:ascii="Arial" w:hAnsi="Arial"/>
          <w:sz w:val="21"/>
        </w:rPr>
        <w:t xml:space="preserve"> ¿La presencia o ausencia de genes de resistencia antimicrobiana permite predecir con desempeño aceptable el fenotipo resistente o susceptible de Escherichia coli frente a ciprofloxacino y cefotaxima?</w:t>
      </w:r>
    </w:p>
    <w:p>
      <w:pPr>
        <w:spacing w:before="100" w:after="60"/>
      </w:pPr>
      <w:r>
        <w:rPr>
          <w:rFonts w:ascii="Arial" w:hAnsi="Arial"/>
          <w:b/>
          <w:color w:val="1F4E79"/>
          <w:sz w:val="22"/>
        </w:rPr>
        <w:t>5. Hipótesis</w:t>
      </w:r>
    </w:p>
    <w:p>
      <w:pPr>
        <w:spacing w:after="80" w:line="252" w:lineRule="auto"/>
        <w:jc w:val="both"/>
      </w:pPr>
      <w:r>
        <w:rPr>
          <w:rFonts w:ascii="Arial" w:hAnsi="Arial"/>
          <w:b/>
          <w:sz w:val="21"/>
        </w:rPr>
        <w:t>Hipótesis.</w:t>
      </w:r>
      <w:r>
        <w:rPr>
          <w:rFonts w:ascii="Arial" w:hAnsi="Arial"/>
          <w:sz w:val="21"/>
        </w:rPr>
        <w:t xml:space="preserve"> Los genomas de Escherichia coli que presentan determinados genes AMR tendrán mayor probabilidad de clasificarse como resistentes a ciprofloxacino o cefotaxima que aquellos sin dichos genes, por lo que los modelos de clasificación supervisada podrán distinguir entre genomas resistentes y susceptibles con un desempeño superior al azar.</w:t>
      </w:r>
    </w:p>
    <w:p>
      <w:pPr>
        <w:spacing w:after="80" w:line="252" w:lineRule="auto"/>
        <w:jc w:val="both"/>
      </w:pPr>
      <w:r>
        <w:rPr>
          <w:rFonts w:ascii="Arial" w:hAnsi="Arial"/>
          <w:sz w:val="21"/>
        </w:rPr>
        <w:t>Esta hipótesis responde a la pregunta porque propone una relación directa entre las variables predictoras, que serían los genes AMR en formato presencia/ausencia, y la variable de respuesta, que sería el fenotipo resistente o susceptible para cada antibiótico. Además, permite evaluar la predicción con métricas cuantitativas como balanced accuracy, F1 para resistentes, matriz de confusión y ROC-AUC.</w:t>
      </w:r>
    </w:p>
    <w:p>
      <w:pPr>
        <w:spacing w:before="100" w:after="60"/>
      </w:pPr>
      <w:r>
        <w:rPr>
          <w:rFonts w:ascii="Arial" w:hAnsi="Arial"/>
          <w:b/>
          <w:color w:val="1F4E79"/>
          <w:sz w:val="22"/>
        </w:rPr>
        <w:t>6. Diseño general del estudio</w:t>
      </w:r>
    </w:p>
    <w:p>
      <w:pPr>
        <w:spacing w:after="80" w:line="252" w:lineRule="auto"/>
        <w:jc w:val="both"/>
      </w:pPr>
      <w:r>
        <w:rPr>
          <w:rFonts w:ascii="Arial" w:hAnsi="Arial"/>
          <w:sz w:val="21"/>
        </w:rPr>
        <w:t>El estudio sería observacional, retrospectivo, transversal y computacional. No se manipularían organismos ni se realizaría un experimento de laboratorio, sino que se analizarían registros ya disponibles en bases de datos públicas. La unidad de análisis sería cada combinación genoma-antibiótico. Se excluirían registros cuya resistencia provenga solo de predicción computacional y se conservarían únicamente fenotipos de laboratorio clasificados como resistente o susceptible.</w:t>
      </w:r>
    </w:p>
    <w:p>
      <w:pPr>
        <w:spacing w:after="80" w:line="252" w:lineRule="auto"/>
        <w:jc w:val="both"/>
      </w:pPr>
      <w:r>
        <w:rPr>
          <w:rFonts w:ascii="Arial" w:hAnsi="Arial"/>
          <w:sz w:val="21"/>
        </w:rPr>
        <w:t>La población de interés serían genomas de Escherichia coli con información genómica y fenotípica de resistencia antimicrobiana. La muestra estaría formada por los genomas que cumplan tres criterios: tener fenotipo AST de laboratorio para ciprofloxacino o cefotaxima, contar con anotación de genes AMR y tener identificador que permita unir ambas tablas.</w:t>
      </w:r>
    </w:p>
    <w:p>
      <w:r>
        <w:br w:type="page"/>
      </w:r>
    </w:p>
    <w:p>
      <w:pPr>
        <w:spacing w:before="100" w:after="60"/>
      </w:pPr>
      <w:r>
        <w:rPr>
          <w:rFonts w:ascii="Arial" w:hAnsi="Arial"/>
          <w:b/>
          <w:color w:val="1F4E79"/>
          <w:sz w:val="22"/>
        </w:rPr>
        <w:t>7. Variables y modelo computacional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D9EAF7"/>
          </w:tcPr>
          <w:p>
            <w:pPr>
              <w:spacing w:after="0"/>
            </w:pPr>
            <w:r/>
            <w:r>
              <w:rPr>
                <w:rFonts w:ascii="Arial" w:hAnsi="Arial"/>
                <w:b/>
                <w:sz w:val="17"/>
              </w:rPr>
              <w:t>Variable</w:t>
            </w:r>
          </w:p>
        </w:tc>
        <w:tc>
          <w:tcPr>
            <w:tcW w:type="dxa" w:w="2550"/>
            <w:shd w:fill="D9EAF7"/>
          </w:tcPr>
          <w:p>
            <w:pPr>
              <w:spacing w:after="0"/>
            </w:pPr>
            <w:r/>
            <w:r>
              <w:rPr>
                <w:rFonts w:ascii="Arial" w:hAnsi="Arial"/>
                <w:b/>
                <w:sz w:val="17"/>
              </w:rPr>
              <w:t>Tipo</w:t>
            </w:r>
          </w:p>
        </w:tc>
        <w:tc>
          <w:tcPr>
            <w:tcW w:type="dxa" w:w="2550"/>
            <w:shd w:fill="D9EAF7"/>
          </w:tcPr>
          <w:p>
            <w:pPr>
              <w:spacing w:after="0"/>
            </w:pPr>
            <w:r/>
            <w:r>
              <w:rPr>
                <w:rFonts w:ascii="Arial" w:hAnsi="Arial"/>
                <w:b/>
                <w:sz w:val="17"/>
              </w:rPr>
              <w:t>Papel en el estudio</w:t>
            </w:r>
          </w:p>
        </w:tc>
        <w:tc>
          <w:tcPr>
            <w:tcW w:type="dxa" w:w="2550"/>
            <w:shd w:fill="D9EAF7"/>
          </w:tcPr>
          <w:p>
            <w:pPr>
              <w:spacing w:after="0"/>
            </w:pPr>
            <w:r/>
            <w:r>
              <w:rPr>
                <w:rFonts w:ascii="Arial" w:hAnsi="Arial"/>
                <w:b/>
                <w:sz w:val="17"/>
              </w:rPr>
              <w:t>Descripción</w:t>
            </w:r>
          </w:p>
        </w:tc>
      </w:tr>
      <w:tr>
        <w:tc>
          <w:tcPr>
            <w:tcW w:type="dxa" w:w="2550"/>
            <w:vAlign w:val="center"/>
          </w:tcPr>
          <w:p>
            <w:pPr>
              <w:spacing w:after="0"/>
            </w:pPr>
            <w:r/>
            <w:r>
              <w:rPr>
                <w:rFonts w:ascii="Arial" w:hAnsi="Arial"/>
                <w:b w:val="0"/>
                <w:sz w:val="16"/>
              </w:rPr>
              <w:t>Fenotipo AMR</w:t>
            </w:r>
          </w:p>
        </w:tc>
        <w:tc>
          <w:tcPr>
            <w:tcW w:type="dxa" w:w="2550"/>
            <w:vAlign w:val="center"/>
          </w:tcPr>
          <w:p>
            <w:pPr>
              <w:spacing w:after="0"/>
            </w:pPr>
            <w:r/>
            <w:r>
              <w:rPr>
                <w:rFonts w:ascii="Arial" w:hAnsi="Arial"/>
                <w:b w:val="0"/>
                <w:sz w:val="16"/>
              </w:rPr>
              <w:t>Cualitativa nominal dicotómica</w:t>
            </w:r>
          </w:p>
        </w:tc>
        <w:tc>
          <w:tcPr>
            <w:tcW w:type="dxa" w:w="2550"/>
            <w:vAlign w:val="center"/>
          </w:tcPr>
          <w:p>
            <w:pPr>
              <w:spacing w:after="0"/>
            </w:pPr>
            <w:r/>
            <w:r>
              <w:rPr>
                <w:rFonts w:ascii="Arial" w:hAnsi="Arial"/>
                <w:b w:val="0"/>
                <w:sz w:val="16"/>
              </w:rPr>
              <w:t>Dependiente</w:t>
            </w:r>
          </w:p>
        </w:tc>
        <w:tc>
          <w:tcPr>
            <w:tcW w:type="dxa" w:w="2550"/>
            <w:vAlign w:val="center"/>
          </w:tcPr>
          <w:p>
            <w:pPr>
              <w:spacing w:after="0"/>
            </w:pPr>
            <w:r/>
            <w:r>
              <w:rPr>
                <w:rFonts w:ascii="Arial" w:hAnsi="Arial"/>
                <w:b w:val="0"/>
                <w:sz w:val="16"/>
              </w:rPr>
              <w:t>Resistente o susceptible para cada antibiótico.</w:t>
            </w:r>
          </w:p>
        </w:tc>
      </w:tr>
      <w:tr>
        <w:tc>
          <w:tcPr>
            <w:tcW w:type="dxa" w:w="2550"/>
            <w:vAlign w:val="center"/>
          </w:tcPr>
          <w:p>
            <w:pPr>
              <w:spacing w:after="0"/>
            </w:pPr>
            <w:r/>
            <w:r>
              <w:rPr>
                <w:rFonts w:ascii="Arial" w:hAnsi="Arial"/>
                <w:b w:val="0"/>
                <w:sz w:val="16"/>
              </w:rPr>
              <w:t>Genes AMR</w:t>
            </w:r>
          </w:p>
        </w:tc>
        <w:tc>
          <w:tcPr>
            <w:tcW w:type="dxa" w:w="2550"/>
            <w:vAlign w:val="center"/>
          </w:tcPr>
          <w:p>
            <w:pPr>
              <w:spacing w:after="0"/>
            </w:pPr>
            <w:r/>
            <w:r>
              <w:rPr>
                <w:rFonts w:ascii="Arial" w:hAnsi="Arial"/>
                <w:b w:val="0"/>
                <w:sz w:val="16"/>
              </w:rPr>
              <w:t>Cualitativa dicotómica</w:t>
            </w:r>
          </w:p>
        </w:tc>
        <w:tc>
          <w:tcPr>
            <w:tcW w:type="dxa" w:w="2550"/>
            <w:vAlign w:val="center"/>
          </w:tcPr>
          <w:p>
            <w:pPr>
              <w:spacing w:after="0"/>
            </w:pPr>
            <w:r/>
            <w:r>
              <w:rPr>
                <w:rFonts w:ascii="Arial" w:hAnsi="Arial"/>
                <w:b w:val="0"/>
                <w:sz w:val="16"/>
              </w:rPr>
              <w:t>Independiente</w:t>
            </w:r>
          </w:p>
        </w:tc>
        <w:tc>
          <w:tcPr>
            <w:tcW w:type="dxa" w:w="2550"/>
            <w:vAlign w:val="center"/>
          </w:tcPr>
          <w:p>
            <w:pPr>
              <w:spacing w:after="0"/>
            </w:pPr>
            <w:r/>
            <w:r>
              <w:rPr>
                <w:rFonts w:ascii="Arial" w:hAnsi="Arial"/>
                <w:b w:val="0"/>
                <w:sz w:val="16"/>
              </w:rPr>
              <w:t>Presencia o ausencia de cada gen de resistencia.</w:t>
            </w:r>
          </w:p>
        </w:tc>
      </w:tr>
      <w:tr>
        <w:tc>
          <w:tcPr>
            <w:tcW w:type="dxa" w:w="2550"/>
            <w:vAlign w:val="center"/>
          </w:tcPr>
          <w:p>
            <w:pPr>
              <w:spacing w:after="0"/>
            </w:pPr>
            <w:r/>
            <w:r>
              <w:rPr>
                <w:rFonts w:ascii="Arial" w:hAnsi="Arial"/>
                <w:b w:val="0"/>
                <w:sz w:val="16"/>
              </w:rPr>
              <w:t>Antibiótico</w:t>
            </w:r>
          </w:p>
        </w:tc>
        <w:tc>
          <w:tcPr>
            <w:tcW w:type="dxa" w:w="2550"/>
            <w:vAlign w:val="center"/>
          </w:tcPr>
          <w:p>
            <w:pPr>
              <w:spacing w:after="0"/>
            </w:pPr>
            <w:r/>
            <w:r>
              <w:rPr>
                <w:rFonts w:ascii="Arial" w:hAnsi="Arial"/>
                <w:b w:val="0"/>
                <w:sz w:val="16"/>
              </w:rPr>
              <w:t>Cualitativa nominal</w:t>
            </w:r>
          </w:p>
        </w:tc>
        <w:tc>
          <w:tcPr>
            <w:tcW w:type="dxa" w:w="2550"/>
            <w:vAlign w:val="center"/>
          </w:tcPr>
          <w:p>
            <w:pPr>
              <w:spacing w:after="0"/>
            </w:pPr>
            <w:r/>
            <w:r>
              <w:rPr>
                <w:rFonts w:ascii="Arial" w:hAnsi="Arial"/>
                <w:b w:val="0"/>
                <w:sz w:val="16"/>
              </w:rPr>
              <w:t>Estratificación</w:t>
            </w:r>
          </w:p>
        </w:tc>
        <w:tc>
          <w:tcPr>
            <w:tcW w:type="dxa" w:w="2550"/>
            <w:vAlign w:val="center"/>
          </w:tcPr>
          <w:p>
            <w:pPr>
              <w:spacing w:after="0"/>
            </w:pPr>
            <w:r/>
            <w:r>
              <w:rPr>
                <w:rFonts w:ascii="Arial" w:hAnsi="Arial"/>
                <w:b w:val="0"/>
                <w:sz w:val="16"/>
              </w:rPr>
              <w:t>Ciprofloxacino o cefotaxima, analizados por separado.</w:t>
            </w:r>
          </w:p>
        </w:tc>
      </w:tr>
      <w:tr>
        <w:tc>
          <w:tcPr>
            <w:tcW w:type="dxa" w:w="2550"/>
            <w:vAlign w:val="center"/>
          </w:tcPr>
          <w:p>
            <w:pPr>
              <w:spacing w:after="0"/>
            </w:pPr>
            <w:r/>
            <w:r>
              <w:rPr>
                <w:rFonts w:ascii="Arial" w:hAnsi="Arial"/>
                <w:b w:val="0"/>
                <w:sz w:val="16"/>
              </w:rPr>
              <w:t>Métricas</w:t>
            </w:r>
          </w:p>
        </w:tc>
        <w:tc>
          <w:tcPr>
            <w:tcW w:type="dxa" w:w="2550"/>
            <w:vAlign w:val="center"/>
          </w:tcPr>
          <w:p>
            <w:pPr>
              <w:spacing w:after="0"/>
            </w:pPr>
            <w:r/>
            <w:r>
              <w:rPr>
                <w:rFonts w:ascii="Arial" w:hAnsi="Arial"/>
                <w:b w:val="0"/>
                <w:sz w:val="16"/>
              </w:rPr>
              <w:t>Cuantitativas continuas</w:t>
            </w:r>
          </w:p>
        </w:tc>
        <w:tc>
          <w:tcPr>
            <w:tcW w:type="dxa" w:w="2550"/>
            <w:vAlign w:val="center"/>
          </w:tcPr>
          <w:p>
            <w:pPr>
              <w:spacing w:after="0"/>
            </w:pPr>
            <w:r/>
            <w:r>
              <w:rPr>
                <w:rFonts w:ascii="Arial" w:hAnsi="Arial"/>
                <w:b w:val="0"/>
                <w:sz w:val="16"/>
              </w:rPr>
              <w:t>Evaluación</w:t>
            </w:r>
          </w:p>
        </w:tc>
        <w:tc>
          <w:tcPr>
            <w:tcW w:type="dxa" w:w="2550"/>
            <w:vAlign w:val="center"/>
          </w:tcPr>
          <w:p>
            <w:pPr>
              <w:spacing w:after="0"/>
            </w:pPr>
            <w:r/>
            <w:r>
              <w:rPr>
                <w:rFonts w:ascii="Arial" w:hAnsi="Arial"/>
                <w:b w:val="0"/>
                <w:sz w:val="16"/>
              </w:rPr>
              <w:t>Balanced accuracy, F1 resistente, ROC-AUC y errores de clasificación.</w:t>
            </w:r>
          </w:p>
        </w:tc>
      </w:tr>
    </w:tbl>
    <w:p>
      <w:pPr>
        <w:spacing w:after="80" w:line="252" w:lineRule="auto"/>
        <w:jc w:val="both"/>
      </w:pPr>
      <w:r>
        <w:rPr>
          <w:rFonts w:ascii="Arial" w:hAnsi="Arial"/>
          <w:sz w:val="21"/>
        </w:rPr>
        <w:t>Las variables no dependerían del tiempo, porque el análisis usaría una fotografía de registros ya publicados. El modelo sería algorítmico, discreto y no determinista en los métodos basados en árboles, como random forest y XGBoost, debido al muestreo interno y a la construcción de ensambles. La regresión logística funcionaría como modelo más interpretable y serviría como comparación frente a modelos no lineales.</w:t>
      </w:r>
    </w:p>
    <w:p>
      <w:pPr>
        <w:spacing w:before="100" w:after="60"/>
      </w:pPr>
      <w:r>
        <w:rPr>
          <w:rFonts w:ascii="Arial" w:hAnsi="Arial"/>
          <w:b/>
          <w:color w:val="1F4E79"/>
          <w:sz w:val="22"/>
        </w:rPr>
        <w:t>8. Cronograma general</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Pr>
          <w:p>
            <w:pPr>
              <w:spacing w:after="0"/>
            </w:pPr>
            <w:r/>
            <w:r>
              <w:rPr>
                <w:rFonts w:ascii="Arial" w:hAnsi="Arial"/>
                <w:b/>
                <w:sz w:val="17"/>
              </w:rPr>
              <w:t>Fase</w:t>
            </w:r>
          </w:p>
        </w:tc>
        <w:tc>
          <w:tcPr>
            <w:tcW w:type="dxa" w:w="3400"/>
            <w:shd w:fill="D9EAF7"/>
          </w:tcPr>
          <w:p>
            <w:pPr>
              <w:spacing w:after="0"/>
            </w:pPr>
            <w:r/>
            <w:r>
              <w:rPr>
                <w:rFonts w:ascii="Arial" w:hAnsi="Arial"/>
                <w:b/>
                <w:sz w:val="17"/>
              </w:rPr>
              <w:t>Actividades generales</w:t>
            </w:r>
          </w:p>
        </w:tc>
        <w:tc>
          <w:tcPr>
            <w:tcW w:type="dxa" w:w="3400"/>
            <w:shd w:fill="D9EAF7"/>
          </w:tcPr>
          <w:p>
            <w:pPr>
              <w:spacing w:after="0"/>
            </w:pPr>
            <w:r/>
            <w:r>
              <w:rPr>
                <w:rFonts w:ascii="Arial" w:hAnsi="Arial"/>
                <w:b/>
                <w:sz w:val="17"/>
              </w:rPr>
              <w:t>Producto esperado</w:t>
            </w:r>
          </w:p>
        </w:tc>
      </w:tr>
      <w:tr>
        <w:tc>
          <w:tcPr>
            <w:tcW w:type="dxa" w:w="3400"/>
          </w:tcPr>
          <w:p>
            <w:pPr>
              <w:spacing w:after="0"/>
            </w:pPr>
            <w:r/>
            <w:r>
              <w:rPr>
                <w:rFonts w:ascii="Arial" w:hAnsi="Arial"/>
                <w:b w:val="0"/>
                <w:sz w:val="16"/>
              </w:rPr>
              <w:t>1</w:t>
            </w:r>
          </w:p>
        </w:tc>
        <w:tc>
          <w:tcPr>
            <w:tcW w:type="dxa" w:w="3400"/>
          </w:tcPr>
          <w:p>
            <w:pPr>
              <w:spacing w:after="0"/>
            </w:pPr>
            <w:r/>
            <w:r>
              <w:rPr>
                <w:rFonts w:ascii="Arial" w:hAnsi="Arial"/>
                <w:b w:val="0"/>
                <w:sz w:val="16"/>
              </w:rPr>
              <w:t>Descarga de datos públicos de BV-BRC y revisión de campos fenotípicos.</w:t>
            </w:r>
          </w:p>
        </w:tc>
        <w:tc>
          <w:tcPr>
            <w:tcW w:type="dxa" w:w="3400"/>
          </w:tcPr>
          <w:p>
            <w:pPr>
              <w:spacing w:after="0"/>
            </w:pPr>
            <w:r/>
            <w:r>
              <w:rPr>
                <w:rFonts w:ascii="Arial" w:hAnsi="Arial"/>
                <w:b w:val="0"/>
                <w:sz w:val="16"/>
              </w:rPr>
              <w:t>Tablas originales.</w:t>
            </w:r>
          </w:p>
        </w:tc>
      </w:tr>
      <w:tr>
        <w:tc>
          <w:tcPr>
            <w:tcW w:type="dxa" w:w="3400"/>
          </w:tcPr>
          <w:p>
            <w:pPr>
              <w:spacing w:after="0"/>
            </w:pPr>
            <w:r/>
            <w:r>
              <w:rPr>
                <w:rFonts w:ascii="Arial" w:hAnsi="Arial"/>
                <w:b w:val="0"/>
                <w:sz w:val="16"/>
              </w:rPr>
              <w:t>2</w:t>
            </w:r>
          </w:p>
        </w:tc>
        <w:tc>
          <w:tcPr>
            <w:tcW w:type="dxa" w:w="3400"/>
          </w:tcPr>
          <w:p>
            <w:pPr>
              <w:spacing w:after="0"/>
            </w:pPr>
            <w:r/>
            <w:r>
              <w:rPr>
                <w:rFonts w:ascii="Arial" w:hAnsi="Arial"/>
                <w:b w:val="0"/>
                <w:sz w:val="16"/>
              </w:rPr>
              <w:t>Filtrado de registros de laboratorio y selección de ciprofloxacino y cefotaxima.</w:t>
            </w:r>
          </w:p>
        </w:tc>
        <w:tc>
          <w:tcPr>
            <w:tcW w:type="dxa" w:w="3400"/>
          </w:tcPr>
          <w:p>
            <w:pPr>
              <w:spacing w:after="0"/>
            </w:pPr>
            <w:r/>
            <w:r>
              <w:rPr>
                <w:rFonts w:ascii="Arial" w:hAnsi="Arial"/>
                <w:b w:val="0"/>
                <w:sz w:val="16"/>
              </w:rPr>
              <w:t>Tabla de fenotipos.</w:t>
            </w:r>
          </w:p>
        </w:tc>
      </w:tr>
      <w:tr>
        <w:tc>
          <w:tcPr>
            <w:tcW w:type="dxa" w:w="3400"/>
          </w:tcPr>
          <w:p>
            <w:pPr>
              <w:spacing w:after="0"/>
            </w:pPr>
            <w:r/>
            <w:r>
              <w:rPr>
                <w:rFonts w:ascii="Arial" w:hAnsi="Arial"/>
                <w:b w:val="0"/>
                <w:sz w:val="16"/>
              </w:rPr>
              <w:t>3</w:t>
            </w:r>
          </w:p>
        </w:tc>
        <w:tc>
          <w:tcPr>
            <w:tcW w:type="dxa" w:w="3400"/>
          </w:tcPr>
          <w:p>
            <w:pPr>
              <w:spacing w:after="0"/>
            </w:pPr>
            <w:r/>
            <w:r>
              <w:rPr>
                <w:rFonts w:ascii="Arial" w:hAnsi="Arial"/>
                <w:b w:val="0"/>
                <w:sz w:val="16"/>
              </w:rPr>
              <w:t>Unión con genes AMR y transformación a matriz presencia-ausencia.</w:t>
            </w:r>
          </w:p>
        </w:tc>
        <w:tc>
          <w:tcPr>
            <w:tcW w:type="dxa" w:w="3400"/>
          </w:tcPr>
          <w:p>
            <w:pPr>
              <w:spacing w:after="0"/>
            </w:pPr>
            <w:r/>
            <w:r>
              <w:rPr>
                <w:rFonts w:ascii="Arial" w:hAnsi="Arial"/>
                <w:b w:val="0"/>
                <w:sz w:val="16"/>
              </w:rPr>
              <w:t>Dataset modelable.</w:t>
            </w:r>
          </w:p>
        </w:tc>
      </w:tr>
      <w:tr>
        <w:tc>
          <w:tcPr>
            <w:tcW w:type="dxa" w:w="3400"/>
          </w:tcPr>
          <w:p>
            <w:pPr>
              <w:spacing w:after="0"/>
            </w:pPr>
            <w:r/>
            <w:r>
              <w:rPr>
                <w:rFonts w:ascii="Arial" w:hAnsi="Arial"/>
                <w:b w:val="0"/>
                <w:sz w:val="16"/>
              </w:rPr>
              <w:t>4</w:t>
            </w:r>
          </w:p>
        </w:tc>
        <w:tc>
          <w:tcPr>
            <w:tcW w:type="dxa" w:w="3400"/>
          </w:tcPr>
          <w:p>
            <w:pPr>
              <w:spacing w:after="0"/>
            </w:pPr>
            <w:r/>
            <w:r>
              <w:rPr>
                <w:rFonts w:ascii="Arial" w:hAnsi="Arial"/>
                <w:b w:val="0"/>
                <w:sz w:val="16"/>
              </w:rPr>
              <w:t>Entrenamiento y comparación de regresión logística, random forest y XGBoost.</w:t>
            </w:r>
          </w:p>
        </w:tc>
        <w:tc>
          <w:tcPr>
            <w:tcW w:type="dxa" w:w="3400"/>
          </w:tcPr>
          <w:p>
            <w:pPr>
              <w:spacing w:after="0"/>
            </w:pPr>
            <w:r/>
            <w:r>
              <w:rPr>
                <w:rFonts w:ascii="Arial" w:hAnsi="Arial"/>
                <w:b w:val="0"/>
                <w:sz w:val="16"/>
              </w:rPr>
              <w:t>Métricas y matrices de confusión.</w:t>
            </w:r>
          </w:p>
        </w:tc>
      </w:tr>
      <w:tr>
        <w:tc>
          <w:tcPr>
            <w:tcW w:type="dxa" w:w="3400"/>
          </w:tcPr>
          <w:p>
            <w:pPr>
              <w:spacing w:after="0"/>
            </w:pPr>
            <w:r/>
            <w:r>
              <w:rPr>
                <w:rFonts w:ascii="Arial" w:hAnsi="Arial"/>
                <w:b w:val="0"/>
                <w:sz w:val="16"/>
              </w:rPr>
              <w:t>5</w:t>
            </w:r>
          </w:p>
        </w:tc>
        <w:tc>
          <w:tcPr>
            <w:tcW w:type="dxa" w:w="3400"/>
          </w:tcPr>
          <w:p>
            <w:pPr>
              <w:spacing w:after="0"/>
            </w:pPr>
            <w:r/>
            <w:r>
              <w:rPr>
                <w:rFonts w:ascii="Arial" w:hAnsi="Arial"/>
                <w:b w:val="0"/>
                <w:sz w:val="16"/>
              </w:rPr>
              <w:t>Interpretación de resultados, genes relevantes y redacción final.</w:t>
            </w:r>
          </w:p>
        </w:tc>
        <w:tc>
          <w:tcPr>
            <w:tcW w:type="dxa" w:w="3400"/>
          </w:tcPr>
          <w:p>
            <w:pPr>
              <w:spacing w:after="0"/>
            </w:pPr>
            <w:r/>
            <w:r>
              <w:rPr>
                <w:rFonts w:ascii="Arial" w:hAnsi="Arial"/>
                <w:b w:val="0"/>
                <w:sz w:val="16"/>
              </w:rPr>
              <w:t>Reporte del anteproyecto.</w:t>
            </w:r>
          </w:p>
        </w:tc>
      </w:tr>
    </w:tbl>
    <w:p>
      <w:pPr>
        <w:spacing w:before="100" w:after="60"/>
      </w:pPr>
      <w:r>
        <w:rPr>
          <w:rFonts w:ascii="Arial" w:hAnsi="Arial"/>
          <w:b/>
          <w:color w:val="1F4E79"/>
          <w:sz w:val="22"/>
        </w:rPr>
        <w:t>9. Referencias</w:t>
      </w:r>
    </w:p>
    <w:p>
      <w:pPr>
        <w:spacing w:after="40" w:line="240" w:lineRule="auto"/>
        <w:ind w:left="283" w:hanging="283"/>
      </w:pPr>
      <w:r>
        <w:rPr>
          <w:rFonts w:ascii="Arial" w:hAnsi="Arial"/>
          <w:sz w:val="17"/>
        </w:rPr>
        <w:t>Alcock, B. P., Huynh, W., Chalil, R., Smith, K. W., Raphenya, A. R., Wlodarski, M. A., ... McArthur, A. G. (2023). CARD 2023: Expanded curation, support for machine learning, and resistome prediction at the Comprehensive Antibiotic Resistance Database. Nucleic Acids Research, 51(D1), D690-D699. https://doi.org/10.1093/nar/gkac920</w:t>
      </w:r>
    </w:p>
    <w:p>
      <w:pPr>
        <w:spacing w:after="40" w:line="240" w:lineRule="auto"/>
        <w:ind w:left="283" w:hanging="283"/>
      </w:pPr>
      <w:r>
        <w:rPr>
          <w:rFonts w:ascii="Arial" w:hAnsi="Arial"/>
          <w:sz w:val="17"/>
        </w:rPr>
        <w:t>Antimicrobial Resistance Collaborators. (2022). Global burden of bacterial antimicrobial resistance in 2019: A systematic analysis. The Lancet, 399(10325), 629-655. https://doi.org/10.1016/S0140-6736(21)02724-0</w:t>
      </w:r>
    </w:p>
    <w:p>
      <w:pPr>
        <w:spacing w:after="40" w:line="240" w:lineRule="auto"/>
        <w:ind w:left="283" w:hanging="283"/>
      </w:pPr>
      <w:r>
        <w:rPr>
          <w:rFonts w:ascii="Arial" w:hAnsi="Arial"/>
          <w:sz w:val="17"/>
        </w:rPr>
        <w:t>Her, H.-L., &amp; Wu, Y.-W. (2018). A pan-genome-based machine learning approach for predicting antimicrobial resistance activities of the Escherichia coli strains. Bioinformatics, 34(13), i89-i95. https://doi.org/10.1093/bioinformatics/bty276</w:t>
      </w:r>
    </w:p>
    <w:p>
      <w:pPr>
        <w:spacing w:after="40" w:line="240" w:lineRule="auto"/>
        <w:ind w:left="283" w:hanging="283"/>
      </w:pPr>
      <w:r>
        <w:rPr>
          <w:rFonts w:ascii="Arial" w:hAnsi="Arial"/>
          <w:sz w:val="17"/>
        </w:rPr>
        <w:t>Olson, R. D., Assaf, R., Brettin, T., Conrad, N., Cucinell, C., Davis, J. J., ... Stevens, R. L. (2023). Introducing the Bacterial and Viral Bioinformatics Resource Center (BV-BRC): A resource combining PATRIC, IRD and ViPR. Nucleic Acids Research, 51(D1), D678-D689. https://doi.org/10.1093/nar/gkac1003</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