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X80096edf26267abe6d21e70fd3653666451f6c6"/>
    <w:p>
      <w:pPr>
        <w:pStyle w:val="Heading1"/>
      </w:pPr>
      <w:r>
        <w:t xml:space="preserve">Conception d’une base de données locale — SWIFT Extractor BEAC</w:t>
      </w:r>
    </w:p>
    <w:p>
      <w:pPr>
        <w:pStyle w:val="BlockText"/>
      </w:pPr>
      <w:r>
        <w:rPr>
          <w:b/>
          <w:bCs/>
        </w:rPr>
        <w:t xml:space="preserve">Statut</w:t>
      </w:r>
      <w:r>
        <w:t xml:space="preserve"> </w:t>
      </w:r>
      <w:r>
        <w:t xml:space="preserve">: conception. La base n’est PAS encore créée. Ce document</w:t>
      </w:r>
      <w:r>
        <w:t xml:space="preserve"> </w:t>
      </w:r>
      <w:r>
        <w:t xml:space="preserve">propose une architecture, un schéma et des exemples d’usage à valider</w:t>
      </w:r>
      <w:r>
        <w:t xml:space="preserve"> </w:t>
      </w:r>
      <w:r>
        <w:t xml:space="preserve">avec le pôle métier avant implémentation.</w:t>
      </w:r>
    </w:p>
    <w:p>
      <w:pPr>
        <w:pStyle w:val="BlockText"/>
      </w:pPr>
      <w:r>
        <w:rPr>
          <w:b/>
          <w:bCs/>
        </w:rPr>
        <w:t xml:space="preserve">Date</w:t>
      </w:r>
      <w:r>
        <w:t xml:space="preserve"> </w:t>
      </w:r>
      <w:r>
        <w:t xml:space="preserve">: 28 avril 2026</w:t>
      </w:r>
      <w:r>
        <w:t xml:space="preserve"> </w:t>
      </w:r>
      <w:r>
        <w:rPr>
          <w:b/>
          <w:bCs/>
        </w:rPr>
        <w:t xml:space="preserve">Cible</w:t>
      </w:r>
      <w:r>
        <w:t xml:space="preserve"> </w:t>
      </w:r>
      <w:r>
        <w:t xml:space="preserve">: Banque Centrale des États de l’Afrique Centrale (BEAC) —</w:t>
      </w:r>
      <w:r>
        <w:t xml:space="preserve"> </w:t>
      </w:r>
      <w:r>
        <w:t xml:space="preserve">6 États membres (Cameroun, Congo, Gabon, Guinée Équatoriale,</w:t>
      </w:r>
      <w:r>
        <w:t xml:space="preserve"> </w:t>
      </w:r>
      <w:r>
        <w:t xml:space="preserve">Centrafrique, Tchad)</w:t>
      </w:r>
    </w:p>
    <w:p>
      <w:r>
        <w:pict>
          <v:rect style="width:0;height:1.5pt" o:hralign="center" o:hrstd="t" o:hr="t"/>
        </w:pict>
      </w:r>
    </w:p>
    <w:bookmarkStart w:id="22" w:name="objectifs"/>
    <w:p>
      <w:pPr>
        <w:pStyle w:val="Heading2"/>
      </w:pPr>
      <w:r>
        <w:t xml:space="preserve">1. Objectifs</w:t>
      </w:r>
    </w:p>
    <w:p>
      <w:pPr>
        <w:pStyle w:val="FirstParagraph"/>
      </w:pPr>
      <w:r>
        <w:t xml:space="preserve">Permettre la manipulation, la consultation historique et l’analyse des</w:t>
      </w:r>
      <w:r>
        <w:t xml:space="preserve"> </w:t>
      </w:r>
      <w:r>
        <w:t xml:space="preserve">extractions produites par l’application SWIFT Extractor (PDF, RJE</w:t>
      </w:r>
      <w:r>
        <w:t xml:space="preserve"> </w:t>
      </w:r>
      <w:r>
        <w:t xml:space="preserve">EastNet, relevés Excel) dans une</w:t>
      </w:r>
      <w:r>
        <w:t xml:space="preserve"> </w:t>
      </w:r>
      <w:r>
        <w:rPr>
          <w:b/>
          <w:bCs/>
        </w:rPr>
        <w:t xml:space="preserve">base de données locale unique</w:t>
      </w:r>
      <w:r>
        <w:t xml:space="preserve">,</w:t>
      </w:r>
      <w:r>
        <w:t xml:space="preserve"> </w:t>
      </w:r>
      <w:r>
        <w:t xml:space="preserve">mono-utilisateur ou multi-utilisateurs lecture seule, sans dépendance à</w:t>
      </w:r>
      <w:r>
        <w:t xml:space="preserve"> </w:t>
      </w:r>
      <w:r>
        <w:t xml:space="preserve">un serveur de base.</w:t>
      </w:r>
    </w:p>
    <w:bookmarkStart w:id="20" w:name="cas-dusage-cibles"/>
    <w:p>
      <w:pPr>
        <w:pStyle w:val="Heading3"/>
      </w:pPr>
      <w:r>
        <w:t xml:space="preserve">1.1 Cas d’usage cibles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Historisation</w:t>
      </w:r>
      <w:r>
        <w:t xml:space="preserve"> </w:t>
      </w:r>
      <w:r>
        <w:t xml:space="preserve">: conserver tous les exports Excel d’extraction</w:t>
      </w:r>
      <w:r>
        <w:t xml:space="preserve"> </w:t>
      </w:r>
      <w:r>
        <w:t xml:space="preserve">d’une journée/mois/année dans une seule source de vérité requêtable.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Analyse transversale</w:t>
      </w:r>
      <w:r>
        <w:t xml:space="preserve"> </w:t>
      </w:r>
      <w:r>
        <w:t xml:space="preserve">: volumes par pays/correspondant/devise sur</w:t>
      </w:r>
      <w:r>
        <w:t xml:space="preserve"> </w:t>
      </w:r>
      <w:r>
        <w:t xml:space="preserve">plusieurs périodes, sans rouvrir 30 fichiers Excel.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Détection d’anomalies</w:t>
      </w:r>
      <w:r>
        <w:t xml:space="preserve"> </w:t>
      </w:r>
      <w:r>
        <w:t xml:space="preserve">: montants atypiques, doublons potentiels,</w:t>
      </w:r>
      <w:r>
        <w:t xml:space="preserve"> </w:t>
      </w:r>
      <w:r>
        <w:t xml:space="preserve">références orphelines (MT202 sans MT950 correspondant).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Rapprochement multi-jours</w:t>
      </w:r>
      <w:r>
        <w:t xml:space="preserve"> </w:t>
      </w:r>
      <w:r>
        <w:t xml:space="preserve">: étendre le mode 4 (rapprochement</w:t>
      </w:r>
      <w:r>
        <w:t xml:space="preserve"> </w:t>
      </w:r>
      <w:r>
        <w:t xml:space="preserve">MT950 actuellement intra-fichier) à un horizon glissant.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&amp; traçabilité</w:t>
      </w:r>
      <w:r>
        <w:t xml:space="preserve"> </w:t>
      </w:r>
      <w:r>
        <w:t xml:space="preserve">: pour chaque ligne, savoir d’où elle vient</w:t>
      </w:r>
      <w:r>
        <w:t xml:space="preserve"> </w:t>
      </w:r>
      <w:r>
        <w:t xml:space="preserve">(fichier source, hash, date de l’extraction, version du code).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Reporting BEAC 6 États</w:t>
      </w:r>
      <w:r>
        <w:t xml:space="preserve"> </w:t>
      </w:r>
      <w:r>
        <w:t xml:space="preserve">: agrégats par pays CEMAC (CAM, CGO, GAB,</w:t>
      </w:r>
      <w:r>
        <w:t xml:space="preserve"> </w:t>
      </w:r>
      <w:r>
        <w:t xml:space="preserve">GEQ, RCA, TCH) sur n’importe quel intervalle.</w:t>
      </w:r>
    </w:p>
    <w:bookmarkEnd w:id="20"/>
    <w:bookmarkStart w:id="21" w:name="hors-scope-à-ne-pas-faire"/>
    <w:p>
      <w:pPr>
        <w:pStyle w:val="Heading3"/>
      </w:pPr>
      <w:r>
        <w:t xml:space="preserve">1.2 Hors-scope (à ne PAS faire)</w:t>
      </w:r>
    </w:p>
    <w:p>
      <w:pPr>
        <w:pStyle w:val="Compact"/>
        <w:numPr>
          <w:ilvl w:val="0"/>
          <w:numId w:val="1002"/>
        </w:numPr>
      </w:pPr>
      <w:r>
        <w:t xml:space="preserve">Pas de remplacement du moteur d’extraction. La BDD est une couche de</w:t>
      </w:r>
      <w:r>
        <w:t xml:space="preserve"> </w:t>
      </w:r>
      <w:r>
        <w:rPr>
          <w:b/>
          <w:bCs/>
        </w:rPr>
        <w:t xml:space="preserve">persistance</w:t>
      </w:r>
      <w:r>
        <w:t xml:space="preserve"> </w:t>
      </w:r>
      <w:r>
        <w:t xml:space="preserve">en aval, pas un moteur d’ETL.</w:t>
      </w:r>
    </w:p>
    <w:p>
      <w:pPr>
        <w:pStyle w:val="Compact"/>
        <w:numPr>
          <w:ilvl w:val="0"/>
          <w:numId w:val="1002"/>
        </w:numPr>
      </w:pPr>
      <w:r>
        <w:t xml:space="preserve">Pas de saisie manuelle de transactions. Les seules entrées sont les</w:t>
      </w:r>
      <w:r>
        <w:t xml:space="preserve"> </w:t>
      </w:r>
      <w:r>
        <w:t xml:space="preserve">exports de l’application.</w:t>
      </w:r>
    </w:p>
    <w:p>
      <w:pPr>
        <w:pStyle w:val="Compact"/>
        <w:numPr>
          <w:ilvl w:val="0"/>
          <w:numId w:val="1002"/>
        </w:numPr>
      </w:pPr>
      <w:r>
        <w:t xml:space="preserve">Pas de multi-tenant. Une seule banque centrale = une base.</w:t>
      </w:r>
    </w:p>
    <w:p>
      <w:pPr>
        <w:pStyle w:val="Compact"/>
        <w:numPr>
          <w:ilvl w:val="0"/>
          <w:numId w:val="1002"/>
        </w:numPr>
      </w:pPr>
      <w:r>
        <w:t xml:space="preserve">Pas d’API REST publique pour démarrer (l’accès se fait via SQL</w:t>
      </w:r>
      <w:r>
        <w:t xml:space="preserve"> </w:t>
      </w:r>
      <w:r>
        <w:t xml:space="preserve">direct, ou via un onglet « Requêtes » futur dans Streamlit).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hoix-technologique"/>
    <w:p>
      <w:pPr>
        <w:pStyle w:val="Heading2"/>
      </w:pPr>
      <w:r>
        <w:t xml:space="preserve">2. Choix technologique</w:t>
      </w:r>
    </w:p>
    <w:bookmarkStart w:id="23" w:name="comparaison-des-candidats"/>
    <w:p>
      <w:pPr>
        <w:pStyle w:val="Heading3"/>
      </w:pPr>
      <w:r>
        <w:t xml:space="preserve">2.1 Comparaison des candidats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Moteur</w:t>
            </w:r>
          </w:p>
        </w:tc>
        <w:tc>
          <w:tcPr/>
          <w:p>
            <w:pPr>
              <w:pStyle w:val="Compact"/>
            </w:pPr>
            <w:r>
              <w:t xml:space="preserve">Avantages</w:t>
            </w:r>
          </w:p>
        </w:tc>
        <w:tc>
          <w:tcPr/>
          <w:p>
            <w:pPr>
              <w:pStyle w:val="Compact"/>
            </w:pPr>
            <w:r>
              <w:t xml:space="preserve">Inconvénients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Embarqué, zéro install, fichier unique</w:t>
            </w:r>
            <w:r>
              <w:t xml:space="preserve"> </w:t>
            </w:r>
            <w:r>
              <w:rPr>
                <w:rStyle w:val="VerbatimChar"/>
              </w:rPr>
              <w:t xml:space="preserve">.db</w:t>
            </w:r>
            <w:r>
              <w:t xml:space="preserve">, lectures concurrentes, supporté par Python natif (</w:t>
            </w:r>
            <w:r>
              <w:rPr>
                <w:rStyle w:val="VerbatimChar"/>
              </w:rPr>
              <w:t xml:space="preserve">sqlite3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Écritures concurrentes limitées, types laxistes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Recommandé 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DuckDB</w:t>
            </w:r>
          </w:p>
        </w:tc>
        <w:tc>
          <w:tcPr/>
          <w:p>
            <w:pPr>
              <w:pStyle w:val="Compact"/>
            </w:pPr>
            <w:r>
              <w:t xml:space="preserve">Analytique colonnaire ultra-rapide, lit Parquet/CSV directement, syntaxe Postgres-like</w:t>
            </w:r>
          </w:p>
        </w:tc>
        <w:tc>
          <w:tcPr/>
          <w:p>
            <w:pPr>
              <w:pStyle w:val="Compact"/>
            </w:pPr>
            <w:r>
              <w:t xml:space="preserve">Ecosystème plus jeune, moins d’outils GUI</w:t>
            </w:r>
          </w:p>
        </w:tc>
        <w:tc>
          <w:tcPr/>
          <w:p>
            <w:pPr>
              <w:pStyle w:val="Compact"/>
            </w:pPr>
            <w:r>
              <w:t xml:space="preserve">🔵 Recommandé phase 2 (analytique)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PostgreSQL local</w:t>
            </w:r>
          </w:p>
        </w:tc>
        <w:tc>
          <w:tcPr/>
          <w:p>
            <w:pPr>
              <w:pStyle w:val="Compact"/>
            </w:pPr>
            <w:r>
              <w:t xml:space="preserve">Robustesse industrielle, multi-utilisateurs vrais</w:t>
            </w:r>
          </w:p>
        </w:tc>
        <w:tc>
          <w:tcPr/>
          <w:p>
            <w:pPr>
              <w:pStyle w:val="Compact"/>
            </w:pPr>
            <w:r>
              <w:t xml:space="preserve">Service à installer/maintenir, surdimensionné pour 1 poste</w:t>
            </w:r>
          </w:p>
        </w:tc>
        <w:tc>
          <w:tcPr/>
          <w:p>
            <w:pPr>
              <w:pStyle w:val="Compact"/>
            </w:pPr>
            <w:r>
              <w:t xml:space="preserve">⚠️ Si déploiement serveur ultérieur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MS Access</w:t>
            </w:r>
          </w:p>
        </w:tc>
        <w:tc>
          <w:tcPr/>
          <w:p>
            <w:pPr>
              <w:pStyle w:val="Compact"/>
            </w:pPr>
            <w:r>
              <w:t xml:space="preserve">Familier en banque, GUI intégrée</w:t>
            </w:r>
          </w:p>
        </w:tc>
        <w:tc>
          <w:tcPr/>
          <w:p>
            <w:pPr>
              <w:pStyle w:val="Compact"/>
            </w:pPr>
            <w:r>
              <w:t xml:space="preserve">Propriétaire, taille limitée, peu portable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Recommandation</w:t>
      </w:r>
      <w:r>
        <w:t xml:space="preserve"> </w:t>
      </w:r>
      <w:r>
        <w:t xml:space="preserve">: démarrer en</w:t>
      </w:r>
      <w:r>
        <w:t xml:space="preserve"> </w:t>
      </w:r>
      <w:r>
        <w:rPr>
          <w:b/>
          <w:bCs/>
        </w:rPr>
        <w:t xml:space="preserve">SQLite</w:t>
      </w:r>
      <w:r>
        <w:t xml:space="preserve"> </w:t>
      </w:r>
      <w:r>
        <w:t xml:space="preserve">(fichier</w:t>
      </w:r>
      <w:r>
        <w:t xml:space="preserve"> </w:t>
      </w:r>
      <w:r>
        <w:rPr>
          <w:rStyle w:val="VerbatimChar"/>
        </w:rPr>
        <w:t xml:space="preserve">beac_swift_history.db</w:t>
      </w:r>
      <w:r>
        <w:t xml:space="preserve">), avec option future d’attacher DuckDB en</w:t>
      </w:r>
      <w:r>
        <w:t xml:space="preserve"> </w:t>
      </w:r>
      <w:r>
        <w:t xml:space="preserve">lecture seule pour les agrégations lourdes.</w:t>
      </w:r>
    </w:p>
    <w:bookmarkEnd w:id="23"/>
    <w:bookmarkStart w:id="24" w:name="avantages-sqlite-pour-ce-cas"/>
    <w:p>
      <w:pPr>
        <w:pStyle w:val="Heading3"/>
      </w:pPr>
      <w:r>
        <w:t xml:space="preserve">2.2 Avantages SQLite pour ce cas</w:t>
      </w:r>
    </w:p>
    <w:p>
      <w:pPr>
        <w:pStyle w:val="Compact"/>
        <w:numPr>
          <w:ilvl w:val="0"/>
          <w:numId w:val="1003"/>
        </w:numPr>
      </w:pPr>
      <w:r>
        <w:t xml:space="preserve">Une copie du fichier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= une sauvegarde complète.</w:t>
      </w:r>
    </w:p>
    <w:p>
      <w:pPr>
        <w:pStyle w:val="Compact"/>
        <w:numPr>
          <w:ilvl w:val="0"/>
          <w:numId w:val="1003"/>
        </w:numPr>
      </w:pPr>
      <w:r>
        <w:t xml:space="preserve">Lecture concurrente sûre depuis Streamlit + DBeaver simultanément.</w:t>
      </w:r>
    </w:p>
    <w:p>
      <w:pPr>
        <w:pStyle w:val="Compact"/>
        <w:numPr>
          <w:ilvl w:val="0"/>
          <w:numId w:val="1003"/>
        </w:numPr>
      </w:pPr>
      <w:r>
        <w:t xml:space="preserve">Supporte des bases de plusieurs Go sans dégradation perceptible pour</w:t>
      </w:r>
      <w:r>
        <w:t xml:space="preserve"> </w:t>
      </w:r>
      <w:r>
        <w:t xml:space="preserve">des requêtes typiques (millions de lignes restent rapides avec</w:t>
      </w:r>
      <w:r>
        <w:t xml:space="preserve"> </w:t>
      </w:r>
      <w:r>
        <w:t xml:space="preserve">index).</w:t>
      </w:r>
    </w:p>
    <w:p>
      <w:pPr>
        <w:pStyle w:val="Compact"/>
        <w:numPr>
          <w:ilvl w:val="0"/>
          <w:numId w:val="1003"/>
        </w:numPr>
      </w:pPr>
      <w:r>
        <w:t xml:space="preserve">Migration vers PostgreSQL triviale si le besoin grandit (script</w:t>
      </w:r>
      <w:r>
        <w:t xml:space="preserve"> </w:t>
      </w:r>
      <w:r>
        <w:rPr>
          <w:rStyle w:val="VerbatimChar"/>
        </w:rPr>
        <w:t xml:space="preserve">pgloader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modèle-conceptuel"/>
    <w:p>
      <w:pPr>
        <w:pStyle w:val="Heading2"/>
      </w:pPr>
      <w:r>
        <w:t xml:space="preserve">3. Modèle conceptuel</w:t>
      </w:r>
    </w:p>
    <w:bookmarkStart w:id="26" w:name="vue-densemble-diagramme"/>
    <w:p>
      <w:pPr>
        <w:pStyle w:val="Heading3"/>
      </w:pPr>
      <w:r>
        <w:t xml:space="preserve">3.1 Vue d’ensemble (diagramme)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┌──────────────────┐       ┌─────────────────────┐</w:t>
      </w:r>
      <w:r>
        <w:br/>
      </w:r>
      <w:r>
        <w:rPr>
          <w:rStyle w:val="VerbatimChar"/>
        </w:rPr>
        <w:t xml:space="preserve">│  extraction_run  │ 1 ──N │  message            │</w:t>
      </w:r>
      <w:r>
        <w:br/>
      </w:r>
      <w:r>
        <w:rPr>
          <w:rStyle w:val="VerbatimChar"/>
        </w:rPr>
        <w:t xml:space="preserve">│  (audit/import)  │       │  (1 ligne MT)       │</w:t>
      </w:r>
      <w:r>
        <w:br/>
      </w:r>
      <w:r>
        <w:rPr>
          <w:rStyle w:val="VerbatimChar"/>
        </w:rPr>
        <w:t xml:space="preserve">└──────────────────┘  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┌───────┼───────────┬──────────────┐</w:t>
      </w:r>
      <w:r>
        <w:br/>
      </w:r>
      <w:r>
        <w:rPr>
          <w:rStyle w:val="VerbatimChar"/>
        </w:rPr>
        <w:t xml:space="preserve">                          ▼       ▼           ▼              ▼</w:t>
      </w:r>
      <w:r>
        <w:br/>
      </w:r>
      <w:r>
        <w:rPr>
          <w:rStyle w:val="VerbatimChar"/>
        </w:rPr>
        <w:t xml:space="preserve">                    ┌──────────┐ ┌──────┐ ┌──────────┐ ┌────────────┐</w:t>
      </w:r>
      <w:r>
        <w:br/>
      </w:r>
      <w:r>
        <w:rPr>
          <w:rStyle w:val="VerbatimChar"/>
        </w:rPr>
        <w:t xml:space="preserve">                    │exception │ │mt950 │ │commen-   │ │match_      │</w:t>
      </w:r>
      <w:r>
        <w:br/>
      </w:r>
      <w:r>
        <w:rPr>
          <w:rStyle w:val="VerbatimChar"/>
        </w:rPr>
        <w:t xml:space="preserve">                    │_route    │ │_line │ │taire     │ │mt950       │</w:t>
      </w:r>
      <w:r>
        <w:br/>
      </w:r>
      <w:r>
        <w:rPr>
          <w:rStyle w:val="VerbatimChar"/>
        </w:rPr>
        <w:t xml:space="preserve">                    └──────────┘ └──────┘ └──────────┘ └────────────┘</w:t>
      </w:r>
      <w:r>
        <w:br/>
      </w:r>
      <w:r>
        <w:br/>
      </w:r>
      <w:r>
        <w:rPr>
          <w:rStyle w:val="VerbatimChar"/>
        </w:rPr>
        <w:t xml:space="preserve">  Tables référentielles (peuplées une fois) :</w:t>
      </w:r>
      <w:r>
        <w:br/>
      </w:r>
      <w:r>
        <w:rPr>
          <w:rStyle w:val="VerbatimChar"/>
        </w:rPr>
        <w:t xml:space="preserve">  ┌──────┐ ┌────────┐ ┌────────────────┐</w:t>
      </w:r>
      <w:r>
        <w:br/>
      </w:r>
      <w:r>
        <w:rPr>
          <w:rStyle w:val="VerbatimChar"/>
        </w:rPr>
        <w:t xml:space="preserve">  │ pays │ │ devise │ │ bic_correspond │</w:t>
      </w:r>
      <w:r>
        <w:br/>
      </w:r>
      <w:r>
        <w:rPr>
          <w:rStyle w:val="VerbatimChar"/>
        </w:rPr>
        <w:t xml:space="preserve">  └──────┘ └────────┘ └────────────────┘</w:t>
      </w:r>
    </w:p>
    <w:bookmarkEnd w:id="26"/>
    <w:bookmarkStart w:id="27" w:name="entités-principales"/>
    <w:p>
      <w:pPr>
        <w:pStyle w:val="Heading3"/>
      </w:pPr>
      <w:r>
        <w:t xml:space="preserve">3.2 Entités principales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Entité</w:t>
            </w:r>
          </w:p>
        </w:tc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Cardinalité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extraction_run</w:t>
            </w:r>
          </w:p>
        </w:tc>
        <w:tc>
          <w:tcPr/>
          <w:p>
            <w:pPr>
              <w:pStyle w:val="Compact"/>
            </w:pPr>
            <w:r>
              <w:t xml:space="preserve">Une exécution d’extraction (1 fichier RJE/PDF/Excel donné)</w:t>
            </w:r>
          </w:p>
        </w:tc>
        <w:tc>
          <w:tcPr/>
          <w:p>
            <w:pPr>
              <w:pStyle w:val="Compact"/>
            </w:pPr>
            <w:r>
              <w:t xml:space="preserve">1 par import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Une ligne MT extraite (102/103/202/910/950)</w:t>
            </w:r>
          </w:p>
        </w:tc>
        <w:tc>
          <w:tcPr/>
          <w:p>
            <w:pPr>
              <w:pStyle w:val="Compact"/>
            </w:pPr>
            <w:r>
              <w:t xml:space="preserve">N par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exception_route</w:t>
            </w:r>
          </w:p>
        </w:tc>
        <w:tc>
          <w:tcPr/>
          <w:p>
            <w:pPr>
              <w:pStyle w:val="Compact"/>
            </w:pPr>
            <w:r>
              <w:t xml:space="preserve">Routage d’un message vers une feuille d’exception (BEAC091, 323201, EUR T2PI, BdF, forex…)</w:t>
            </w:r>
          </w:p>
        </w:tc>
        <w:tc>
          <w:tcPr/>
          <w:p>
            <w:pPr>
              <w:pStyle w:val="Compact"/>
            </w:pPr>
            <w:r>
              <w:t xml:space="preserve">0..1 par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mt950_line</w:t>
            </w:r>
          </w:p>
        </w:tc>
        <w:tc>
          <w:tcPr/>
          <w:p>
            <w:pPr>
              <w:pStyle w:val="Compact"/>
            </w:pPr>
            <w:r>
              <w:t xml:space="preserve">Ligne brute d’un relevé MT950 ou Excel</w:t>
            </w:r>
          </w:p>
        </w:tc>
        <w:tc>
          <w:tcPr/>
          <w:p>
            <w:pPr>
              <w:pStyle w:val="Compact"/>
            </w:pPr>
            <w:r>
              <w:t xml:space="preserve">N par run de mode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match_mt950</w:t>
            </w:r>
          </w:p>
        </w:tc>
        <w:tc>
          <w:tcPr/>
          <w:p>
            <w:pPr>
              <w:pStyle w:val="Compact"/>
            </w:pPr>
            <w:r>
              <w:t xml:space="preserve">Lien réconcilié MT202/MT103 ↔ MT950</w:t>
            </w:r>
          </w:p>
        </w:tc>
        <w:tc>
          <w:tcPr/>
          <w:p>
            <w:pPr>
              <w:pStyle w:val="Compact"/>
            </w:pPr>
            <w:r>
              <w:t xml:space="preserve">0..1 par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commentaire</w:t>
            </w:r>
          </w:p>
        </w:tc>
        <w:tc>
          <w:tcPr/>
          <w:p>
            <w:pPr>
              <w:pStyle w:val="Compact"/>
            </w:pPr>
            <w:r>
              <w:t xml:space="preserve">Champ commentaire libre extrait</w:t>
            </w:r>
          </w:p>
        </w:tc>
        <w:tc>
          <w:tcPr/>
          <w:p>
            <w:pPr>
              <w:pStyle w:val="Compact"/>
            </w:pPr>
            <w:r>
              <w:t xml:space="preserve">0..N par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</w:t>
            </w:r>
          </w:p>
        </w:tc>
        <w:tc>
          <w:tcPr/>
          <w:p>
            <w:pPr>
              <w:pStyle w:val="Compact"/>
            </w:pPr>
            <w:r>
              <w:t xml:space="preserve">Référentiel ISO3 + nom + zone (CEMAC/UEMOA/SEPA/…)</w:t>
            </w:r>
          </w:p>
        </w:tc>
        <w:tc>
          <w:tcPr/>
          <w:p>
            <w:pPr>
              <w:pStyle w:val="Compact"/>
            </w:pPr>
            <w:r>
              <w:t xml:space="preserve">1 par pays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devise</w:t>
            </w:r>
          </w:p>
        </w:tc>
        <w:tc>
          <w:tcPr/>
          <w:p>
            <w:pPr>
              <w:pStyle w:val="Compact"/>
            </w:pPr>
            <w:r>
              <w:t xml:space="preserve">Référentiel ISO4217</w:t>
            </w:r>
          </w:p>
        </w:tc>
        <w:tc>
          <w:tcPr/>
          <w:p>
            <w:pPr>
              <w:pStyle w:val="Compact"/>
            </w:pPr>
            <w:r>
              <w:t xml:space="preserve">1 par devise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bic_correspondant</w:t>
            </w:r>
          </w:p>
        </w:tc>
        <w:tc>
          <w:tcPr/>
          <w:p>
            <w:pPr>
              <w:pStyle w:val="Compact"/>
            </w:pPr>
            <w:r>
              <w:t xml:space="preserve">Snapshot du</w:t>
            </w:r>
            <w:r>
              <w:t xml:space="preserve"> </w:t>
            </w:r>
            <w:r>
              <w:rPr>
                <w:rStyle w:val="VerbatimChar"/>
              </w:rPr>
              <w:t xml:space="preserve">bic_codes.xlsx</w:t>
            </w:r>
            <w:r>
              <w:t xml:space="preserve"> </w:t>
            </w:r>
            <w:r>
              <w:t xml:space="preserve">au moment de l’import</w:t>
            </w:r>
          </w:p>
        </w:tc>
        <w:tc>
          <w:tcPr/>
          <w:p>
            <w:pPr>
              <w:pStyle w:val="Compact"/>
            </w:pPr>
            <w:r>
              <w:t xml:space="preserve">1 par BIC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5" w:name="schéma-sql-ddl-sqlite"/>
    <w:p>
      <w:pPr>
        <w:pStyle w:val="Heading2"/>
      </w:pPr>
      <w:r>
        <w:t xml:space="preserve">4. Schéma SQL (DDL SQLite)</w:t>
      </w:r>
    </w:p>
    <w:p>
      <w:pPr>
        <w:pStyle w:val="BlockText"/>
      </w:pPr>
      <w:r>
        <w:t xml:space="preserve">Convention : tous les noms en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, clés primaires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auto-incrémentées, dates ISO8601 string (SQLite n’a pas de type DATE</w:t>
      </w:r>
      <w:r>
        <w:t xml:space="preserve"> </w:t>
      </w:r>
      <w:r>
        <w:t xml:space="preserve">natif), montants en</w:t>
      </w:r>
      <w:r>
        <w:t xml:space="preserve"> </w:t>
      </w:r>
      <w:r>
        <w:rPr>
          <w:rStyle w:val="VerbatimChar"/>
        </w:rPr>
        <w:t xml:space="preserve">REAL</w:t>
      </w:r>
      <w:r>
        <w:t xml:space="preserve"> </w:t>
      </w:r>
      <w:r>
        <w:t xml:space="preserve">à 6 décimales.</w:t>
      </w:r>
    </w:p>
    <w:bookmarkStart w:id="29" w:name="tables-référentielles"/>
    <w:p>
      <w:pPr>
        <w:pStyle w:val="Heading3"/>
      </w:pPr>
      <w:r>
        <w:t xml:space="preserve">4.1 Tables référentielles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pays (</w:t>
      </w:r>
      <w:r>
        <w:br/>
      </w:r>
      <w:r>
        <w:rPr>
          <w:rStyle w:val="NormalTok"/>
        </w:rPr>
        <w:t xml:space="preserve">    iso3 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-- 'CAM', 'CGO', 'GAB'…</w:t>
      </w:r>
      <w:r>
        <w:br/>
      </w:r>
      <w:r>
        <w:rPr>
          <w:rStyle w:val="NormalTok"/>
        </w:rPr>
        <w:t xml:space="preserve">    nom_fr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nom_en          TEXT,</w:t>
      </w:r>
      <w:r>
        <w:br/>
      </w:r>
      <w:r>
        <w:rPr>
          <w:rStyle w:val="NormalTok"/>
        </w:rPr>
        <w:t xml:space="preserve">    zone_economique TEXT,                    </w:t>
      </w:r>
      <w:r>
        <w:rPr>
          <w:rStyle w:val="CommentTok"/>
        </w:rPr>
        <w:t xml:space="preserve">-- 'CEMAC', 'UEMOA', 'SEPA', 'WORLD'</w:t>
      </w:r>
      <w:r>
        <w:br/>
      </w:r>
      <w:r>
        <w:rPr>
          <w:rStyle w:val="NormalTok"/>
        </w:rPr>
        <w:t xml:space="preserve">    est_membre_beac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-- 1 pour les 6 États CEMAC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devise (</w:t>
      </w:r>
      <w:r>
        <w:br/>
      </w:r>
      <w:r>
        <w:rPr>
          <w:rStyle w:val="NormalTok"/>
        </w:rPr>
        <w:t xml:space="preserve">    code_iso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-- 'XAF', 'EUR', 'USD'…</w:t>
      </w:r>
      <w:r>
        <w:br/>
      </w:r>
      <w:r>
        <w:rPr>
          <w:rStyle w:val="NormalTok"/>
        </w:rPr>
        <w:t xml:space="preserve">    libelle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nb_decimales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bic_correspondant (</w:t>
      </w:r>
      <w:r>
        <w:br/>
      </w:r>
      <w:r>
        <w:rPr>
          <w:rStyle w:val="NormalTok"/>
        </w:rPr>
        <w:t xml:space="preserve">    bic 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-- ex 'SGCMCMCXXXX'</w:t>
      </w:r>
      <w:r>
        <w:br/>
      </w:r>
      <w:r>
        <w:rPr>
          <w:rStyle w:val="NormalTok"/>
        </w:rPr>
        <w:t xml:space="preserve">    nom_court     TEXT,                      </w:t>
      </w:r>
      <w:r>
        <w:rPr>
          <w:rStyle w:val="CommentTok"/>
        </w:rPr>
        <w:t xml:space="preserve">-- ex 'Société Générale Cameroun'</w:t>
      </w:r>
      <w:r>
        <w:br/>
      </w:r>
      <w:r>
        <w:rPr>
          <w:rStyle w:val="NormalTok"/>
        </w:rPr>
        <w:t xml:space="preserve">    pays_iso3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pays(iso3),</w:t>
      </w:r>
      <w:r>
        <w:br/>
      </w:r>
      <w:r>
        <w:rPr>
          <w:rStyle w:val="NormalTok"/>
        </w:rPr>
        <w:t xml:space="preserve">    code_4chiffres TEXT,                     </w:t>
      </w:r>
      <w:r>
        <w:rPr>
          <w:rStyle w:val="CommentTok"/>
        </w:rPr>
        <w:t xml:space="preserve">-- code Reglement le cas échéant</w:t>
      </w:r>
      <w:r>
        <w:br/>
      </w:r>
      <w:r>
        <w:rPr>
          <w:rStyle w:val="NormalTok"/>
        </w:rPr>
        <w:t xml:space="preserve">    code_ccf      TEXT,                      </w:t>
      </w:r>
      <w:r>
        <w:rPr>
          <w:rStyle w:val="CommentTok"/>
        </w:rPr>
        <w:t xml:space="preserve">-- code CCF le cas échéant</w:t>
      </w:r>
      <w:r>
        <w:br/>
      </w:r>
      <w:r>
        <w:rPr>
          <w:rStyle w:val="NormalTok"/>
        </w:rPr>
        <w:t xml:space="preserve">    is_forex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snapshot_date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date d'extraction du xlsx</w:t>
      </w:r>
      <w:r>
        <w:br/>
      </w:r>
      <w:r>
        <w:rPr>
          <w:rStyle w:val="NormalTok"/>
        </w:rPr>
        <w:t xml:space="preserve">);</w:t>
      </w:r>
    </w:p>
    <w:bookmarkEnd w:id="29"/>
    <w:bookmarkStart w:id="30" w:name="audit-traçabilité"/>
    <w:p>
      <w:pPr>
        <w:pStyle w:val="Heading3"/>
      </w:pPr>
      <w:r>
        <w:t xml:space="preserve">4.2 Audit &amp; traçabilité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extraction_run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run_uuid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uuid4 généré côté app</w:t>
      </w:r>
      <w:r>
        <w:br/>
      </w:r>
      <w:r>
        <w:rPr>
          <w:rStyle w:val="NormalTok"/>
        </w:rPr>
        <w:t xml:space="preserve">    started_at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ISO8601 timestamp</w:t>
      </w:r>
      <w:r>
        <w:br/>
      </w:r>
      <w:r>
        <w:rPr>
          <w:rStyle w:val="NormalTok"/>
        </w:rPr>
        <w:t xml:space="preserve">    finished_at  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'PDF_MT202', 'PDF_MT103', 'RJE_EASTNET', 'EXCEL_BDF', etc.</w:t>
      </w:r>
      <w:r>
        <w:br/>
      </w:r>
      <w:r>
        <w:rPr>
          <w:rStyle w:val="NormalTok"/>
        </w:rPr>
        <w:t xml:space="preserve">    sous_mode       TEXT,                           </w:t>
      </w:r>
      <w:r>
        <w:rPr>
          <w:rStyle w:val="CommentTok"/>
        </w:rPr>
        <w:t xml:space="preserve">-- 'incoming', 'outgoing', 'mt950_match'…</w:t>
      </w:r>
      <w:r>
        <w:br/>
      </w:r>
      <w:r>
        <w:rPr>
          <w:rStyle w:val="NormalTok"/>
        </w:rPr>
        <w:t xml:space="preserve">    source_file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chemin/nom du fichier source</w:t>
      </w:r>
      <w:r>
        <w:br/>
      </w:r>
      <w:r>
        <w:rPr>
          <w:rStyle w:val="NormalTok"/>
        </w:rPr>
        <w:t xml:space="preserve">    source_hash_sha256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-- hash du fichier d'entrée (idempotence)</w:t>
      </w:r>
      <w:r>
        <w:br/>
      </w:r>
      <w:r>
        <w:rPr>
          <w:rStyle w:val="NormalTok"/>
        </w:rPr>
        <w:t xml:space="preserve">    source_size_bytes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nb_messages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nb_exceptions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app_version     TEXT,                           </w:t>
      </w:r>
      <w:r>
        <w:rPr>
          <w:rStyle w:val="CommentTok"/>
        </w:rPr>
        <w:t xml:space="preserve">-- ex 'v5.1'</w:t>
      </w:r>
      <w:r>
        <w:br/>
      </w:r>
      <w:r>
        <w:rPr>
          <w:rStyle w:val="NormalTok"/>
        </w:rPr>
        <w:t xml:space="preserve">    git_commit      TEXT,                           </w:t>
      </w:r>
      <w:r>
        <w:rPr>
          <w:rStyle w:val="CommentTok"/>
        </w:rPr>
        <w:t xml:space="preserve">-- sha court du build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operator</w:t>
      </w:r>
      <w:r>
        <w:rPr>
          <w:rStyle w:val="NormalTok"/>
        </w:rPr>
        <w:t xml:space="preserve">        TEXT,                           </w:t>
      </w:r>
      <w:r>
        <w:rPr>
          <w:rStyle w:val="CommentTok"/>
        </w:rPr>
        <w:t xml:space="preserve">-- login/initiales</w:t>
      </w:r>
      <w:r>
        <w:br/>
      </w:r>
      <w:r>
        <w:rPr>
          <w:rStyle w:val="NormalTok"/>
        </w:rPr>
        <w:t xml:space="preserve">    notes          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idx_run_mode_date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extraction_run(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, started_at);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idx_run_hash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extraction_run(source_hash_sha256);</w:t>
      </w:r>
    </w:p>
    <w:bookmarkEnd w:id="30"/>
    <w:bookmarkStart w:id="31" w:name="table-principale-message"/>
    <w:p>
      <w:pPr>
        <w:pStyle w:val="Heading3"/>
      </w:pPr>
      <w:r>
        <w:t xml:space="preserve">4.3 Table principale :</w:t>
      </w:r>
      <w:r>
        <w:t xml:space="preserve"> </w:t>
      </w:r>
      <w:r>
        <w:rPr>
          <w:rStyle w:val="VerbatimChar"/>
        </w:rPr>
        <w:t xml:space="preserve">message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message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run_id  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extraction_run(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Identité du message</w:t>
      </w:r>
      <w:r>
        <w:br/>
      </w:r>
      <w:r>
        <w:rPr>
          <w:rStyle w:val="NormalTok"/>
        </w:rPr>
        <w:t xml:space="preserve">    type_mt 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'202', '103', '910', '950', '102'…</w:t>
      </w:r>
      <w:r>
        <w:br/>
      </w:r>
      <w:r>
        <w:rPr>
          <w:rStyle w:val="NormalTok"/>
        </w:rPr>
        <w:t xml:space="preserve">    direction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'incoming' | 'outgoing'</w:t>
      </w:r>
      <w:r>
        <w:br/>
      </w:r>
      <w:r>
        <w:rPr>
          <w:rStyle w:val="NormalTok"/>
        </w:rPr>
        <w:t xml:space="preserve">    reference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F20</w:t>
      </w:r>
      <w:r>
        <w:br/>
      </w:r>
      <w:r>
        <w:rPr>
          <w:rStyle w:val="NormalTok"/>
        </w:rPr>
        <w:t xml:space="preserve">    related_reference     TEXT,                     </w:t>
      </w:r>
      <w:r>
        <w:rPr>
          <w:rStyle w:val="CommentTok"/>
        </w:rPr>
        <w:t xml:space="preserve">-- F21</w:t>
      </w:r>
      <w:r>
        <w:br/>
      </w:r>
      <w:r>
        <w:rPr>
          <w:rStyle w:val="NormalTok"/>
        </w:rPr>
        <w:t xml:space="preserve">    date_reference        TEXT,                     </w:t>
      </w:r>
      <w:r>
        <w:rPr>
          <w:rStyle w:val="CommentTok"/>
        </w:rPr>
        <w:t xml:space="preserve">-- F30/F32A date — ISO8601 (YYYY-MM-DD)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Montant</w:t>
      </w:r>
      <w:r>
        <w:br/>
      </w:r>
      <w:r>
        <w:rPr>
          <w:rStyle w:val="NormalTok"/>
        </w:rPr>
        <w:t xml:space="preserve">    devise          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devise(code_iso),</w:t>
      </w:r>
      <w:r>
        <w:br/>
      </w:r>
      <w:r>
        <w:rPr>
          <w:rStyle w:val="NormalTok"/>
        </w:rPr>
        <w:t xml:space="preserve">    montant        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                     </w:t>
      </w:r>
      <w:r>
        <w:rPr>
          <w:rStyle w:val="CommentTok"/>
        </w:rPr>
        <w:t xml:space="preserve">-- positif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Acteurs</w:t>
      </w:r>
      <w:r>
        <w:br/>
      </w:r>
      <w:r>
        <w:rPr>
          <w:rStyle w:val="NormalTok"/>
        </w:rPr>
        <w:t xml:space="preserve">    correspondant_bic     TEXT,                     </w:t>
      </w:r>
      <w:r>
        <w:rPr>
          <w:rStyle w:val="CommentTok"/>
        </w:rPr>
        <w:t xml:space="preserve">-- sender BIC</w:t>
      </w:r>
      <w:r>
        <w:br/>
      </w:r>
      <w:r>
        <w:rPr>
          <w:rStyle w:val="NormalTok"/>
        </w:rPr>
        <w:t xml:space="preserve">    correspondant_pays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pays(iso3),</w:t>
      </w:r>
      <w:r>
        <w:br/>
      </w:r>
      <w:r>
        <w:rPr>
          <w:rStyle w:val="NormalTok"/>
        </w:rPr>
        <w:t xml:space="preserve">    code_donneur_dordre   TEXT,                     </w:t>
      </w:r>
      <w:r>
        <w:rPr>
          <w:rStyle w:val="CommentTok"/>
        </w:rPr>
        <w:t xml:space="preserve">-- F52A code/BIC final (post-fallback F58A)</w:t>
      </w:r>
      <w:r>
        <w:br/>
      </w:r>
      <w:r>
        <w:rPr>
          <w:rStyle w:val="NormalTok"/>
        </w:rPr>
        <w:t xml:space="preserve">    donneur_dordre        TEXT,                     </w:t>
      </w:r>
      <w:r>
        <w:rPr>
          <w:rStyle w:val="CommentTok"/>
        </w:rPr>
        <w:t xml:space="preserve">-- libellé long</w:t>
      </w:r>
      <w:r>
        <w:br/>
      </w:r>
      <w:r>
        <w:rPr>
          <w:rStyle w:val="NormalTok"/>
        </w:rPr>
        <w:t xml:space="preserve">    beneficiaire          TEXT,                     </w:t>
      </w:r>
      <w:r>
        <w:rPr>
          <w:rStyle w:val="CommentTok"/>
        </w:rPr>
        <w:t xml:space="preserve">-- F58A/F59</w:t>
      </w:r>
      <w:r>
        <w:br/>
      </w:r>
      <w:r>
        <w:rPr>
          <w:rStyle w:val="NormalTok"/>
        </w:rPr>
        <w:t xml:space="preserve">    pays_iso3       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pays(iso3),  </w:t>
      </w:r>
      <w:r>
        <w:rPr>
          <w:rStyle w:val="CommentTok"/>
        </w:rPr>
        <w:t xml:space="preserve">-- pays du donneur d'ordre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Provenance bas niveau</w:t>
      </w:r>
      <w:r>
        <w:br/>
      </w:r>
      <w:r>
        <w:rPr>
          <w:rStyle w:val="NormalTok"/>
        </w:rPr>
        <w:t xml:space="preserve">    source_pdf            TEXT,                     </w:t>
      </w:r>
      <w:r>
        <w:rPr>
          <w:rStyle w:val="CommentTok"/>
        </w:rPr>
        <w:t xml:space="preserve">-- nom court du fichier d'origine</w:t>
      </w:r>
      <w:r>
        <w:br/>
      </w:r>
      <w:r>
        <w:rPr>
          <w:rStyle w:val="NormalTok"/>
        </w:rPr>
        <w:t xml:space="preserve">    msg_index_in_source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N° de message dans le fichier RJE/PDF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Méta extraction</w:t>
      </w:r>
      <w:r>
        <w:br/>
      </w:r>
      <w:r>
        <w:rPr>
          <w:rStyle w:val="NormalTok"/>
        </w:rPr>
        <w:t xml:space="preserve">    extraction_method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-- 'PDF_MT202', 'RJE_EASTNET', 'EXCEL_CITI'…</w:t>
      </w:r>
      <w:r>
        <w:br/>
      </w:r>
      <w:r>
        <w:rPr>
          <w:rStyle w:val="NormalTok"/>
        </w:rPr>
        <w:t xml:space="preserve">    f52a_raw              TEXT,                     </w:t>
      </w:r>
      <w:r>
        <w:rPr>
          <w:rStyle w:val="CommentTok"/>
        </w:rPr>
        <w:t xml:space="preserve">-- pour debug/traçabilité</w:t>
      </w:r>
      <w:r>
        <w:br/>
      </w:r>
      <w:r>
        <w:rPr>
          <w:rStyle w:val="NormalTok"/>
        </w:rPr>
        <w:t xml:space="preserve">    f58a_raw              TEXT,                     </w:t>
      </w:r>
      <w:r>
        <w:rPr>
          <w:rStyle w:val="CommentTok"/>
        </w:rPr>
        <w:t xml:space="preserve">-- pour debug/traçabilité</w:t>
      </w:r>
      <w:r>
        <w:br/>
      </w:r>
      <w:r>
        <w:rPr>
          <w:rStyle w:val="NormalTok"/>
        </w:rPr>
        <w:t xml:space="preserve">    f57a_raw              TEXT,</w:t>
      </w:r>
      <w:r>
        <w:br/>
      </w:r>
      <w:r>
        <w:rPr>
          <w:rStyle w:val="NormalTok"/>
        </w:rPr>
        <w:t xml:space="preserve">    fallback_applied      TEXT,                     </w:t>
      </w:r>
      <w:r>
        <w:rPr>
          <w:rStyle w:val="CommentTok"/>
        </w:rPr>
        <w:t xml:space="preserve">-- 'F58A_CITIUS33', 'F58A_BDF', 'F58A_RJE_GENERIC', NULL</w:t>
      </w:r>
      <w:r>
        <w:br/>
      </w:r>
      <w:r>
        <w:br/>
      </w:r>
      <w:r>
        <w:rPr>
          <w:rStyle w:val="NormalTok"/>
        </w:rPr>
        <w:t xml:space="preserve">    created_at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(run_id, reference, type_mt, msg_index_in_source)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idx_msg_ref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message(reference);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idx_msg_date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message(date_reference);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idx_msg_pays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message(pays_iso3);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idx_msg_type_dir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message(type_mt, direction);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idx_msg_devise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message(devise);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idx_msg_correspondant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message(correspondant_bic);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idx_msg_run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message(run_id);</w:t>
      </w:r>
    </w:p>
    <w:bookmarkEnd w:id="31"/>
    <w:bookmarkStart w:id="32" w:name="routage-en-exception"/>
    <w:p>
      <w:pPr>
        <w:pStyle w:val="Heading3"/>
      </w:pPr>
      <w:r>
        <w:t xml:space="preserve">4.4 Routage en exception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exception_route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message_id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message(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bucket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Valeurs possibles 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'BEAC091'        : BEACCMCX091 (TCFM/Trésor)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'EXC_323201'     : code 323201 dans F58A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'EUR_T2PI'       : EUR Target 2 PI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'EUR_T2RM'       : EUR Target 2 RM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'EUR_T2PL'       : EUR Target 2 PL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'NIVELLEMENT'    : opérations de nivellement intra-groupe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'SALLE_MARCHE'   : forex/salle des marchés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'BDF_CORR'       : correspondants BdF (CITI, SCB)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'BDF_REJET'      : MT103 reject BdF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'FOREX'          : forex CITI/SCB/BDF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'DE_DATA_ENTRY'  : opérations internes CITI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  'AUTRE'          : non classé</w:t>
      </w:r>
      <w:r>
        <w:br/>
      </w:r>
      <w:r>
        <w:rPr>
          <w:rStyle w:val="NormalTok"/>
        </w:rPr>
        <w:t xml:space="preserve">    raison       TEXT,                              </w:t>
      </w:r>
      <w:r>
        <w:rPr>
          <w:rStyle w:val="CommentTok"/>
        </w:rPr>
        <w:t xml:space="preserve">-- description lisible</w:t>
      </w:r>
      <w:r>
        <w:br/>
      </w:r>
      <w:r>
        <w:rPr>
          <w:rStyle w:val="NormalTok"/>
        </w:rPr>
        <w:t xml:space="preserve">    detected_via TEXT                               </w:t>
      </w:r>
      <w:r>
        <w:rPr>
          <w:rStyle w:val="CommentTok"/>
        </w:rPr>
        <w:t xml:space="preserve">-- 'F58A_323201', 'BIC_BEACCMCX091', 'reference_pattern'…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idx_exc_bucket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exception_route(bucket);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idx_exc_msg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exception_route(message_id);</w:t>
      </w:r>
    </w:p>
    <w:bookmarkEnd w:id="32"/>
    <w:bookmarkStart w:id="33" w:name="rapprochement-mt950"/>
    <w:p>
      <w:pPr>
        <w:pStyle w:val="Heading3"/>
      </w:pPr>
      <w:r>
        <w:t xml:space="preserve">4.5 Rapprochement MT950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mt950_line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run_id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extraction_run(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correspondant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'BDF', 'CITI_USD', 'CITI_EUR', 'SCBL'…</w:t>
      </w:r>
      <w:r>
        <w:br/>
      </w:r>
      <w:r>
        <w:rPr>
          <w:rStyle w:val="NormalTok"/>
        </w:rPr>
        <w:t xml:space="preserve">    devise     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devise(code_iso),</w:t>
      </w:r>
      <w:r>
        <w:br/>
      </w:r>
      <w:r>
        <w:rPr>
          <w:rStyle w:val="NormalTok"/>
        </w:rPr>
        <w:t xml:space="preserve">    date_valeur     TEXT,                           </w:t>
      </w:r>
      <w:r>
        <w:rPr>
          <w:rStyle w:val="CommentTok"/>
        </w:rPr>
        <w:t xml:space="preserve">-- ISO8601</w:t>
      </w:r>
      <w:r>
        <w:br/>
      </w:r>
      <w:r>
        <w:rPr>
          <w:rStyle w:val="NormalTok"/>
        </w:rPr>
        <w:t xml:space="preserve">    sens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'D' (débit) | 'C' (crédit)</w:t>
      </w:r>
      <w:r>
        <w:br/>
      </w:r>
      <w:r>
        <w:rPr>
          <w:rStyle w:val="NormalTok"/>
        </w:rPr>
        <w:t xml:space="preserve">    montant  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identification_code TEXT,                       </w:t>
      </w:r>
      <w:r>
        <w:rPr>
          <w:rStyle w:val="CommentTok"/>
        </w:rPr>
        <w:t xml:space="preserve">-- :86: code transaction</w:t>
      </w:r>
      <w:r>
        <w:br/>
      </w:r>
      <w:r>
        <w:rPr>
          <w:rStyle w:val="NormalTok"/>
        </w:rPr>
        <w:t xml:space="preserve">    reference_servicer  TEXT,                       </w:t>
      </w:r>
      <w:r>
        <w:rPr>
          <w:rStyle w:val="CommentTok"/>
        </w:rPr>
        <w:t xml:space="preserve">-- ref après //</w:t>
      </w:r>
      <w:r>
        <w:br/>
      </w:r>
      <w:r>
        <w:rPr>
          <w:rStyle w:val="NormalTok"/>
        </w:rPr>
        <w:t xml:space="preserve">    reference_owner     TEXT,                       </w:t>
      </w:r>
      <w:r>
        <w:rPr>
          <w:rStyle w:val="CommentTok"/>
        </w:rPr>
        <w:t xml:space="preserve">-- ref propriétaire</w:t>
      </w:r>
      <w:r>
        <w:br/>
      </w:r>
      <w:r>
        <w:rPr>
          <w:rStyle w:val="NormalTok"/>
        </w:rPr>
        <w:t xml:space="preserve">    libelle         TEXT,</w:t>
      </w:r>
      <w:r>
        <w:br/>
      </w:r>
      <w:r>
        <w:rPr>
          <w:rStyle w:val="NormalTok"/>
        </w:rPr>
        <w:t xml:space="preserve">    raw_line       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idx_mt950_ref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mt950_line(reference_servicer, reference_owner);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idx_mt950_date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mt950_line(date_valeur);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match_mt950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message_id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message(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mt950_line_id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mt950_line(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score    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-- 0..1, qualité du match</w:t>
      </w:r>
      <w:r>
        <w:br/>
      </w:r>
      <w:r>
        <w:rPr>
          <w:rStyle w:val="NormalTok"/>
        </w:rPr>
        <w:t xml:space="preserve">    critere_montant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bool</w:t>
      </w:r>
      <w:r>
        <w:br/>
      </w:r>
      <w:r>
        <w:rPr>
          <w:rStyle w:val="NormalTok"/>
        </w:rPr>
        <w:t xml:space="preserve">    critere_id_code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critere_date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critere_ref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(message_id, mt950_line_id)</w:t>
      </w:r>
      <w:r>
        <w:br/>
      </w:r>
      <w:r>
        <w:rPr>
          <w:rStyle w:val="NormalTok"/>
        </w:rPr>
        <w:t xml:space="preserve">);</w:t>
      </w:r>
    </w:p>
    <w:bookmarkEnd w:id="33"/>
    <w:bookmarkStart w:id="34" w:name="commentaires-libres"/>
    <w:p>
      <w:pPr>
        <w:pStyle w:val="Heading3"/>
      </w:pPr>
      <w:r>
        <w:t xml:space="preserve">4.6 Commentaires libres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commentaire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message_id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message(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contenu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source_tag  TEXT                                </w:t>
      </w:r>
      <w:r>
        <w:rPr>
          <w:rStyle w:val="CommentTok"/>
        </w:rPr>
        <w:t xml:space="preserve">-- 'F70', 'F72', 'F86', 'free_text'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flux-dalimentation"/>
    <w:p>
      <w:pPr>
        <w:pStyle w:val="Heading2"/>
      </w:pPr>
      <w:r>
        <w:t xml:space="preserve">5. Flux d’alimentation</w:t>
      </w:r>
    </w:p>
    <w:bookmarkStart w:id="36" w:name="stratégie"/>
    <w:p>
      <w:pPr>
        <w:pStyle w:val="Heading3"/>
      </w:pPr>
      <w:r>
        <w:t xml:space="preserve">5.1 Stratégie</w:t>
      </w:r>
    </w:p>
    <w:p>
      <w:pPr>
        <w:pStyle w:val="FirstParagraph"/>
      </w:pPr>
      <w:r>
        <w:t xml:space="preserve">À chaque clic sur</w:t>
      </w:r>
      <w:r>
        <w:t xml:space="preserve"> </w:t>
      </w:r>
      <w:r>
        <w:rPr>
          <w:b/>
          <w:bCs/>
        </w:rPr>
        <w:t xml:space="preserve">« Lancer l’extraction »</w:t>
      </w:r>
      <w:r>
        <w:t xml:space="preserve"> </w:t>
      </w:r>
      <w:r>
        <w:t xml:space="preserve">dans Streamlit, en plus</w:t>
      </w:r>
      <w:r>
        <w:t xml:space="preserve"> </w:t>
      </w:r>
      <w:r>
        <w:t xml:space="preserve">de générer l’Excel, l’application :</w:t>
      </w:r>
    </w:p>
    <w:p>
      <w:pPr>
        <w:pStyle w:val="Compact"/>
        <w:numPr>
          <w:ilvl w:val="0"/>
          <w:numId w:val="1004"/>
        </w:numPr>
      </w:pPr>
      <w:r>
        <w:t xml:space="preserve">Calcule un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 </w:t>
      </w:r>
      <w:r>
        <w:t xml:space="preserve">du fichier source.</w:t>
      </w:r>
    </w:p>
    <w:p>
      <w:pPr>
        <w:pStyle w:val="Compact"/>
        <w:numPr>
          <w:ilvl w:val="0"/>
          <w:numId w:val="1004"/>
        </w:numPr>
      </w:pPr>
      <w:r>
        <w:t xml:space="preserve">Insère un enregistrement</w:t>
      </w:r>
      <w:r>
        <w:t xml:space="preserve"> </w:t>
      </w:r>
      <w:r>
        <w:rPr>
          <w:rStyle w:val="VerbatimChar"/>
        </w:rPr>
        <w:t xml:space="preserve">extraction_run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Pour chaque ligne extraite, insère un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Pour chaque ligne en exception, insère un</w:t>
      </w:r>
      <w:r>
        <w:t xml:space="preserve"> </w:t>
      </w:r>
      <w:r>
        <w:rPr>
          <w:rStyle w:val="VerbatimChar"/>
        </w:rPr>
        <w:t xml:space="preserve">exception_route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Pour chaque ligne MT950, insère un</w:t>
      </w:r>
      <w:r>
        <w:t xml:space="preserve"> </w:t>
      </w:r>
      <w:r>
        <w:rPr>
          <w:rStyle w:val="VerbatimChar"/>
        </w:rPr>
        <w:t xml:space="preserve">mt950_line</w:t>
      </w:r>
      <w:r>
        <w:t xml:space="preserve"> </w:t>
      </w:r>
      <w:r>
        <w:t xml:space="preserve">puis les</w:t>
      </w:r>
      <w:r>
        <w:t xml:space="preserve"> </w:t>
      </w:r>
      <w:r>
        <w:rPr>
          <w:rStyle w:val="VerbatimChar"/>
        </w:rPr>
        <w:t xml:space="preserve">match_mt950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Tout dans une transaction unique (rollback si échec).</w:t>
      </w:r>
    </w:p>
    <w:bookmarkEnd w:id="36"/>
    <w:bookmarkStart w:id="37" w:name="idempotence"/>
    <w:p>
      <w:pPr>
        <w:pStyle w:val="Heading3"/>
      </w:pPr>
      <w:r>
        <w:t xml:space="preserve">5.2 Idempotence</w:t>
      </w:r>
    </w:p>
    <w:p>
      <w:pPr>
        <w:pStyle w:val="FirstParagraph"/>
      </w:pPr>
      <w:r>
        <w:t xml:space="preserve">Si le même fichier (même sha256) est ré-extrait :</w:t>
      </w:r>
      <w:r>
        <w:t xml:space="preserve"> </w:t>
      </w:r>
      <w:r>
        <w:t xml:space="preserve">- option A : refus avec message « déjà importé le JJ/MM/AAAA »</w:t>
      </w:r>
      <w:r>
        <w:t xml:space="preserve"> </w:t>
      </w:r>
      <w:r>
        <w:t xml:space="preserve">- option B : nouvelle ligne</w:t>
      </w:r>
      <w:r>
        <w:t xml:space="preserve"> </w:t>
      </w:r>
      <w:r>
        <w:rPr>
          <w:rStyle w:val="VerbatimChar"/>
        </w:rPr>
        <w:t xml:space="preserve">extraction_run</w:t>
      </w:r>
      <w:r>
        <w:t xml:space="preserve">, mais marquée</w:t>
      </w:r>
      <w:r>
        <w:t xml:space="preserve"> </w:t>
      </w:r>
      <w:r>
        <w:rPr>
          <w:rStyle w:val="VerbatimChar"/>
        </w:rPr>
        <w:t xml:space="preserve">notes = 're-run'</w:t>
      </w:r>
      <w:r>
        <w:t xml:space="preserve">. Les anciennes données restent (audit).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Recommandation</w:t>
      </w:r>
      <w:r>
        <w:t xml:space="preserve"> </w:t>
      </w:r>
      <w:r>
        <w:t xml:space="preserve">: option B, plus tolérante au reprocessing après</w:t>
      </w:r>
      <w:r>
        <w:t xml:space="preserve"> </w:t>
      </w:r>
      <w:r>
        <w:t xml:space="preserve">bug fix (cf. le présent fix RJE).</w:t>
      </w:r>
    </w:p>
    <w:bookmarkEnd w:id="37"/>
    <w:bookmarkStart w:id="38" w:name="rétro-import-des-exports-excel-passés"/>
    <w:p>
      <w:pPr>
        <w:pStyle w:val="Heading3"/>
      </w:pPr>
      <w:r>
        <w:t xml:space="preserve">5.3 Rétro-import des exports Excel passés</w:t>
      </w:r>
    </w:p>
    <w:p>
      <w:pPr>
        <w:pStyle w:val="FirstParagraph"/>
      </w:pPr>
      <w:r>
        <w:t xml:space="preserve">Pour ne pas perdre l’historique des extractions déjà faites en Excel,</w:t>
      </w:r>
      <w:r>
        <w:t xml:space="preserve"> </w:t>
      </w:r>
      <w:r>
        <w:t xml:space="preserve">prévoir un script</w:t>
      </w:r>
      <w:r>
        <w:t xml:space="preserve"> </w:t>
      </w:r>
      <w:r>
        <w:rPr>
          <w:rStyle w:val="VerbatimChar"/>
        </w:rPr>
        <w:t xml:space="preserve">import_legacy_excel.py</w:t>
      </w:r>
      <w:r>
        <w:t xml:space="preserve"> </w:t>
      </w:r>
      <w:r>
        <w:t xml:space="preserve">qui :</w:t>
      </w:r>
      <w:r>
        <w:t xml:space="preserve"> </w:t>
      </w:r>
      <w:r>
        <w:t xml:space="preserve">- parcourt un dossier d’archives Excel,</w:t>
      </w:r>
      <w:r>
        <w:t xml:space="preserve"> </w:t>
      </w:r>
      <w:r>
        <w:t xml:space="preserve">- parse chaque feuille, déduit le mode/sous-mode,</w:t>
      </w:r>
      <w:r>
        <w:t xml:space="preserve"> </w:t>
      </w:r>
      <w:r>
        <w:t xml:space="preserve">- alimente</w:t>
      </w:r>
      <w:r>
        <w:t xml:space="preserve"> </w:t>
      </w:r>
      <w:r>
        <w:rPr>
          <w:rStyle w:val="VerbatimChar"/>
        </w:rPr>
        <w:t xml:space="preserve">extraction_run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app_version='legacy_import'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requêtes-types-sql"/>
    <w:p>
      <w:pPr>
        <w:pStyle w:val="Heading2"/>
      </w:pPr>
      <w:r>
        <w:t xml:space="preserve">6. Requêtes types (SQL)</w:t>
      </w:r>
    </w:p>
    <w:bookmarkStart w:id="40" w:name="volumes-par-pays-cemac-sur-un-mois"/>
    <w:p>
      <w:pPr>
        <w:pStyle w:val="Heading3"/>
      </w:pPr>
      <w:r>
        <w:t xml:space="preserve">6.1 Volumes par pays CEMAC sur un mois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p.iso3, p.nom_fr,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     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nb_messages,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(m.montant)  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total_montant,</w:t>
      </w:r>
      <w:r>
        <w:br/>
      </w:r>
      <w:r>
        <w:rPr>
          <w:rStyle w:val="NormalTok"/>
        </w:rPr>
        <w:t xml:space="preserve">       m.devise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 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pays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p.iso3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m.pays_iso3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p.est_membre_beac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m.date_reference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'2026-01-01'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'2026-01-31'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m.type_mt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p.iso3, m.devise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total_montant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40"/>
    <w:bookmarkStart w:id="41" w:name="top-10-donneurs-dordre-usd-entrants"/>
    <w:p>
      <w:pPr>
        <w:pStyle w:val="Heading3"/>
      </w:pPr>
      <w:r>
        <w:t xml:space="preserve">6.2 Top 10 donneurs d’ordre USD entrants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m.code_donneur_dordre, m.donneur_dordre,</w:t>
      </w:r>
      <w:r>
        <w:br/>
      </w:r>
      <w:r>
        <w:rPr>
          <w:rStyle w:val="NormalTok"/>
        </w:rPr>
        <w:t xml:space="preserve">       m.pays_iso3,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nb,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(m.montant)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 m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m.devise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m.direction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'incoming'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m.type_mt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m.date_reference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'-90 days'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m.code_donneur_dordre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</w:t>
      </w:r>
    </w:p>
    <w:bookmarkEnd w:id="41"/>
    <w:bookmarkStart w:id="42" w:name="mt202-sans-rapprochement-mt950"/>
    <w:p>
      <w:pPr>
        <w:pStyle w:val="Heading3"/>
      </w:pPr>
      <w:r>
        <w:t xml:space="preserve">6.3 MT202 sans rapprochement MT950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m.reference, m.date_reference, m.montant, m.devise,</w:t>
      </w:r>
      <w:r>
        <w:br/>
      </w:r>
      <w:r>
        <w:rPr>
          <w:rStyle w:val="NormalTok"/>
        </w:rPr>
        <w:t xml:space="preserve">       m.correspondant_bic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 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match_mt950 mm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mm.message_id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m.type_mt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mm.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m.date_reference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'-7 days'</w:t>
      </w:r>
      <w:r>
        <w:rPr>
          <w:rStyle w:val="NormalTok"/>
        </w:rPr>
        <w:t xml:space="preserve">);</w:t>
      </w:r>
    </w:p>
    <w:bookmarkEnd w:id="42"/>
    <w:bookmarkStart w:id="43" w:name="détection-danomalies-montants-atypiques"/>
    <w:p>
      <w:pPr>
        <w:pStyle w:val="Heading3"/>
      </w:pPr>
      <w:r>
        <w:t xml:space="preserve">6.4 Détection d’anomalies — montants atypiques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stats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pays_iso3, devise,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(montant)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moy,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-- SQLite n'a pas STDDEV natif → utiliser variance via sqrt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(montant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montant)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(montant)</w:t>
      </w:r>
      <w:r>
        <w:rPr>
          <w:rStyle w:val="OperatorTok"/>
        </w:rPr>
        <w:t xml:space="preserve">*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(montant)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var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date_reference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'-180 days'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pays_iso3, devise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m.reference, m.pays_iso3, m.devise, m.montant,</w:t>
      </w:r>
      <w:r>
        <w:br/>
      </w:r>
      <w:r>
        <w:rPr>
          <w:rStyle w:val="NormalTok"/>
        </w:rPr>
        <w:t xml:space="preserve">       s.moy, (m.montant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s.moy)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(s.var),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z_score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 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stats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s.pays_iso3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m.pays_iso3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s.devise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m.devise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((m.montant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s.moy)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NULLIF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(s.var),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z_score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43"/>
    <w:bookmarkStart w:id="44" w:name="historique-dune-référence"/>
    <w:p>
      <w:pPr>
        <w:pStyle w:val="Heading3"/>
      </w:pPr>
      <w:r>
        <w:t xml:space="preserve">6.5 Historique d’une référence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er.started_at, er.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, er.source_file,</w:t>
      </w:r>
      <w:r>
        <w:br/>
      </w:r>
      <w:r>
        <w:rPr>
          <w:rStyle w:val="NormalTok"/>
        </w:rPr>
        <w:t xml:space="preserve">       m.type_mt, m.direction, m.montant, m.devise, m.donneur_dordre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 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extraction_run 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er.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m.run_id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m.reference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er.started_at;</w:t>
      </w:r>
    </w:p>
    <w:bookmarkEnd w:id="44"/>
    <w:bookmarkStart w:id="45" w:name="exceptions-par-bucket-sur-la-période"/>
    <w:p>
      <w:pPr>
        <w:pStyle w:val="Heading3"/>
      </w:pPr>
      <w:r>
        <w:t xml:space="preserve">6.6 Exceptions par bucket sur la période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ex.bucket,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nb,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(m.montant)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exception_route ex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message 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ex.message_id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m.date_reference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ex.bucket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total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bookmarkEnd w:id="45"/>
    <w:bookmarkStart w:id="46" w:name="X702bf6600a6e5bfaa633a1d95bfc6e0e563392c"/>
    <w:p>
      <w:pPr>
        <w:pStyle w:val="Heading3"/>
      </w:pPr>
      <w:r>
        <w:t xml:space="preserve">6.7 Suivi du fallback F58A (audit du fix 28/04/2026)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extraction_method,</w:t>
      </w:r>
      <w:r>
        <w:br/>
      </w:r>
      <w:r>
        <w:rPr>
          <w:rStyle w:val="NormalTok"/>
        </w:rPr>
        <w:t xml:space="preserve">       fallback_applied,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nb,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code_donneur_dordre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avec_code,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pays_iso3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avec_pays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extraction_method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'RJE%'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type_mt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'incoming'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extraction_method, fallback_applied;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vues-pratiques"/>
    <w:p>
      <w:pPr>
        <w:pStyle w:val="Heading2"/>
      </w:pPr>
      <w:r>
        <w:t xml:space="preserve">7. Vues pratiques</w:t>
      </w:r>
    </w:p>
    <w:p>
      <w:pPr>
        <w:pStyle w:val="SourceCode"/>
      </w:pPr>
      <w:r>
        <w:rPr>
          <w:rStyle w:val="CommentTok"/>
        </w:rPr>
        <w:t xml:space="preserve">-- Vue facilitant les requêtes BEAC : un message + son bucket exception (ou 'NORMAL')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v_message_classifie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(ex.bucket,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classification,</w:t>
      </w:r>
      <w:r>
        <w:br/>
      </w:r>
      <w:r>
        <w:rPr>
          <w:rStyle w:val="NormalTok"/>
        </w:rPr>
        <w:t xml:space="preserve">       ex.raison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classification_raison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 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exception_route ex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ex.message_id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Vue agrégée mensuelle CEMAC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v_volumes_mensuels_cemac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strftime(</w:t>
      </w:r>
      <w:r>
        <w:rPr>
          <w:rStyle w:val="StringTok"/>
        </w:rPr>
        <w:t xml:space="preserve">'%Y-%m'</w:t>
      </w:r>
      <w:r>
        <w:rPr>
          <w:rStyle w:val="NormalTok"/>
        </w:rPr>
        <w:t xml:space="preserve">, m.date_reference)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mois,</w:t>
      </w:r>
      <w:r>
        <w:br/>
      </w:r>
      <w:r>
        <w:rPr>
          <w:rStyle w:val="NormalTok"/>
        </w:rPr>
        <w:t xml:space="preserve">       m.pays_iso3, m.devise, m.type_mt, m.direction,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nb,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(m.montant)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message m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pays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p.iso3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m.pays_iso3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p.est_membre_beac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mois, m.pays_iso3, m.devise, m.type_mt, m.direction;</w:t>
      </w:r>
    </w:p>
    <w:p>
      <w:r>
        <w:pict>
          <v:rect style="width:0;height:1.5pt" o:hralign="center" o:hrstd="t" o:hr="t"/>
        </w:pict>
      </w:r>
    </w:p>
    <w:bookmarkEnd w:id="48"/>
    <w:bookmarkStart w:id="49" w:name="sécurité-gouvernance"/>
    <w:p>
      <w:pPr>
        <w:pStyle w:val="Heading2"/>
      </w:pPr>
      <w:r>
        <w:t xml:space="preserve">8. Sécurité &amp; gouvernance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Stockage</w:t>
      </w:r>
      <w:r>
        <w:t xml:space="preserve"> </w:t>
      </w:r>
      <w:r>
        <w:t xml:space="preserve">: fichier</w:t>
      </w:r>
      <w:r>
        <w:t xml:space="preserve"> </w:t>
      </w:r>
      <w:r>
        <w:rPr>
          <w:rStyle w:val="VerbatimChar"/>
        </w:rPr>
        <w:t xml:space="preserve">.db</w:t>
      </w:r>
      <w:r>
        <w:t xml:space="preserve"> </w:t>
      </w:r>
      <w:r>
        <w:t xml:space="preserve">dans un dossier de données contrôlé</w:t>
      </w:r>
      <w:r>
        <w:t xml:space="preserve"> </w:t>
      </w:r>
      <w:r>
        <w:t xml:space="preserve">(ex :</w:t>
      </w:r>
      <w:r>
        <w:t xml:space="preserve"> </w:t>
      </w:r>
      <w:r>
        <w:rPr>
          <w:rStyle w:val="VerbatimChar"/>
        </w:rPr>
        <w:t xml:space="preserve">data/db/beac_swift_history.db</w:t>
      </w:r>
      <w:r>
        <w:t xml:space="preserve">). Hors versioning Git.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Sauvegarde</w:t>
      </w:r>
      <w:r>
        <w:t xml:space="preserve"> </w:t>
      </w:r>
      <w:r>
        <w:t xml:space="preserve">: copie quotidienne automatique en</w:t>
      </w:r>
      <w:r>
        <w:t xml:space="preserve"> </w:t>
      </w:r>
      <w:r>
        <w:rPr>
          <w:rStyle w:val="VerbatimChar"/>
        </w:rPr>
        <w:t xml:space="preserve">*.db.YYYYMMDD</w:t>
      </w:r>
      <w:r>
        <w:t xml:space="preserve">,</w:t>
      </w:r>
      <w:r>
        <w:t xml:space="preserve"> </w:t>
      </w:r>
      <w:r>
        <w:t xml:space="preserve">rétention 90 jours.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Chiffrement au repos</w:t>
      </w:r>
      <w:r>
        <w:t xml:space="preserve"> </w:t>
      </w:r>
      <w:r>
        <w:t xml:space="preserve">: envisager SQLCipher si les données sortent</w:t>
      </w:r>
      <w:r>
        <w:t xml:space="preserve"> </w:t>
      </w:r>
      <w:r>
        <w:t xml:space="preserve">du poste de travail BEAC.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Accès</w:t>
      </w:r>
      <w:r>
        <w:t xml:space="preserve"> </w:t>
      </w:r>
      <w:r>
        <w:t xml:space="preserve">: lecture seule pour la majorité des utilisateurs ; seul le</w:t>
      </w:r>
      <w:r>
        <w:t xml:space="preserve"> </w:t>
      </w:r>
      <w:r>
        <w:t xml:space="preserve">process Streamlit a le droit d’écrire (mode WAL recommandé).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RGPD/secret bancaire</w:t>
      </w:r>
      <w:r>
        <w:t xml:space="preserve"> </w:t>
      </w:r>
      <w:r>
        <w:t xml:space="preserve">: aucune donnée personnelle d’individu —</w:t>
      </w:r>
      <w:r>
        <w:t xml:space="preserve"> </w:t>
      </w:r>
      <w:r>
        <w:t xml:space="preserve">seulement BIC institutions et libellés métier. Pas de problème</w:t>
      </w:r>
      <w:r>
        <w:t xml:space="preserve"> </w:t>
      </w:r>
      <w:r>
        <w:t xml:space="preserve">conformité a priori.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Purge</w:t>
      </w:r>
      <w:r>
        <w:t xml:space="preserve"> </w:t>
      </w:r>
      <w:r>
        <w:t xml:space="preserve">: pas de suppression automatique. Archivage à 5 ans</w:t>
      </w:r>
      <w:r>
        <w:t xml:space="preserve"> </w:t>
      </w:r>
      <w:r>
        <w:t xml:space="preserve">(politique BEAC à valider).</w:t>
      </w:r>
    </w:p>
    <w:p>
      <w:r>
        <w:pict>
          <v:rect style="width:0;height:1.5pt" o:hralign="center" o:hrstd="t" o:hr="t"/>
        </w:pict>
      </w:r>
    </w:p>
    <w:bookmarkEnd w:id="49"/>
    <w:bookmarkStart w:id="50" w:name="plan-de-mise-en-œuvre-proposé"/>
    <w:p>
      <w:pPr>
        <w:pStyle w:val="Heading2"/>
      </w:pPr>
      <w:r>
        <w:t xml:space="preserve">9. Plan de mise en œuvre proposé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Livrable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 — Validation</w:t>
            </w:r>
          </w:p>
        </w:tc>
        <w:tc>
          <w:tcPr/>
          <w:p>
            <w:pPr>
              <w:pStyle w:val="Compact"/>
            </w:pPr>
            <w:r>
              <w:t xml:space="preserve">Ce document validé par le pôle métier + DSI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— Création schéma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  <w:r>
              <w:t xml:space="preserve"> </w:t>
            </w:r>
            <w:r>
              <w:rPr>
                <w:rStyle w:val="VerbatimChar"/>
              </w:rPr>
              <w:t xml:space="preserve">init_db.sql</w:t>
            </w:r>
            <w:r>
              <w:t xml:space="preserve"> </w:t>
            </w:r>
            <w:r>
              <w:t xml:space="preserve">+ chargement référentiels (pays, devises, BIC)</w:t>
            </w:r>
          </w:p>
        </w:tc>
        <w:tc>
          <w:tcPr/>
          <w:p>
            <w:pPr>
              <w:pStyle w:val="Compact"/>
            </w:pPr>
            <w:r>
              <w:t xml:space="preserve">1-2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— Hook d’écriture</w:t>
            </w:r>
          </w:p>
        </w:tc>
        <w:tc>
          <w:tcPr/>
          <w:p>
            <w:pPr>
              <w:pStyle w:val="Compact"/>
            </w:pPr>
            <w:r>
              <w:t xml:space="preserve">Modifier</w:t>
            </w:r>
            <w:r>
              <w:t xml:space="preserve"> </w:t>
            </w:r>
            <w:r>
              <w:rPr>
                <w:rStyle w:val="VerbatimChar"/>
              </w:rPr>
              <w:t xml:space="preserve">extractor_manager.py</w:t>
            </w:r>
            <w:r>
              <w:t xml:space="preserve"> </w:t>
            </w:r>
            <w:r>
              <w:t xml:space="preserve">pour insérer en fin de pipeline</w:t>
            </w:r>
          </w:p>
        </w:tc>
        <w:tc>
          <w:tcPr/>
          <w:p>
            <w:pPr>
              <w:pStyle w:val="Compact"/>
            </w:pPr>
            <w:r>
              <w:t xml:space="preserve">2-3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— Rétro-import</w:t>
            </w:r>
          </w:p>
        </w:tc>
        <w:tc>
          <w:tcPr/>
          <w:p>
            <w:pPr>
              <w:pStyle w:val="Compact"/>
            </w:pPr>
            <w:r>
              <w:t xml:space="preserve">Script</w:t>
            </w:r>
            <w:r>
              <w:t xml:space="preserve"> </w:t>
            </w:r>
            <w:r>
              <w:rPr>
                <w:rStyle w:val="VerbatimChar"/>
              </w:rPr>
              <w:t xml:space="preserve">import_legacy_excel.py</w:t>
            </w:r>
            <w:r>
              <w:t xml:space="preserve"> </w:t>
            </w:r>
            <w:r>
              <w:t xml:space="preserve">pour les archives existantes</w:t>
            </w:r>
          </w:p>
        </w:tc>
        <w:tc>
          <w:tcPr/>
          <w:p>
            <w:pPr>
              <w:pStyle w:val="Compact"/>
            </w:pPr>
            <w:r>
              <w:t xml:space="preserve">2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— Onglet Streamlit « Requêtes »</w:t>
            </w:r>
          </w:p>
        </w:tc>
        <w:tc>
          <w:tcPr/>
          <w:p>
            <w:pPr>
              <w:pStyle w:val="Compact"/>
            </w:pPr>
            <w:r>
              <w:t xml:space="preserve">UI minimale pour les 6 requêtes types</w:t>
            </w:r>
          </w:p>
        </w:tc>
        <w:tc>
          <w:tcPr/>
          <w:p>
            <w:pPr>
              <w:pStyle w:val="Compact"/>
            </w:pPr>
            <w:r>
              <w:t xml:space="preserve">2-3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 — Documentation utilisateur</w:t>
            </w:r>
          </w:p>
        </w:tc>
        <w:tc>
          <w:tcPr/>
          <w:p>
            <w:pPr>
              <w:pStyle w:val="Compact"/>
            </w:pPr>
            <w:r>
              <w:t xml:space="preserve">Annexe au GUIDE_UTILISATEUR.md</w:t>
            </w:r>
          </w:p>
        </w:tc>
        <w:tc>
          <w:tcPr/>
          <w:p>
            <w:pPr>
              <w:pStyle w:val="Compact"/>
            </w:pPr>
            <w:r>
              <w:t xml:space="preserve">1 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estimé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8-12 jours-homme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points-ouverts-à-arbitrer"/>
    <w:p>
      <w:pPr>
        <w:pStyle w:val="Heading2"/>
      </w:pPr>
      <w:r>
        <w:t xml:space="preserve">10. Points ouverts à arbitrer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Idempotence</w:t>
      </w:r>
      <w:r>
        <w:t xml:space="preserve"> </w:t>
      </w:r>
      <w:r>
        <w:t xml:space="preserve">: option A (refus) ou B (re-run autorisé) ?</w:t>
      </w:r>
      <w:r>
        <w:t xml:space="preserve"> </w:t>
      </w:r>
      <w:r>
        <w:rPr>
          <w:i/>
          <w:iCs/>
        </w:rPr>
        <w:t xml:space="preserve">Recommandation : 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Stockage du Excel original</w:t>
      </w:r>
      <w:r>
        <w:t xml:space="preserve"> </w:t>
      </w:r>
      <w:r>
        <w:t xml:space="preserve">en blob dans la BDD pour audit total ?</w:t>
      </w:r>
      <w:r>
        <w:t xml:space="preserve"> </w:t>
      </w:r>
      <w:r>
        <w:rPr>
          <w:i/>
          <w:iCs/>
        </w:rPr>
        <w:t xml:space="preserve">Recommandation : non, garder seulement le hash + chemin.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Multi-devises</w:t>
      </w:r>
      <w:r>
        <w:t xml:space="preserve"> </w:t>
      </w:r>
      <w:r>
        <w:t xml:space="preserve">: un seul total cross-devises est trompeur. Faut-il</w:t>
      </w:r>
      <w:r>
        <w:t xml:space="preserve"> </w:t>
      </w:r>
      <w:r>
        <w:t xml:space="preserve">stocker un montant converti en XAF (taux du jour) ?</w:t>
      </w:r>
      <w:r>
        <w:t xml:space="preserve"> </w:t>
      </w:r>
      <w:r>
        <w:rPr>
          <w:i/>
          <w:iCs/>
        </w:rPr>
        <w:t xml:space="preserve">À discuter avec le métier.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Nommage des buckets exception</w:t>
      </w:r>
      <w:r>
        <w:t xml:space="preserve"> </w:t>
      </w:r>
      <w:r>
        <w:t xml:space="preserve">: harmoniser avec les onglets Excel</w:t>
      </w:r>
      <w:r>
        <w:t xml:space="preserve"> </w:t>
      </w:r>
      <w:r>
        <w:t xml:space="preserve">actuels pour éviter les confusions.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Référentiel BIC</w:t>
      </w:r>
      <w:r>
        <w:t xml:space="preserve"> </w:t>
      </w:r>
      <w:r>
        <w:t xml:space="preserve">: snapshot à chaque run, ou table maître mise à</w:t>
      </w:r>
      <w:r>
        <w:t xml:space="preserve"> </w:t>
      </w:r>
      <w:r>
        <w:t xml:space="preserve">jour manuellement ?</w:t>
      </w:r>
      <w:r>
        <w:t xml:space="preserve"> </w:t>
      </w:r>
      <w:r>
        <w:rPr>
          <w:i/>
          <w:iCs/>
        </w:rPr>
        <w:t xml:space="preserve">Recommandation : table maître + colonne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snapshot_date</w:t>
      </w:r>
      <w:r>
        <w:rPr>
          <w:i/>
          <w:iCs/>
        </w:rPr>
        <w:t xml:space="preserve"> </w:t>
      </w:r>
      <w:r>
        <w:rPr>
          <w:i/>
          <w:iCs/>
        </w:rPr>
        <w:t xml:space="preserve">pour traçabilité.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de conception — non implémenté — à valider avant</w:t>
      </w:r>
      <w:r>
        <w:rPr>
          <w:i/>
          <w:iCs/>
        </w:rPr>
        <w:t xml:space="preserve"> </w:t>
      </w:r>
      <w:r>
        <w:rPr>
          <w:i/>
          <w:iCs/>
        </w:rPr>
        <w:t xml:space="preserve">développement.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2026-04-28T13:57:44Z</dcterms:created>
  <dcterms:modified xsi:type="dcterms:W3CDTF">2026-04-28T13:57:44Z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