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3FF8AD1" w14:textId="77777777" w:rsidR="0032767D" w:rsidRDefault="008D158B">
      <w:r>
        <w:rPr>
          <w:b/>
        </w:rPr>
        <w:t>Individual Contribution: Member 4</w:t>
      </w:r>
    </w:p>
    <w:p w14:paraId="5D7D637E" w14:textId="77777777" w:rsidR="0032767D" w:rsidRDefault="008D158B">
      <w:r>
        <w:rPr>
          <w:b/>
        </w:rPr>
        <w:t>10. 5G and Edge Computing</w:t>
      </w:r>
    </w:p>
    <w:p w14:paraId="2E5EC45F" w14:textId="77777777" w:rsidR="0032767D" w:rsidRDefault="008D158B">
      <w:r>
        <w:rPr>
          <w:b/>
        </w:rPr>
        <w:t>10.1 Technology Overview</w:t>
      </w:r>
    </w:p>
    <w:p w14:paraId="04A04410" w14:textId="77777777" w:rsidR="0032767D" w:rsidRDefault="008D158B">
      <w:r>
        <w:t>5G (Fifth Generation Mobile Network) is the latest generation of wireless communication technology, offering ultra-high data speeds (up to 10 Gbps), ultra-low latency (as</w:t>
      </w:r>
      <w:r>
        <w:t xml:space="preserve"> low as 1–10 milliseconds), and the ability to connect massive numbers of devices simultaneously. Unlike 4G networks, 5G supports enhanced Mobile Broadband (eMBB), Ultra-Reliable Low-Latency Communication (URLLC), and massive Machine-Type Communication (mM</w:t>
      </w:r>
      <w:r>
        <w:t>TC), making it suitable for smart infrastructure and real-time digital applications.</w:t>
      </w:r>
    </w:p>
    <w:p w14:paraId="135FBB3C" w14:textId="77777777" w:rsidR="0032767D" w:rsidRDefault="008D158B">
      <w:r>
        <w:t>Edge Computing refers to the decentralised processing of data closer to the source of data generation (e.g., on-campus servers or local edge nodes), rather than relying en</w:t>
      </w:r>
      <w:r>
        <w:t>tirely on distant cloud data centres. By processing data locally, edge computing reduces latency, enhances security, and improves reliability.</w:t>
      </w:r>
    </w:p>
    <w:p w14:paraId="5A9EA0B9" w14:textId="77777777" w:rsidR="0032767D" w:rsidRDefault="008D158B">
      <w:r>
        <w:t>Together, 5G and Edge Computing form a high-performance digital backbone that supports advanced applications such</w:t>
      </w:r>
      <w:r>
        <w:t xml:space="preserve"> as AI analytics, IoT sensor networks, immersive media (AR/VR), and real-time remote collaboration.</w:t>
      </w:r>
    </w:p>
    <w:p w14:paraId="1288AE54" w14:textId="77777777" w:rsidR="0032767D" w:rsidRDefault="008D158B">
      <w:r>
        <w:t>Under Singapore’s Smart Nation initiative, nationwide 5G standalone coverage has been substantially deployed, positioning educational institutions like Nany</w:t>
      </w:r>
      <w:r>
        <w:t>ang Polytechnic (NYP) to leverage high-speed connectivity for smart campus transformation. IMDA’s technology roadmap highlights 5G as a foundational enabler for digital infrastructure and next-generation services.</w:t>
      </w:r>
    </w:p>
    <w:p w14:paraId="20948D2E" w14:textId="77777777" w:rsidR="0032767D" w:rsidRDefault="008D158B">
      <w:r>
        <w:rPr>
          <w:b/>
        </w:rPr>
        <w:t>Figure 14: 5G and Edge Computing Architect</w:t>
      </w:r>
      <w:r>
        <w:rPr>
          <w:b/>
        </w:rPr>
        <w:t>ure for Smart Campus</w:t>
      </w:r>
    </w:p>
    <w:p w14:paraId="7DF8EE2E" w14:textId="77777777" w:rsidR="0032767D" w:rsidRDefault="008D158B">
      <w:r>
        <w:t>(Insert diagram showing 5G base station → edge server → IoT devices / classrooms / VR labs → cloud)</w:t>
      </w:r>
    </w:p>
    <w:p>
      <w:r>
        <w:rPr>
          <w:b/>
        </w:rPr>
        <w:t xml:space="preserve">10.1a Current Problems and Challenges Faced by NYP</w:t>
      </w:r>
    </w:p>
    <w:p>
      <w:r>
        <w:t xml:space="preserve">Nanyang Polytechnic, like many educational institutions in Singapore, faces several pressing challenges in the current digital landscape that emerging technologies could help address:</w:t>
      </w:r>
    </w:p>
    <w:p>
      <w:r>
        <w:rPr>
          <w:b/>
        </w:rPr>
        <w:t xml:space="preserve">Ageing Network Infrastructure</w:t>
      </w:r>
    </w:p>
    <w:p>
      <w:r>
        <w:t xml:space="preserve">NYP's existing campus Wi-Fi network faces increasing strain as student numbers grow and bandwidth-intensive applications (video conferencing, cloud-based labs, IoT devices) proliferate. During peak hours, network congestion leads to service degradation, affecting teaching quality and administrative efficiency.</w:t>
      </w:r>
    </w:p>
    <w:p>
      <w:r>
        <w:rPr>
          <w:b/>
        </w:rPr>
        <w:t xml:space="preserve">Limited Remote and Hybrid Learning Capabilities</w:t>
      </w:r>
    </w:p>
    <w:p>
      <w:r>
        <w:t xml:space="preserve">While the COVID-19 pandemic accelerated digital learning adoption, NYP's current infrastructure struggles to support high-quality hybrid learning at scale. Latency issues during live-streamed lectures, limited remote lab access, and inconsistent connectivity hinder the institution's ability to deliver seamless blended education.</w:t>
      </w:r>
    </w:p>
    <w:p>
      <w:r>
        <w:rPr>
          <w:b/>
        </w:rPr>
        <w:t xml:space="preserve">Rising Student Expectations for Digital Experiences</w:t>
      </w:r>
    </w:p>
    <w:p>
      <w:r>
        <w:t xml:space="preserve">Today's students expect immersive, technology-rich learning environments. NYP faces pressure to integrate AR/VR-based training, AI-driven personalised learning, and smart campus services. Without foundational infrastructure upgrades, these innovations remain difficult to implement reliably.</w:t>
      </w:r>
    </w:p>
    <w:p>
      <w:r>
        <w:rPr>
          <w:b/>
        </w:rPr>
        <w:t xml:space="preserve">Sustainability and Energy Efficiency Pressures</w:t>
      </w:r>
    </w:p>
    <w:p>
      <w:r>
        <w:t xml:space="preserve">Singapore's Green Plan 2030 sets ambitious sustainability targets. NYP must reduce its carbon footprint across campus operations, including energy-intensive data processing and facility management. Current centralised cloud-dependent approaches contribute to higher energy consumption compared to localised edge processing.</w:t>
      </w:r>
    </w:p>
    <w:p>
      <w:r>
        <w:rPr>
          <w:b/>
        </w:rPr>
        <w:t xml:space="preserve">Competitive Pressure from Other Institutions</w:t>
      </w:r>
    </w:p>
    <w:p>
      <w:r>
        <w:t xml:space="preserve">Other polytechnics and universities in Singapore (e.g., Singapore Polytechnic, NUS, NTU) are investing heavily in smart campus initiatives and 5G pilots. NYP risks falling behind in attracting top students and industry partnerships without comparable technology investments.</w:t>
      </w:r>
    </w:p>
    <w:p>
      <w:r>
        <w:t xml:space="preserve"/>
      </w:r>
    </w:p>
    <w:p>
      <w:r>
        <w:rPr>
          <w:b/>
        </w:rPr>
        <w:t xml:space="preserve">10.1b Market Size and Potential Revenue</w:t>
      </w:r>
    </w:p>
    <w:p>
      <w:r>
        <w:t xml:space="preserve">Understanding the market size and revenue potential of NYP helps contextualize the value that 5G and Edge Computing can bring to the institution.</w:t>
      </w:r>
    </w:p>
    <w:p>
      <w:r>
        <w:t xml:space="preserve">As a leading polytechnic in Singapore, NYP serves approximately 15,000 full-time students and thousands of Continuing Education and Training (CET) learners annually. The institution generates revenue from government funding, tuition fees, CET programmes, and industry partnerships.</w:t>
      </w:r>
    </w:p>
    <w:p>
      <w:r>
        <w:t xml:space="preserve">According to the Singapore Department of Statistics, the education sector contributed approximately S$16.8 billion to Singapore's GDP in 2023. Polytechnics collectively serve over 70,000 full-time students, representing a significant share of the tertiary education market.</w:t>
      </w:r>
    </w:p>
    <w:p>
      <w:r>
        <w:t xml:space="preserve">For NYP specifically, the potential revenue streams enhanced by 5G and Edge Computing include:</w:t>
      </w:r>
    </w:p>
    <w:p>
      <w:pPr>
        <w:pStyle w:val="ListBullet"/>
      </w:pPr>
      <w:r>
        <w:t xml:space="preserve">CET and SkillsFuture programmes: With growing demand for digital skills, NYP's CET enrolment in technology-related courses has been increasing. 5G-related training programmes could generate an estimated S$0.4–0.6 million annually.</w:t>
      </w:r>
    </w:p>
    <w:p>
      <w:pPr>
        <w:pStyle w:val="ListBullet"/>
      </w:pPr>
      <w:r>
        <w:t xml:space="preserve">Industry-sponsored research projects: 5G testbed partnerships with companies like Singtel, StarHub, and M1 could bring in S$0.5–1.0 million in applied research funding per year.</w:t>
      </w:r>
    </w:p>
    <w:p>
      <w:pPr>
        <w:pStyle w:val="ListBullet"/>
      </w:pPr>
      <w:r>
        <w:t xml:space="preserve">International programme expansion: Borderless learning enabled by 5G could attract 500–1,000 additional international CET learners, generating S$1.0–2.0 million in additional tuition revenue.</w:t>
      </w:r>
    </w:p>
    <w:p>
      <w:r>
        <w:t xml:space="preserve">The global edge computing market was valued at approximately US$61.14 billion in 2024 and is projected to reach US$232.87 billion by 2029, growing at a CAGR of 30.6% (Mordor Intelligence, 2024). Singapore's strategic investment in 5G infrastructure positions institutions like NYP to capitalise on this growth.</w:t>
      </w:r>
    </w:p>
    <w:p>
      <w:r>
        <w:t xml:space="preserve"/>
      </w:r>
    </w:p>
    <w:p w14:paraId="51D65E0F" w14:textId="77777777" w:rsidR="0032767D" w:rsidRDefault="008D158B">
      <w:r>
        <w:rPr>
          <w:b/>
        </w:rPr>
        <w:t>10.2 How 5G &amp; Edge Computing Can Improve NYP’s Business Processes</w:t>
      </w:r>
    </w:p>
    <w:p w14:paraId="27E34F53" w14:textId="77777777" w:rsidR="0032767D" w:rsidRDefault="008D158B">
      <w:r>
        <w:rPr>
          <w:b/>
        </w:rPr>
        <w:t>Figure 15: Real-Time Digital Learning and Smart Campus Network Flow</w:t>
      </w:r>
    </w:p>
    <w:p w14:paraId="5666EFE1" w14:textId="77777777" w:rsidR="0032767D" w:rsidRDefault="008D158B">
      <w:r>
        <w:t>5</w:t>
      </w:r>
      <w:r>
        <w:t>G and Edge Computing enhance NYP’s value chain across both primary and support activities.</w:t>
      </w:r>
    </w:p>
    <w:p w14:paraId="460D6494" w14:textId="77777777" w:rsidR="0032767D" w:rsidRDefault="008D158B">
      <w:r>
        <w:rPr>
          <w:b/>
        </w:rPr>
        <w:t>Teaching &amp; Learning (Primary Activity)</w:t>
      </w:r>
    </w:p>
    <w:p w14:paraId="0AD85371" w14:textId="77777777" w:rsidR="0032767D" w:rsidRDefault="008D158B">
      <w:r>
        <w:rPr>
          <w:b/>
        </w:rPr>
        <w:lastRenderedPageBreak/>
        <w:t>Real-Time Hybrid Learning</w:t>
      </w:r>
    </w:p>
    <w:p w14:paraId="2805C914" w14:textId="77777777" w:rsidR="0032767D" w:rsidRDefault="008D158B">
      <w:r>
        <w:t xml:space="preserve">5G enables seamless high-definition (4K/8K) live streaming of lectures with near-zero latency. This </w:t>
      </w:r>
      <w:r>
        <w:t>ensures stable hybrid classrooms where remote students experience minimal delay, improving inclusivity for:</w:t>
      </w:r>
    </w:p>
    <w:p w14:paraId="00FFD27F" w14:textId="77777777" w:rsidR="0032767D" w:rsidRDefault="008D158B">
      <w:pPr>
        <w:pStyle w:val="ListBullet"/>
      </w:pPr>
      <w:r>
        <w:t>Part-time learners</w:t>
      </w:r>
    </w:p>
    <w:p w14:paraId="713AF786" w14:textId="77777777" w:rsidR="0032767D" w:rsidRDefault="008D158B">
      <w:pPr>
        <w:pStyle w:val="ListBullet"/>
      </w:pPr>
      <w:r>
        <w:t>Continuing Education &amp; Training (CET) students</w:t>
      </w:r>
    </w:p>
    <w:p w14:paraId="7E36C205" w14:textId="77777777" w:rsidR="0032767D" w:rsidRDefault="008D158B">
      <w:pPr>
        <w:pStyle w:val="ListBullet"/>
      </w:pPr>
      <w:r>
        <w:t>International collaborative programmes</w:t>
      </w:r>
    </w:p>
    <w:p w14:paraId="15BE263E" w14:textId="77777777" w:rsidR="0032767D" w:rsidRDefault="008D158B">
      <w:r>
        <w:t xml:space="preserve">Edge servers located within campus process </w:t>
      </w:r>
      <w:r>
        <w:t>video streams locally before cloud distribution, reducing buffering and ensuring reliability during peak usage.</w:t>
      </w:r>
    </w:p>
    <w:p w14:paraId="3ACDC5B5" w14:textId="77777777" w:rsidR="0032767D" w:rsidRDefault="008D158B">
      <w:r>
        <w:rPr>
          <w:b/>
        </w:rPr>
        <w:t>Remote Smart Laboratories</w:t>
      </w:r>
    </w:p>
    <w:p w14:paraId="0326788A" w14:textId="77777777" w:rsidR="0032767D" w:rsidRDefault="008D158B">
      <w:r>
        <w:t>Many engineering, IT, and cybersecurity modules require access to physical lab equipment. With 5G’s low latency:</w:t>
      </w:r>
    </w:p>
    <w:p w14:paraId="75EAFA0E" w14:textId="77777777" w:rsidR="0032767D" w:rsidRDefault="008D158B">
      <w:pPr>
        <w:pStyle w:val="ListBullet"/>
      </w:pPr>
      <w:r>
        <w:t>Stude</w:t>
      </w:r>
      <w:r>
        <w:t>nts can remotely control robotics arms.</w:t>
      </w:r>
    </w:p>
    <w:p w14:paraId="5287E692" w14:textId="77777777" w:rsidR="0032767D" w:rsidRDefault="008D158B">
      <w:pPr>
        <w:pStyle w:val="ListBullet"/>
      </w:pPr>
      <w:r>
        <w:t>Network security simulations can run in real time.</w:t>
      </w:r>
    </w:p>
    <w:p w14:paraId="42A546C8" w14:textId="77777777" w:rsidR="0032767D" w:rsidRDefault="008D158B">
      <w:pPr>
        <w:pStyle w:val="ListBullet"/>
      </w:pPr>
      <w:r>
        <w:t>Embedded systems can be tested remotely.</w:t>
      </w:r>
    </w:p>
    <w:p w14:paraId="59993508" w14:textId="77777777" w:rsidR="0032767D" w:rsidRDefault="008D158B">
      <w:r>
        <w:t>Edge computing ensures that data from lab devices is processed locally for immediate feedback. This increases lab utilisatio</w:t>
      </w:r>
      <w:r>
        <w:t>n rates and enables extended access beyond physical campus hours.</w:t>
      </w:r>
    </w:p>
    <w:p w14:paraId="65944D98" w14:textId="77777777" w:rsidR="0032767D" w:rsidRDefault="008D158B">
      <w:r>
        <w:rPr>
          <w:b/>
        </w:rPr>
        <w:t>Immersive Media Integration (AR/VR)</w:t>
      </w:r>
    </w:p>
    <w:p w14:paraId="0571AA52" w14:textId="77777777" w:rsidR="0032767D" w:rsidRDefault="008D158B">
      <w:r>
        <w:t>5G significantly reduces motion lag in VR applications. This is critical in:</w:t>
      </w:r>
    </w:p>
    <w:p w14:paraId="749FC70E" w14:textId="77777777" w:rsidR="0032767D" w:rsidRDefault="008D158B">
      <w:pPr>
        <w:pStyle w:val="ListBullet"/>
      </w:pPr>
      <w:r>
        <w:t>Engineering simulations</w:t>
      </w:r>
    </w:p>
    <w:p w14:paraId="30A457ED" w14:textId="77777777" w:rsidR="0032767D" w:rsidRDefault="008D158B">
      <w:pPr>
        <w:pStyle w:val="ListBullet"/>
      </w:pPr>
      <w:r>
        <w:t>Healthcare training modules</w:t>
      </w:r>
    </w:p>
    <w:p w14:paraId="2BCDF20B" w14:textId="77777777" w:rsidR="0032767D" w:rsidRDefault="008D158B">
      <w:pPr>
        <w:pStyle w:val="ListBullet"/>
      </w:pPr>
      <w:r>
        <w:t xml:space="preserve">Virtual fieldwork </w:t>
      </w:r>
      <w:r>
        <w:t>experiences</w:t>
      </w:r>
    </w:p>
    <w:p w14:paraId="16CB6CC3" w14:textId="77777777" w:rsidR="0032767D" w:rsidRDefault="008D158B">
      <w:r>
        <w:t>Edge rendering reduces dependence on distant cloud processing, ensuring smooth and safe immersive learning experiences.</w:t>
      </w:r>
    </w:p>
    <w:p w14:paraId="15182360" w14:textId="77777777" w:rsidR="0032767D" w:rsidRDefault="008D158B">
      <w:r>
        <w:rPr>
          <w:b/>
        </w:rPr>
        <w:t>Campus Operations &amp; Facilities Management (Support Activity)</w:t>
      </w:r>
    </w:p>
    <w:p w14:paraId="5A11C5A2" w14:textId="77777777" w:rsidR="0032767D" w:rsidRDefault="008D158B">
      <w:r>
        <w:rPr>
          <w:b/>
        </w:rPr>
        <w:t>High-Density Device Connectivity</w:t>
      </w:r>
    </w:p>
    <w:p w14:paraId="76D7B4AF" w14:textId="77777777" w:rsidR="0032767D" w:rsidRDefault="008D158B">
      <w:r>
        <w:t>A typical smart campus may dep</w:t>
      </w:r>
      <w:r>
        <w:t>loy thousands of IoT devices. 5G supports up to 1 million devices per square kilometre, enabling:</w:t>
      </w:r>
    </w:p>
    <w:p w14:paraId="4C3B9FCD" w14:textId="77777777" w:rsidR="0032767D" w:rsidRDefault="008D158B">
      <w:pPr>
        <w:pStyle w:val="ListBullet"/>
      </w:pPr>
      <w:r>
        <w:lastRenderedPageBreak/>
        <w:t>Smart lighting systems</w:t>
      </w:r>
    </w:p>
    <w:p w14:paraId="266E49A0" w14:textId="77777777" w:rsidR="0032767D" w:rsidRDefault="008D158B">
      <w:pPr>
        <w:pStyle w:val="ListBullet"/>
      </w:pPr>
      <w:r>
        <w:t>Real-time environmental sensors</w:t>
      </w:r>
    </w:p>
    <w:p w14:paraId="700B43E8" w14:textId="77777777" w:rsidR="0032767D" w:rsidRDefault="008D158B">
      <w:pPr>
        <w:pStyle w:val="ListBullet"/>
      </w:pPr>
      <w:r>
        <w:t>Smart security cameras</w:t>
      </w:r>
    </w:p>
    <w:p w14:paraId="7B3911BD" w14:textId="77777777" w:rsidR="0032767D" w:rsidRDefault="008D158B">
      <w:pPr>
        <w:pStyle w:val="ListBullet"/>
      </w:pPr>
      <w:r>
        <w:t>Autonomous cleaning robots</w:t>
      </w:r>
    </w:p>
    <w:p w14:paraId="576A869B" w14:textId="77777777" w:rsidR="0032767D" w:rsidRDefault="008D158B">
      <w:r>
        <w:t>Edge nodes analyse sensor data locally, triggering in</w:t>
      </w:r>
      <w:r>
        <w:t>stant alerts (e.g., overheating equipment, overcrowding).</w:t>
      </w:r>
    </w:p>
    <w:p w14:paraId="2CBAC765" w14:textId="77777777" w:rsidR="0032767D" w:rsidRDefault="008D158B">
      <w:r>
        <w:rPr>
          <w:b/>
        </w:rPr>
        <w:t>Network Reliability and Business Continuity</w:t>
      </w:r>
    </w:p>
    <w:p w14:paraId="1480346D" w14:textId="77777777" w:rsidR="0032767D" w:rsidRDefault="008D158B">
      <w:r>
        <w:t>Compared to traditional Wi-Fi infrastructure, 5G offers:</w:t>
      </w:r>
    </w:p>
    <w:p w14:paraId="1567FF0F" w14:textId="77777777" w:rsidR="0032767D" w:rsidRDefault="008D158B">
      <w:pPr>
        <w:pStyle w:val="ListBullet"/>
      </w:pPr>
      <w:r>
        <w:t>Higher bandwidth capacity</w:t>
      </w:r>
    </w:p>
    <w:p w14:paraId="51B0A489" w14:textId="77777777" w:rsidR="0032767D" w:rsidRDefault="008D158B">
      <w:pPr>
        <w:pStyle w:val="ListBullet"/>
      </w:pPr>
      <w:r>
        <w:t>Reduced network congestion</w:t>
      </w:r>
    </w:p>
    <w:p w14:paraId="00A4FD8E" w14:textId="77777777" w:rsidR="0032767D" w:rsidRDefault="008D158B">
      <w:pPr>
        <w:pStyle w:val="ListBullet"/>
      </w:pPr>
      <w:r>
        <w:t>Improved redundancy</w:t>
      </w:r>
    </w:p>
    <w:p w14:paraId="549FE5A2" w14:textId="77777777" w:rsidR="0032767D" w:rsidRDefault="008D158B">
      <w:r>
        <w:t>This reduces downtime du</w:t>
      </w:r>
      <w:r>
        <w:t>ring examinations, online assessments, and major campus events.</w:t>
      </w:r>
    </w:p>
    <w:p w14:paraId="153968C6" w14:textId="77777777" w:rsidR="0032767D" w:rsidRDefault="008D158B">
      <w:r>
        <w:rPr>
          <w:b/>
        </w:rPr>
        <w:t>Industry Engagement &amp; Research</w:t>
      </w:r>
    </w:p>
    <w:p w14:paraId="5675289A" w14:textId="77777777" w:rsidR="0032767D" w:rsidRDefault="008D158B">
      <w:r>
        <w:t>5G testbeds can position NYP as a living innovation hub for:</w:t>
      </w:r>
    </w:p>
    <w:p w14:paraId="67A39062" w14:textId="77777777" w:rsidR="0032767D" w:rsidRDefault="008D158B">
      <w:pPr>
        <w:pStyle w:val="ListBullet"/>
      </w:pPr>
      <w:r>
        <w:t>Industry-sponsored 5G pilot projects</w:t>
      </w:r>
    </w:p>
    <w:p w14:paraId="08E6E3C9" w14:textId="77777777" w:rsidR="0032767D" w:rsidRDefault="008D158B">
      <w:pPr>
        <w:pStyle w:val="ListBullet"/>
      </w:pPr>
      <w:r>
        <w:t>Smart building experimentation</w:t>
      </w:r>
    </w:p>
    <w:p w14:paraId="1CBD43E1" w14:textId="77777777" w:rsidR="0032767D" w:rsidRDefault="008D158B">
      <w:pPr>
        <w:pStyle w:val="ListBullet"/>
      </w:pPr>
      <w:r>
        <w:t>Autonomous system research</w:t>
      </w:r>
    </w:p>
    <w:p w14:paraId="23E1C883" w14:textId="77777777" w:rsidR="0032767D" w:rsidRDefault="008D158B">
      <w:r>
        <w:t xml:space="preserve">This </w:t>
      </w:r>
      <w:r>
        <w:t>strengthens collaboration with technology firms and increases applied research funding opportunities.</w:t>
      </w:r>
    </w:p>
    <w:p w14:paraId="27D5FECA" w14:textId="77777777" w:rsidR="0032767D" w:rsidRDefault="008D158B">
      <w:r>
        <w:rPr>
          <w:b/>
        </w:rPr>
        <w:t>10.3 Disruption to the Digital Economy and Future Markets</w:t>
      </w:r>
    </w:p>
    <w:p w14:paraId="579C63DF" w14:textId="77777777" w:rsidR="0032767D" w:rsidRDefault="008D158B">
      <w:r>
        <w:t>5G and Edge Computing represent infrastructure-level disruption that transforms education delive</w:t>
      </w:r>
      <w:r>
        <w:t>ry models.</w:t>
      </w:r>
    </w:p>
    <w:p w14:paraId="25B04FB5" w14:textId="77777777" w:rsidR="0032767D" w:rsidRDefault="008D158B">
      <w:r>
        <w:rPr>
          <w:b/>
        </w:rPr>
        <w:t>Borderless Polytechnic Model</w:t>
      </w:r>
    </w:p>
    <w:p w14:paraId="77EEA998" w14:textId="77777777" w:rsidR="0032767D" w:rsidRDefault="008D158B">
      <w:r>
        <w:t>Ultra-low latency enables:</w:t>
      </w:r>
    </w:p>
    <w:p w14:paraId="19ED1A11" w14:textId="77777777" w:rsidR="0032767D" w:rsidRDefault="008D158B">
      <w:pPr>
        <w:pStyle w:val="ListBullet"/>
      </w:pPr>
      <w:r>
        <w:t>Cross-border joint lectures</w:t>
      </w:r>
    </w:p>
    <w:p w14:paraId="380DBCBE" w14:textId="77777777" w:rsidR="0032767D" w:rsidRDefault="008D158B">
      <w:pPr>
        <w:pStyle w:val="ListBullet"/>
      </w:pPr>
      <w:r>
        <w:t>Virtual exchange programmes</w:t>
      </w:r>
    </w:p>
    <w:p w14:paraId="020E9234" w14:textId="77777777" w:rsidR="0032767D" w:rsidRDefault="008D158B">
      <w:pPr>
        <w:pStyle w:val="ListBullet"/>
      </w:pPr>
      <w:r>
        <w:t>International collaborative labs</w:t>
      </w:r>
    </w:p>
    <w:p w14:paraId="040B8BD1" w14:textId="77777777" w:rsidR="0032767D" w:rsidRDefault="008D158B">
      <w:r>
        <w:lastRenderedPageBreak/>
        <w:t>NYP can expand digital programmes without proportional physical expansion, increasing scalability.</w:t>
      </w:r>
    </w:p>
    <w:p w14:paraId="49FF89E0" w14:textId="77777777" w:rsidR="0032767D" w:rsidRDefault="008D158B">
      <w:r>
        <w:rPr>
          <w:b/>
        </w:rPr>
        <w:t>Convergence with AI and IoT</w:t>
      </w:r>
    </w:p>
    <w:p w14:paraId="6B5922A4" w14:textId="77777777" w:rsidR="0032767D" w:rsidRDefault="008D158B">
      <w:r>
        <w:t>5G + Edge + AI allows:</w:t>
      </w:r>
    </w:p>
    <w:p w14:paraId="5592DB0C" w14:textId="77777777" w:rsidR="0032767D" w:rsidRDefault="008D158B">
      <w:pPr>
        <w:pStyle w:val="ListBullet"/>
      </w:pPr>
      <w:r>
        <w:t>Real-time student performance analytics</w:t>
      </w:r>
    </w:p>
    <w:p w14:paraId="7DEA43BB" w14:textId="77777777" w:rsidR="0032767D" w:rsidRDefault="008D158B">
      <w:pPr>
        <w:pStyle w:val="ListBullet"/>
      </w:pPr>
      <w:r>
        <w:t>Instant facility optimisation</w:t>
      </w:r>
    </w:p>
    <w:p w14:paraId="1F355E1D" w14:textId="77777777" w:rsidR="0032767D" w:rsidRDefault="008D158B">
      <w:pPr>
        <w:pStyle w:val="ListBullet"/>
      </w:pPr>
      <w:r>
        <w:t>Autonomous campus systems</w:t>
      </w:r>
    </w:p>
    <w:p w14:paraId="5D6837B4" w14:textId="77777777" w:rsidR="0032767D" w:rsidRDefault="008D158B">
      <w:r>
        <w:t>This convergence aligns with projected trends in hyperconnected smart environments.</w:t>
      </w:r>
    </w:p>
    <w:p w14:paraId="022DE4F0" w14:textId="77777777" w:rsidR="0032767D" w:rsidRDefault="008D158B">
      <w:r>
        <w:rPr>
          <w:b/>
        </w:rPr>
        <w:t xml:space="preserve">Growth of EdTech &amp; Smart </w:t>
      </w:r>
      <w:r>
        <w:rPr>
          <w:b/>
        </w:rPr>
        <w:t>Infrastructure Markets</w:t>
      </w:r>
    </w:p>
    <w:p w14:paraId="35B477EC" w14:textId="77777777" w:rsidR="0032767D" w:rsidRDefault="008D158B">
      <w:r>
        <w:t>The global 5G services market continues expanding rapidly, and Singapore’s nationwide 5G deployment supports enterprise-level innovation. For NYP:</w:t>
      </w:r>
    </w:p>
    <w:p w14:paraId="67695D12" w14:textId="77777777" w:rsidR="0032767D" w:rsidRDefault="008D158B">
      <w:pPr>
        <w:pStyle w:val="ListBullet"/>
      </w:pPr>
      <w:r>
        <w:t>New diploma modules in 5G network engineering</w:t>
      </w:r>
    </w:p>
    <w:p w14:paraId="50245F31" w14:textId="77777777" w:rsidR="0032767D" w:rsidRDefault="008D158B">
      <w:pPr>
        <w:pStyle w:val="ListBullet"/>
      </w:pPr>
      <w:r>
        <w:t>Specialist CET programmes in edge comput</w:t>
      </w:r>
      <w:r>
        <w:t>ing</w:t>
      </w:r>
    </w:p>
    <w:p w14:paraId="1E64CAF9" w14:textId="77777777" w:rsidR="0032767D" w:rsidRDefault="008D158B">
      <w:pPr>
        <w:pStyle w:val="ListBullet"/>
      </w:pPr>
      <w:r>
        <w:t>Corporate training partnerships</w:t>
      </w:r>
    </w:p>
    <w:p w14:paraId="1BCB62B7" w14:textId="77777777" w:rsidR="0032767D" w:rsidRDefault="008D158B">
      <w:r>
        <w:t>A single CET programme with 200 participants annually at S$2,000 per participant could generate approximately S$0.4M per year.</w:t>
      </w:r>
    </w:p>
    <w:p w14:paraId="6496B90E" w14:textId="77777777" w:rsidR="0032767D" w:rsidRDefault="008D158B">
      <w:r>
        <w:rPr>
          <w:b/>
        </w:rPr>
        <w:t>Sustainability and Energy Optimisation</w:t>
      </w:r>
    </w:p>
    <w:p w14:paraId="05463F3B" w14:textId="6D529B11" w:rsidR="0032767D" w:rsidRDefault="008D158B">
      <w:r>
        <w:t xml:space="preserve">Edge-based data processing reduces cloud transmission </w:t>
      </w:r>
      <w:r>
        <w:t>loads, lowering overall energy consumption. Combined with IoT systems, this supports Singapore’s Green Plan 2030 sustainability goals.</w:t>
      </w:r>
    </w:p>
    <w:p w14:paraId="72F4788C" w14:textId="77777777" w:rsidR="0032767D" w:rsidRDefault="008D158B">
      <w:r>
        <w:rPr>
          <w:b/>
        </w:rPr>
        <w:lastRenderedPageBreak/>
        <w:t>10.4 Impacts, Benefits, and Cost Analysis</w:t>
      </w:r>
    </w:p>
    <w:p w14:paraId="27C182F4" w14:textId="77777777" w:rsidR="0032767D" w:rsidRDefault="008D158B">
      <w:r>
        <w:rPr>
          <w:b/>
        </w:rPr>
        <w:t>Table 11: 5G &amp; Edge Benefits and Impact Assessment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27"/>
        <w:gridCol w:w="3094"/>
        <w:gridCol w:w="2629"/>
      </w:tblGrid>
      <w:tr w:rsidR="00F23B23" w:rsidRPr="00F23B23" w14:paraId="3C2A30AB" w14:textId="77777777" w:rsidTr="00F23B23">
        <w:trPr>
          <w:tblHeader/>
          <w:tblCellSpacing w:w="15" w:type="dxa"/>
        </w:trPr>
        <w:tc>
          <w:tcPr>
            <w:tcW w:w="0" w:type="auto"/>
            <w:vAlign w:val="center"/>
            <w:hideMark/>
          </w:tcPr>
          <w:p w14:paraId="4134F9C5" w14:textId="77777777" w:rsidR="00F23B23" w:rsidRPr="00F23B23" w:rsidRDefault="00F23B23" w:rsidP="00F23B23">
            <w:pPr>
              <w:rPr>
                <w:b/>
                <w:bCs/>
              </w:rPr>
            </w:pPr>
            <w:r w:rsidRPr="00F23B23">
              <w:rPr>
                <w:b/>
                <w:bCs/>
              </w:rPr>
              <w:t>Benefit</w:t>
            </w:r>
          </w:p>
        </w:tc>
        <w:tc>
          <w:tcPr>
            <w:tcW w:w="0" w:type="auto"/>
            <w:vAlign w:val="center"/>
            <w:hideMark/>
          </w:tcPr>
          <w:p w14:paraId="285ECC17" w14:textId="77777777" w:rsidR="00F23B23" w:rsidRPr="00F23B23" w:rsidRDefault="00F23B23" w:rsidP="00F23B23">
            <w:pPr>
              <w:rPr>
                <w:b/>
                <w:bCs/>
              </w:rPr>
            </w:pPr>
            <w:r w:rsidRPr="00F23B23">
              <w:rPr>
                <w:b/>
                <w:bCs/>
              </w:rPr>
              <w:t>Quantified Impact</w:t>
            </w:r>
          </w:p>
        </w:tc>
        <w:tc>
          <w:tcPr>
            <w:tcW w:w="0" w:type="auto"/>
            <w:vAlign w:val="center"/>
            <w:hideMark/>
          </w:tcPr>
          <w:p w14:paraId="57C859CF" w14:textId="77777777" w:rsidR="00F23B23" w:rsidRPr="00F23B23" w:rsidRDefault="00F23B23" w:rsidP="00F23B23">
            <w:pPr>
              <w:rPr>
                <w:b/>
                <w:bCs/>
              </w:rPr>
            </w:pPr>
            <w:r w:rsidRPr="00F23B23">
              <w:rPr>
                <w:b/>
                <w:bCs/>
              </w:rPr>
              <w:t>Affected Value Chain Activity</w:t>
            </w:r>
          </w:p>
        </w:tc>
      </w:tr>
      <w:tr w:rsidR="00F23B23" w:rsidRPr="00F23B23" w14:paraId="05B2F543" w14:textId="77777777" w:rsidTr="00F23B23">
        <w:trPr>
          <w:tblCellSpacing w:w="15" w:type="dxa"/>
        </w:trPr>
        <w:tc>
          <w:tcPr>
            <w:tcW w:w="0" w:type="auto"/>
            <w:vAlign w:val="center"/>
            <w:hideMark/>
          </w:tcPr>
          <w:p w14:paraId="3999DB20" w14:textId="77777777" w:rsidR="00F23B23" w:rsidRPr="00F23B23" w:rsidRDefault="00F23B23" w:rsidP="00F23B23">
            <w:r w:rsidRPr="00F23B23">
              <w:t>Improved hybrid learning reliability</w:t>
            </w:r>
          </w:p>
        </w:tc>
        <w:tc>
          <w:tcPr>
            <w:tcW w:w="0" w:type="auto"/>
            <w:vAlign w:val="center"/>
            <w:hideMark/>
          </w:tcPr>
          <w:p w14:paraId="5E782DA5" w14:textId="77777777" w:rsidR="00F23B23" w:rsidRPr="00F23B23" w:rsidRDefault="00F23B23" w:rsidP="00F23B23">
            <w:r w:rsidRPr="00F23B23">
              <w:t>Reduced latency to &lt;10ms</w:t>
            </w:r>
          </w:p>
        </w:tc>
        <w:tc>
          <w:tcPr>
            <w:tcW w:w="0" w:type="auto"/>
            <w:vAlign w:val="center"/>
            <w:hideMark/>
          </w:tcPr>
          <w:p w14:paraId="437BF6AC" w14:textId="77777777" w:rsidR="00F23B23" w:rsidRPr="00F23B23" w:rsidRDefault="00F23B23" w:rsidP="00F23B23">
            <w:r w:rsidRPr="00F23B23">
              <w:t>Teaching &amp; Learning</w:t>
            </w:r>
          </w:p>
        </w:tc>
      </w:tr>
      <w:tr w:rsidR="00F23B23" w:rsidRPr="00F23B23" w14:paraId="65A389CF" w14:textId="77777777" w:rsidTr="00F23B23">
        <w:trPr>
          <w:tblCellSpacing w:w="15" w:type="dxa"/>
        </w:trPr>
        <w:tc>
          <w:tcPr>
            <w:tcW w:w="0" w:type="auto"/>
            <w:vAlign w:val="center"/>
            <w:hideMark/>
          </w:tcPr>
          <w:p w14:paraId="3D77B779" w14:textId="77777777" w:rsidR="00F23B23" w:rsidRPr="00F23B23" w:rsidRDefault="00F23B23" w:rsidP="00F23B23">
            <w:r w:rsidRPr="00F23B23">
              <w:t xml:space="preserve">Increased lab </w:t>
            </w:r>
            <w:proofErr w:type="spellStart"/>
            <w:r w:rsidRPr="00F23B23">
              <w:t>utilisation</w:t>
            </w:r>
            <w:proofErr w:type="spellEnd"/>
          </w:p>
        </w:tc>
        <w:tc>
          <w:tcPr>
            <w:tcW w:w="0" w:type="auto"/>
            <w:vAlign w:val="center"/>
            <w:hideMark/>
          </w:tcPr>
          <w:p w14:paraId="34C67646" w14:textId="77777777" w:rsidR="00F23B23" w:rsidRPr="00F23B23" w:rsidRDefault="00F23B23" w:rsidP="00F23B23">
            <w:r w:rsidRPr="00F23B23">
              <w:t>20–30% extended access hours</w:t>
            </w:r>
          </w:p>
        </w:tc>
        <w:tc>
          <w:tcPr>
            <w:tcW w:w="0" w:type="auto"/>
            <w:vAlign w:val="center"/>
            <w:hideMark/>
          </w:tcPr>
          <w:p w14:paraId="3CB422B0" w14:textId="77777777" w:rsidR="00F23B23" w:rsidRPr="00F23B23" w:rsidRDefault="00F23B23" w:rsidP="00F23B23">
            <w:r w:rsidRPr="00F23B23">
              <w:t>Teaching &amp; Learning</w:t>
            </w:r>
          </w:p>
        </w:tc>
      </w:tr>
      <w:tr w:rsidR="00F23B23" w:rsidRPr="00F23B23" w14:paraId="7E252115" w14:textId="77777777" w:rsidTr="00F23B23">
        <w:trPr>
          <w:tblCellSpacing w:w="15" w:type="dxa"/>
        </w:trPr>
        <w:tc>
          <w:tcPr>
            <w:tcW w:w="0" w:type="auto"/>
            <w:vAlign w:val="center"/>
            <w:hideMark/>
          </w:tcPr>
          <w:p w14:paraId="4DEABC2A" w14:textId="77777777" w:rsidR="00F23B23" w:rsidRPr="00F23B23" w:rsidRDefault="00F23B23" w:rsidP="00F23B23">
            <w:r w:rsidRPr="00F23B23">
              <w:t>Reduced network downtime</w:t>
            </w:r>
          </w:p>
        </w:tc>
        <w:tc>
          <w:tcPr>
            <w:tcW w:w="0" w:type="auto"/>
            <w:vAlign w:val="center"/>
            <w:hideMark/>
          </w:tcPr>
          <w:p w14:paraId="41417BA9" w14:textId="77777777" w:rsidR="00F23B23" w:rsidRPr="00F23B23" w:rsidRDefault="00F23B23" w:rsidP="00F23B23">
            <w:r w:rsidRPr="00F23B23">
              <w:t>30–40% fewer service interruptions</w:t>
            </w:r>
          </w:p>
        </w:tc>
        <w:tc>
          <w:tcPr>
            <w:tcW w:w="0" w:type="auto"/>
            <w:vAlign w:val="center"/>
            <w:hideMark/>
          </w:tcPr>
          <w:p w14:paraId="0831EB86" w14:textId="77777777" w:rsidR="00F23B23" w:rsidRPr="00F23B23" w:rsidRDefault="00F23B23" w:rsidP="00F23B23">
            <w:r w:rsidRPr="00F23B23">
              <w:t>Campus Operations</w:t>
            </w:r>
          </w:p>
        </w:tc>
      </w:tr>
      <w:tr w:rsidR="00F23B23" w:rsidRPr="00F23B23" w14:paraId="1DCF833B" w14:textId="77777777" w:rsidTr="00F23B23">
        <w:trPr>
          <w:tblCellSpacing w:w="15" w:type="dxa"/>
        </w:trPr>
        <w:tc>
          <w:tcPr>
            <w:tcW w:w="0" w:type="auto"/>
            <w:vAlign w:val="center"/>
            <w:hideMark/>
          </w:tcPr>
          <w:p w14:paraId="717325AD" w14:textId="77777777" w:rsidR="00F23B23" w:rsidRPr="00F23B23" w:rsidRDefault="00F23B23" w:rsidP="00F23B23">
            <w:r w:rsidRPr="00F23B23">
              <w:t xml:space="preserve">New CET </w:t>
            </w:r>
            <w:proofErr w:type="spellStart"/>
            <w:r w:rsidRPr="00F23B23">
              <w:t>programme</w:t>
            </w:r>
            <w:proofErr w:type="spellEnd"/>
            <w:r w:rsidRPr="00F23B23">
              <w:t xml:space="preserve"> revenue</w:t>
            </w:r>
          </w:p>
        </w:tc>
        <w:tc>
          <w:tcPr>
            <w:tcW w:w="0" w:type="auto"/>
            <w:vAlign w:val="center"/>
            <w:hideMark/>
          </w:tcPr>
          <w:p w14:paraId="69795236" w14:textId="77777777" w:rsidR="00F23B23" w:rsidRPr="00F23B23" w:rsidRDefault="00F23B23" w:rsidP="00F23B23">
            <w:r w:rsidRPr="00F23B23">
              <w:t>Est. S$0.4–0.6M annually</w:t>
            </w:r>
          </w:p>
        </w:tc>
        <w:tc>
          <w:tcPr>
            <w:tcW w:w="0" w:type="auto"/>
            <w:vAlign w:val="center"/>
            <w:hideMark/>
          </w:tcPr>
          <w:p w14:paraId="6E53BEE7" w14:textId="77777777" w:rsidR="00F23B23" w:rsidRPr="00F23B23" w:rsidRDefault="00F23B23" w:rsidP="00F23B23">
            <w:r w:rsidRPr="00F23B23">
              <w:t>Industry Engagement</w:t>
            </w:r>
          </w:p>
        </w:tc>
      </w:tr>
      <w:tr w:rsidR="00F23B23" w:rsidRPr="00F23B23" w14:paraId="1F707218" w14:textId="77777777" w:rsidTr="00F23B23">
        <w:trPr>
          <w:tblCellSpacing w:w="15" w:type="dxa"/>
        </w:trPr>
        <w:tc>
          <w:tcPr>
            <w:tcW w:w="0" w:type="auto"/>
            <w:vAlign w:val="center"/>
            <w:hideMark/>
          </w:tcPr>
          <w:p w14:paraId="3CEA23B5" w14:textId="77777777" w:rsidR="00F23B23" w:rsidRPr="00F23B23" w:rsidRDefault="00F23B23" w:rsidP="00F23B23">
            <w:r w:rsidRPr="00F23B23">
              <w:t>Enhanced research funding</w:t>
            </w:r>
          </w:p>
        </w:tc>
        <w:tc>
          <w:tcPr>
            <w:tcW w:w="0" w:type="auto"/>
            <w:vAlign w:val="center"/>
            <w:hideMark/>
          </w:tcPr>
          <w:p w14:paraId="7D68B636" w14:textId="77777777" w:rsidR="00F23B23" w:rsidRPr="00F23B23" w:rsidRDefault="00F23B23" w:rsidP="00F23B23">
            <w:r w:rsidRPr="00F23B23">
              <w:t>Increased industry collaborations</w:t>
            </w:r>
          </w:p>
        </w:tc>
        <w:tc>
          <w:tcPr>
            <w:tcW w:w="0" w:type="auto"/>
            <w:vAlign w:val="center"/>
            <w:hideMark/>
          </w:tcPr>
          <w:p w14:paraId="35231F31" w14:textId="77777777" w:rsidR="00F23B23" w:rsidRPr="00F23B23" w:rsidRDefault="00F23B23" w:rsidP="00F23B23">
            <w:r w:rsidRPr="00F23B23">
              <w:t>Industry Engagement</w:t>
            </w:r>
          </w:p>
        </w:tc>
      </w:tr>
    </w:tbl>
    <w:p w14:paraId="1E1A039A" w14:textId="77777777" w:rsidR="0032767D" w:rsidRDefault="008D158B">
      <w:r>
        <w:rPr>
          <w:b/>
        </w:rPr>
        <w:t>B</w:t>
      </w:r>
      <w:r>
        <w:rPr>
          <w:b/>
        </w:rPr>
        <w:t>enefits to Students (Customers)</w:t>
      </w:r>
    </w:p>
    <w:p w14:paraId="6708F340" w14:textId="77777777" w:rsidR="0032767D" w:rsidRDefault="008D158B">
      <w:pPr>
        <w:pStyle w:val="ListBullet"/>
      </w:pPr>
      <w:r>
        <w:t>Seamless hybrid learning experience</w:t>
      </w:r>
    </w:p>
    <w:p w14:paraId="5D68C2F4" w14:textId="77777777" w:rsidR="0032767D" w:rsidRDefault="008D158B">
      <w:pPr>
        <w:pStyle w:val="ListBullet"/>
      </w:pPr>
      <w:r>
        <w:t>Access to remote labs beyond campus hours</w:t>
      </w:r>
    </w:p>
    <w:p w14:paraId="170BE947" w14:textId="77777777" w:rsidR="0032767D" w:rsidRDefault="008D158B">
      <w:pPr>
        <w:pStyle w:val="ListBullet"/>
      </w:pPr>
      <w:r>
        <w:t>Exposure to cutting-edg</w:t>
      </w:r>
      <w:r>
        <w:t>e 5G and edge technologies</w:t>
      </w:r>
    </w:p>
    <w:p w14:paraId="3F010C14" w14:textId="77777777" w:rsidR="0032767D" w:rsidRDefault="008D158B">
      <w:pPr>
        <w:pStyle w:val="ListBullet"/>
      </w:pPr>
      <w:r>
        <w:t>Improved employability in telecom, cloud computing, and smart infrastructure sectors</w:t>
      </w:r>
    </w:p>
    <w:p w14:paraId="26393974" w14:textId="77777777" w:rsidR="0032767D" w:rsidRDefault="008D158B">
      <w:r>
        <w:rPr>
          <w:b/>
        </w:rPr>
        <w:t>Table 12: 5G &amp; Edge Cost Analysis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71"/>
        <w:gridCol w:w="2407"/>
        <w:gridCol w:w="1034"/>
      </w:tblGrid>
      <w:tr w:rsidR="00F23B23" w:rsidRPr="00F23B23" w14:paraId="408666D2" w14:textId="77777777" w:rsidTr="00F23B23">
        <w:trPr>
          <w:tblHeader/>
          <w:tblCellSpacing w:w="15" w:type="dxa"/>
        </w:trPr>
        <w:tc>
          <w:tcPr>
            <w:tcW w:w="0" w:type="auto"/>
            <w:vAlign w:val="center"/>
            <w:hideMark/>
          </w:tcPr>
          <w:p w14:paraId="1DBCB420" w14:textId="77777777" w:rsidR="00F23B23" w:rsidRPr="00F23B23" w:rsidRDefault="00F23B23" w:rsidP="00F23B23">
            <w:pPr>
              <w:spacing w:after="0" w:line="240" w:lineRule="auto"/>
              <w:jc w:val="center"/>
              <w:rPr>
                <w:rFonts w:eastAsia="Times New Roman" w:cs="Times New Roman"/>
                <w:b/>
                <w:bCs/>
                <w:szCs w:val="24"/>
              </w:rPr>
            </w:pPr>
            <w:r w:rsidRPr="00F23B23">
              <w:rPr>
                <w:rFonts w:eastAsia="Times New Roman" w:cs="Times New Roman"/>
                <w:b/>
                <w:bCs/>
                <w:szCs w:val="24"/>
              </w:rPr>
              <w:t>Cost Item</w:t>
            </w:r>
          </w:p>
        </w:tc>
        <w:tc>
          <w:tcPr>
            <w:tcW w:w="0" w:type="auto"/>
            <w:vAlign w:val="center"/>
            <w:hideMark/>
          </w:tcPr>
          <w:p w14:paraId="6B56F348" w14:textId="77777777" w:rsidR="00F23B23" w:rsidRPr="00F23B23" w:rsidRDefault="00F23B23" w:rsidP="00F23B23">
            <w:pPr>
              <w:spacing w:after="0" w:line="240" w:lineRule="auto"/>
              <w:jc w:val="center"/>
              <w:rPr>
                <w:rFonts w:eastAsia="Times New Roman" w:cs="Times New Roman"/>
                <w:b/>
                <w:bCs/>
                <w:szCs w:val="24"/>
              </w:rPr>
            </w:pPr>
            <w:r w:rsidRPr="00F23B23">
              <w:rPr>
                <w:rFonts w:eastAsia="Times New Roman" w:cs="Times New Roman"/>
                <w:b/>
                <w:bCs/>
                <w:szCs w:val="24"/>
              </w:rPr>
              <w:t>Estimated Cost (S$)</w:t>
            </w:r>
          </w:p>
        </w:tc>
        <w:tc>
          <w:tcPr>
            <w:tcW w:w="0" w:type="auto"/>
            <w:vAlign w:val="center"/>
            <w:hideMark/>
          </w:tcPr>
          <w:p w14:paraId="01C01230" w14:textId="77777777" w:rsidR="00F23B23" w:rsidRPr="00F23B23" w:rsidRDefault="00F23B23" w:rsidP="00F23B23">
            <w:pPr>
              <w:spacing w:after="0" w:line="240" w:lineRule="auto"/>
              <w:jc w:val="center"/>
              <w:rPr>
                <w:rFonts w:eastAsia="Times New Roman" w:cs="Times New Roman"/>
                <w:b/>
                <w:bCs/>
                <w:szCs w:val="24"/>
              </w:rPr>
            </w:pPr>
            <w:r w:rsidRPr="00F23B23">
              <w:rPr>
                <w:rFonts w:eastAsia="Times New Roman" w:cs="Times New Roman"/>
                <w:b/>
                <w:bCs/>
                <w:szCs w:val="24"/>
              </w:rPr>
              <w:t>Category</w:t>
            </w:r>
          </w:p>
        </w:tc>
      </w:tr>
      <w:tr w:rsidR="00F23B23" w:rsidRPr="00F23B23" w14:paraId="198B2252" w14:textId="77777777" w:rsidTr="00F23B23">
        <w:trPr>
          <w:tblCellSpacing w:w="15" w:type="dxa"/>
        </w:trPr>
        <w:tc>
          <w:tcPr>
            <w:tcW w:w="0" w:type="auto"/>
            <w:vAlign w:val="center"/>
            <w:hideMark/>
          </w:tcPr>
          <w:p w14:paraId="7F2366A5"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szCs w:val="24"/>
              </w:rPr>
              <w:t>5G small-cell deployment (campus-wide)</w:t>
            </w:r>
          </w:p>
        </w:tc>
        <w:tc>
          <w:tcPr>
            <w:tcW w:w="0" w:type="auto"/>
            <w:vAlign w:val="center"/>
            <w:hideMark/>
          </w:tcPr>
          <w:p w14:paraId="0C25CF6A"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szCs w:val="24"/>
              </w:rPr>
              <w:t>400,000 – 800,000</w:t>
            </w:r>
          </w:p>
        </w:tc>
        <w:tc>
          <w:tcPr>
            <w:tcW w:w="0" w:type="auto"/>
            <w:vAlign w:val="center"/>
            <w:hideMark/>
          </w:tcPr>
          <w:p w14:paraId="2192D892"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szCs w:val="24"/>
              </w:rPr>
              <w:t>Capital</w:t>
            </w:r>
          </w:p>
        </w:tc>
      </w:tr>
      <w:tr w:rsidR="00F23B23" w:rsidRPr="00F23B23" w14:paraId="283772D8" w14:textId="77777777" w:rsidTr="00F23B23">
        <w:trPr>
          <w:tblCellSpacing w:w="15" w:type="dxa"/>
        </w:trPr>
        <w:tc>
          <w:tcPr>
            <w:tcW w:w="0" w:type="auto"/>
            <w:vAlign w:val="center"/>
            <w:hideMark/>
          </w:tcPr>
          <w:p w14:paraId="09B06FFF"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szCs w:val="24"/>
              </w:rPr>
              <w:t>Edge server infrastructure</w:t>
            </w:r>
          </w:p>
        </w:tc>
        <w:tc>
          <w:tcPr>
            <w:tcW w:w="0" w:type="auto"/>
            <w:vAlign w:val="center"/>
            <w:hideMark/>
          </w:tcPr>
          <w:p w14:paraId="50C532B2"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szCs w:val="24"/>
              </w:rPr>
              <w:t>200,000 – 500,000</w:t>
            </w:r>
          </w:p>
        </w:tc>
        <w:tc>
          <w:tcPr>
            <w:tcW w:w="0" w:type="auto"/>
            <w:vAlign w:val="center"/>
            <w:hideMark/>
          </w:tcPr>
          <w:p w14:paraId="3836C52F"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szCs w:val="24"/>
              </w:rPr>
              <w:t>Capital</w:t>
            </w:r>
          </w:p>
        </w:tc>
      </w:tr>
      <w:tr w:rsidR="00F23B23" w:rsidRPr="00F23B23" w14:paraId="588A3A9B" w14:textId="77777777" w:rsidTr="00F23B23">
        <w:trPr>
          <w:tblCellSpacing w:w="15" w:type="dxa"/>
        </w:trPr>
        <w:tc>
          <w:tcPr>
            <w:tcW w:w="0" w:type="auto"/>
            <w:vAlign w:val="center"/>
            <w:hideMark/>
          </w:tcPr>
          <w:p w14:paraId="723D88FB"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szCs w:val="24"/>
              </w:rPr>
              <w:t>Network security enhancements</w:t>
            </w:r>
          </w:p>
        </w:tc>
        <w:tc>
          <w:tcPr>
            <w:tcW w:w="0" w:type="auto"/>
            <w:vAlign w:val="center"/>
            <w:hideMark/>
          </w:tcPr>
          <w:p w14:paraId="3DBCEE15"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szCs w:val="24"/>
              </w:rPr>
              <w:t>150,000 – 300,000</w:t>
            </w:r>
          </w:p>
        </w:tc>
        <w:tc>
          <w:tcPr>
            <w:tcW w:w="0" w:type="auto"/>
            <w:vAlign w:val="center"/>
            <w:hideMark/>
          </w:tcPr>
          <w:p w14:paraId="140680DC"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szCs w:val="24"/>
              </w:rPr>
              <w:t>Capital</w:t>
            </w:r>
          </w:p>
        </w:tc>
      </w:tr>
      <w:tr w:rsidR="00F23B23" w:rsidRPr="00F23B23" w14:paraId="71E28EE0" w14:textId="77777777" w:rsidTr="00F23B23">
        <w:trPr>
          <w:tblCellSpacing w:w="15" w:type="dxa"/>
        </w:trPr>
        <w:tc>
          <w:tcPr>
            <w:tcW w:w="0" w:type="auto"/>
            <w:vAlign w:val="center"/>
            <w:hideMark/>
          </w:tcPr>
          <w:p w14:paraId="49F73F79"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szCs w:val="24"/>
              </w:rPr>
              <w:t>Integration with existing IT systems</w:t>
            </w:r>
          </w:p>
        </w:tc>
        <w:tc>
          <w:tcPr>
            <w:tcW w:w="0" w:type="auto"/>
            <w:vAlign w:val="center"/>
            <w:hideMark/>
          </w:tcPr>
          <w:p w14:paraId="2D4AE5C4"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szCs w:val="24"/>
              </w:rPr>
              <w:t>100,000 – 200,000</w:t>
            </w:r>
          </w:p>
        </w:tc>
        <w:tc>
          <w:tcPr>
            <w:tcW w:w="0" w:type="auto"/>
            <w:vAlign w:val="center"/>
            <w:hideMark/>
          </w:tcPr>
          <w:p w14:paraId="2D5D5DC1"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szCs w:val="24"/>
              </w:rPr>
              <w:t>Capital</w:t>
            </w:r>
          </w:p>
        </w:tc>
      </w:tr>
      <w:tr w:rsidR="00F23B23" w:rsidRPr="00F23B23" w14:paraId="61F4C26C" w14:textId="77777777" w:rsidTr="00F23B23">
        <w:trPr>
          <w:tblCellSpacing w:w="15" w:type="dxa"/>
        </w:trPr>
        <w:tc>
          <w:tcPr>
            <w:tcW w:w="0" w:type="auto"/>
            <w:vAlign w:val="center"/>
            <w:hideMark/>
          </w:tcPr>
          <w:p w14:paraId="1B901872"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szCs w:val="24"/>
              </w:rPr>
              <w:t>Annual maintenance &amp; licensing</w:t>
            </w:r>
          </w:p>
        </w:tc>
        <w:tc>
          <w:tcPr>
            <w:tcW w:w="0" w:type="auto"/>
            <w:vAlign w:val="center"/>
            <w:hideMark/>
          </w:tcPr>
          <w:p w14:paraId="020684A4"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szCs w:val="24"/>
              </w:rPr>
              <w:t>120,000 – 250,000/year</w:t>
            </w:r>
          </w:p>
        </w:tc>
        <w:tc>
          <w:tcPr>
            <w:tcW w:w="0" w:type="auto"/>
            <w:vAlign w:val="center"/>
            <w:hideMark/>
          </w:tcPr>
          <w:p w14:paraId="4F1B3608"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szCs w:val="24"/>
              </w:rPr>
              <w:t>Recurring</w:t>
            </w:r>
          </w:p>
        </w:tc>
      </w:tr>
      <w:tr w:rsidR="00F23B23" w:rsidRPr="00F23B23" w14:paraId="4C34947C" w14:textId="77777777" w:rsidTr="00F23B23">
        <w:trPr>
          <w:tblCellSpacing w:w="15" w:type="dxa"/>
        </w:trPr>
        <w:tc>
          <w:tcPr>
            <w:tcW w:w="0" w:type="auto"/>
            <w:vAlign w:val="center"/>
            <w:hideMark/>
          </w:tcPr>
          <w:p w14:paraId="05D3A133"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szCs w:val="24"/>
              </w:rPr>
              <w:t>Staff training &amp; upskilling</w:t>
            </w:r>
          </w:p>
        </w:tc>
        <w:tc>
          <w:tcPr>
            <w:tcW w:w="0" w:type="auto"/>
            <w:vAlign w:val="center"/>
            <w:hideMark/>
          </w:tcPr>
          <w:p w14:paraId="22DBCD96"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szCs w:val="24"/>
              </w:rPr>
              <w:t>50,000 – 100,000/year</w:t>
            </w:r>
          </w:p>
        </w:tc>
        <w:tc>
          <w:tcPr>
            <w:tcW w:w="0" w:type="auto"/>
            <w:vAlign w:val="center"/>
            <w:hideMark/>
          </w:tcPr>
          <w:p w14:paraId="656AC5D6"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szCs w:val="24"/>
              </w:rPr>
              <w:t>Recurring</w:t>
            </w:r>
          </w:p>
        </w:tc>
      </w:tr>
      <w:tr w:rsidR="00F23B23" w:rsidRPr="00F23B23" w14:paraId="0CDA560E" w14:textId="77777777" w:rsidTr="00F23B23">
        <w:trPr>
          <w:tblCellSpacing w:w="15" w:type="dxa"/>
        </w:trPr>
        <w:tc>
          <w:tcPr>
            <w:tcW w:w="0" w:type="auto"/>
            <w:vAlign w:val="center"/>
            <w:hideMark/>
          </w:tcPr>
          <w:p w14:paraId="1831288C"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b/>
                <w:bCs/>
                <w:szCs w:val="24"/>
              </w:rPr>
              <w:t>Total Year 1</w:t>
            </w:r>
          </w:p>
        </w:tc>
        <w:tc>
          <w:tcPr>
            <w:tcW w:w="0" w:type="auto"/>
            <w:vAlign w:val="center"/>
            <w:hideMark/>
          </w:tcPr>
          <w:p w14:paraId="30ED51FC"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b/>
                <w:bCs/>
                <w:szCs w:val="24"/>
              </w:rPr>
              <w:t>900,000 – 1,900,000</w:t>
            </w:r>
          </w:p>
        </w:tc>
        <w:tc>
          <w:tcPr>
            <w:tcW w:w="0" w:type="auto"/>
            <w:vAlign w:val="center"/>
            <w:hideMark/>
          </w:tcPr>
          <w:p w14:paraId="1B6F0332" w14:textId="77777777" w:rsidR="00F23B23" w:rsidRPr="00F23B23" w:rsidRDefault="00F23B23" w:rsidP="00F23B23">
            <w:pPr>
              <w:spacing w:after="0" w:line="240" w:lineRule="auto"/>
              <w:rPr>
                <w:rFonts w:eastAsia="Times New Roman" w:cs="Times New Roman"/>
                <w:szCs w:val="24"/>
              </w:rPr>
            </w:pPr>
          </w:p>
        </w:tc>
      </w:tr>
      <w:tr w:rsidR="00F23B23" w:rsidRPr="00F23B23" w14:paraId="5ABA2FA3" w14:textId="77777777" w:rsidTr="00F23B23">
        <w:trPr>
          <w:tblCellSpacing w:w="15" w:type="dxa"/>
        </w:trPr>
        <w:tc>
          <w:tcPr>
            <w:tcW w:w="0" w:type="auto"/>
            <w:vAlign w:val="center"/>
            <w:hideMark/>
          </w:tcPr>
          <w:p w14:paraId="2F24161A"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b/>
                <w:bCs/>
                <w:szCs w:val="24"/>
              </w:rPr>
              <w:t>Annual Recurring (</w:t>
            </w:r>
            <w:bookmarkStart w:id="0" w:name="_GoBack"/>
            <w:bookmarkEnd w:id="0"/>
            <w:r w:rsidRPr="00F23B23">
              <w:rPr>
                <w:rFonts w:eastAsia="Times New Roman" w:cs="Times New Roman"/>
                <w:b/>
                <w:bCs/>
                <w:szCs w:val="24"/>
              </w:rPr>
              <w:t>Year 2+)</w:t>
            </w:r>
          </w:p>
        </w:tc>
        <w:tc>
          <w:tcPr>
            <w:tcW w:w="0" w:type="auto"/>
            <w:vAlign w:val="center"/>
            <w:hideMark/>
          </w:tcPr>
          <w:p w14:paraId="1670B412" w14:textId="77777777" w:rsidR="00F23B23" w:rsidRPr="00F23B23" w:rsidRDefault="00F23B23" w:rsidP="00F23B23">
            <w:pPr>
              <w:spacing w:after="0" w:line="240" w:lineRule="auto"/>
              <w:rPr>
                <w:rFonts w:eastAsia="Times New Roman" w:cs="Times New Roman"/>
                <w:szCs w:val="24"/>
              </w:rPr>
            </w:pPr>
            <w:r w:rsidRPr="00F23B23">
              <w:rPr>
                <w:rFonts w:eastAsia="Times New Roman" w:cs="Times New Roman"/>
                <w:b/>
                <w:bCs/>
                <w:szCs w:val="24"/>
              </w:rPr>
              <w:t>170,000 – 350,000</w:t>
            </w:r>
          </w:p>
        </w:tc>
        <w:tc>
          <w:tcPr>
            <w:tcW w:w="0" w:type="auto"/>
            <w:vAlign w:val="center"/>
            <w:hideMark/>
          </w:tcPr>
          <w:p w14:paraId="7CB8DB18" w14:textId="77777777" w:rsidR="00F23B23" w:rsidRPr="00F23B23" w:rsidRDefault="00F23B23" w:rsidP="00F23B23">
            <w:pPr>
              <w:spacing w:after="0" w:line="240" w:lineRule="auto"/>
              <w:rPr>
                <w:rFonts w:eastAsia="Times New Roman" w:cs="Times New Roman"/>
                <w:szCs w:val="24"/>
              </w:rPr>
            </w:pPr>
          </w:p>
        </w:tc>
      </w:tr>
    </w:tbl>
    <w:p w14:paraId="09DF5E97" w14:textId="77777777" w:rsidR="0032767D" w:rsidRDefault="008D158B">
      <w:r>
        <w:rPr>
          <w:b/>
        </w:rPr>
        <w:lastRenderedPageBreak/>
        <w:t>I</w:t>
      </w:r>
      <w:r>
        <w:rPr>
          <w:b/>
        </w:rPr>
        <w:t>nnovative Proposal — NYP 5G Innovation Sandbox</w:t>
      </w:r>
    </w:p>
    <w:p w14:paraId="593C8B30" w14:textId="77777777" w:rsidR="0032767D" w:rsidRDefault="008D158B">
      <w:r>
        <w:t>NYP should establish a 5G Innovation Sandbox Zone, a designated on-campus test environment where students</w:t>
      </w:r>
      <w:r>
        <w:t xml:space="preserve"> and industry partners can prototype applications using 5G and edge computing infrastructure.</w:t>
      </w:r>
    </w:p>
    <w:p w14:paraId="02B4A375" w14:textId="77777777" w:rsidR="0032767D" w:rsidRDefault="008D158B">
      <w:r>
        <w:t>This sandbox could support:</w:t>
      </w:r>
    </w:p>
    <w:p w14:paraId="66EF6C02" w14:textId="77777777" w:rsidR="0032767D" w:rsidRDefault="008D158B">
      <w:pPr>
        <w:pStyle w:val="ListBullet"/>
      </w:pPr>
      <w:r>
        <w:t>Autonomous robotics experiments</w:t>
      </w:r>
    </w:p>
    <w:p w14:paraId="0A0F84E4" w14:textId="77777777" w:rsidR="0032767D" w:rsidRDefault="008D158B">
      <w:pPr>
        <w:pStyle w:val="ListBullet"/>
      </w:pPr>
      <w:r>
        <w:t>Smart campus optimisation pilots</w:t>
      </w:r>
    </w:p>
    <w:p w14:paraId="1069C21F" w14:textId="77777777" w:rsidR="0032767D" w:rsidRDefault="008D158B">
      <w:pPr>
        <w:pStyle w:val="ListBullet"/>
      </w:pPr>
      <w:r>
        <w:t>VR-based industry training modules</w:t>
      </w:r>
    </w:p>
    <w:p w14:paraId="4448E7F1" w14:textId="77777777" w:rsidR="0032767D" w:rsidRDefault="008D158B">
      <w:r>
        <w:t>Benefits:</w:t>
      </w:r>
    </w:p>
    <w:p w14:paraId="3BF6E9BC" w14:textId="77777777" w:rsidR="0032767D" w:rsidRDefault="008D158B">
      <w:pPr>
        <w:pStyle w:val="ListBullet"/>
      </w:pPr>
      <w:r>
        <w:t>Strengthens NYP’s reputa</w:t>
      </w:r>
      <w:r>
        <w:t>tion as a technology leader</w:t>
      </w:r>
    </w:p>
    <w:p w14:paraId="0A719B54" w14:textId="77777777" w:rsidR="0032767D" w:rsidRDefault="008D158B">
      <w:pPr>
        <w:pStyle w:val="ListBullet"/>
      </w:pPr>
      <w:r>
        <w:t>Attracts research funding</w:t>
      </w:r>
    </w:p>
    <w:p w14:paraId="4360AAAD" w14:textId="77777777" w:rsidR="0032767D" w:rsidRDefault="008D158B">
      <w:pPr>
        <w:pStyle w:val="ListBullet"/>
      </w:pPr>
      <w:r>
        <w:t>Enhances graduate employability</w:t>
      </w:r>
    </w:p>
    <w:p w14:paraId="6E807B6C" w14:textId="77777777" w:rsidR="0032767D" w:rsidRDefault="008D158B">
      <w:pPr>
        <w:pStyle w:val="ListBullet"/>
      </w:pPr>
      <w:r>
        <w:t>Generates positive publicity and media exposure</w:t>
      </w:r>
    </w:p>
    <w:p w14:paraId="520BD080" w14:textId="77777777" w:rsidR="0032767D" w:rsidRDefault="008D158B">
      <w:r>
        <w:rPr>
          <w:b/>
        </w:rPr>
        <w:t>Key Challenges for Adoption</w:t>
      </w:r>
    </w:p>
    <w:p w14:paraId="2A4A987E" w14:textId="77777777" w:rsidR="0032767D" w:rsidRDefault="008D158B">
      <w:pPr>
        <w:pStyle w:val="ListBullet"/>
      </w:pPr>
      <w:r>
        <w:t>High capital expenditure — Infrastructure investment is substantial.</w:t>
      </w:r>
    </w:p>
    <w:p w14:paraId="0AC8D306" w14:textId="77777777" w:rsidR="0032767D" w:rsidRDefault="008D158B">
      <w:pPr>
        <w:pStyle w:val="ListBullet"/>
      </w:pPr>
      <w:r>
        <w:t xml:space="preserve">Network security risks — </w:t>
      </w:r>
      <w:r>
        <w:t>Increased connectivity increases attack surfaces.</w:t>
      </w:r>
    </w:p>
    <w:p w14:paraId="555437F6" w14:textId="77777777" w:rsidR="0032767D" w:rsidRDefault="008D158B">
      <w:pPr>
        <w:pStyle w:val="ListBullet"/>
      </w:pPr>
      <w:r>
        <w:t>Integration complexity — Must integrate with existing Wi-Fi and enterprise systems.</w:t>
      </w:r>
    </w:p>
    <w:p w14:paraId="1AF3CDB5" w14:textId="77777777" w:rsidR="0032767D" w:rsidRDefault="008D158B">
      <w:pPr>
        <w:pStyle w:val="ListBullet"/>
      </w:pPr>
      <w:r>
        <w:t>Skill gap — Requires specialised network engineers and edge architects.</w:t>
      </w:r>
    </w:p>
    <w:p w14:paraId="16275D77" w14:textId="77777777" w:rsidR="0032767D" w:rsidRDefault="008D158B">
      <w:pPr>
        <w:pStyle w:val="ListBullet"/>
      </w:pPr>
      <w:r>
        <w:t>Vendor dependency — Risk of lock-in with telecom p</w:t>
      </w:r>
      <w:r>
        <w:t>roviders.</w:t>
      </w:r>
    </w:p>
    <w:p>
      <w:r>
        <w:t xml:space="preserve"/>
      </w:r>
    </w:p>
    <w:p>
      <w:r>
        <w:rPr>
          <w:b/>
        </w:rPr>
        <w:t xml:space="preserve">10.5 References</w:t>
      </w:r>
    </w:p>
    <w:p>
      <w:r>
        <w:t xml:space="preserve">The following sources were used in researching 5G and Edge Computing technologies and their applications in the education sector:</w:t>
      </w:r>
    </w:p>
    <w:p>
      <w:pPr>
        <w:pStyle w:val="ListBullet"/>
      </w:pPr>
      <w:r>
        <w:t xml:space="preserve">IMDA Singapore Digital Economy Technology Roadmap: https://www.imda.gov.sg/about-imda/research-and-statistics/sgdigital/services-and-digital-economy-technology-roadmap</w:t>
      </w:r>
    </w:p>
    <w:p>
      <w:pPr>
        <w:pStyle w:val="ListBullet"/>
      </w:pPr>
      <w:r>
        <w:t xml:space="preserve">IMDA 5G Innovation Programme: https://www.imda.gov.sg/how-we-can-help/5g-innovation</w:t>
      </w:r>
    </w:p>
    <w:p>
      <w:pPr>
        <w:pStyle w:val="ListBullet"/>
      </w:pPr>
      <w:r>
        <w:t xml:space="preserve">Gartner Top Strategic Technology Trends: https://www.gartner.com/en/articles/gartner-top-10-strategic-technology-trends-for-2025</w:t>
      </w:r>
    </w:p>
    <w:p>
      <w:pPr>
        <w:pStyle w:val="ListBullet"/>
      </w:pPr>
      <w:r>
        <w:t xml:space="preserve">Singapore Green Plan 2030: https://www.greenplan.gov.sg/</w:t>
      </w:r>
    </w:p>
    <w:p>
      <w:pPr>
        <w:pStyle w:val="ListBullet"/>
      </w:pPr>
      <w:r>
        <w:t xml:space="preserve">Mordor Intelligence – Edge Computing Market Analysis (2024): https://www.mordorintelligence.com/industry-reports/edge-computing-market</w:t>
      </w:r>
    </w:p>
    <w:p>
      <w:pPr>
        <w:pStyle w:val="ListBullet"/>
      </w:pPr>
      <w:r>
        <w:t xml:space="preserve">Singtel 5G Coverage and Enterprise Solutions: https://www.singtel.com/personal/products-plans/mobile/5g</w:t>
      </w:r>
    </w:p>
    <w:p>
      <w:pPr>
        <w:pStyle w:val="ListBullet"/>
      </w:pPr>
      <w:r>
        <w:t xml:space="preserve">Nanyang Polytechnic Official Website: https://www.nyp.edu.sg/</w:t>
      </w:r>
    </w:p>
    <w:p>
      <w:pPr>
        <w:pStyle w:val="ListBullet"/>
      </w:pPr>
      <w:r>
        <w:t xml:space="preserve">Ministry of Education Singapore – Education Statistics: https://www.moe.gov.sg/</w:t>
      </w:r>
    </w:p>
    <w:p>
      <w:pPr>
        <w:pStyle w:val="ListBullet"/>
      </w:pPr>
      <w:r>
        <w:t xml:space="preserve">MarketsandMarkets – 5G Services Market Forecast: https://www.marketsandmarkets.com/Market-Reports/5g-services-market-702.html</w:t>
      </w:r>
    </w:p>
    <w:p>
      <w:pPr>
        <w:pStyle w:val="ListBullet"/>
      </w:pPr>
      <w:r>
        <w:t xml:space="preserve">McKinsey &amp; Company – The Future of Education Technology: https://www.mckinsey.com/industries/education</w:t>
      </w:r>
    </w:p>
    <w:sectPr w:rsidR="0032767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2767D"/>
    <w:rsid w:val="00513AA5"/>
    <w:rsid w:val="008D158B"/>
    <w:rsid w:val="00AA1D8D"/>
    <w:rsid w:val="00B47730"/>
    <w:rsid w:val="00CB0664"/>
    <w:rsid w:val="00F23B2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3F190D"/>
  <w14:defaultImageDpi w14:val="300"/>
  <w15:docId w15:val="{741FC67B-0E54-443D-806B-9419977E8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rPr>
      <w:rFonts w:ascii="Aptos" w:hAnsi="Aptos"/>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50754034">
      <w:bodyDiv w:val="1"/>
      <w:marLeft w:val="0"/>
      <w:marRight w:val="0"/>
      <w:marTop w:val="0"/>
      <w:marBottom w:val="0"/>
      <w:divBdr>
        <w:top w:val="none" w:sz="0" w:space="0" w:color="auto"/>
        <w:left w:val="none" w:sz="0" w:space="0" w:color="auto"/>
        <w:bottom w:val="none" w:sz="0" w:space="0" w:color="auto"/>
        <w:right w:val="none" w:sz="0" w:space="0" w:color="auto"/>
      </w:divBdr>
    </w:div>
    <w:div w:id="954600936">
      <w:bodyDiv w:val="1"/>
      <w:marLeft w:val="0"/>
      <w:marRight w:val="0"/>
      <w:marTop w:val="0"/>
      <w:marBottom w:val="0"/>
      <w:divBdr>
        <w:top w:val="none" w:sz="0" w:space="0" w:color="auto"/>
        <w:left w:val="none" w:sz="0" w:space="0" w:color="auto"/>
        <w:bottom w:val="none" w:sz="0" w:space="0" w:color="auto"/>
        <w:right w:val="none" w:sz="0" w:space="0" w:color="auto"/>
      </w:divBdr>
    </w:div>
    <w:div w:id="1600258394">
      <w:bodyDiv w:val="1"/>
      <w:marLeft w:val="0"/>
      <w:marRight w:val="0"/>
      <w:marTop w:val="0"/>
      <w:marBottom w:val="0"/>
      <w:divBdr>
        <w:top w:val="none" w:sz="0" w:space="0" w:color="auto"/>
        <w:left w:val="none" w:sz="0" w:space="0" w:color="auto"/>
        <w:bottom w:val="none" w:sz="0" w:space="0" w:color="auto"/>
        <w:right w:val="none" w:sz="0" w:space="0" w:color="auto"/>
      </w:divBdr>
    </w:div>
    <w:div w:id="1630167959">
      <w:bodyDiv w:val="1"/>
      <w:marLeft w:val="0"/>
      <w:marRight w:val="0"/>
      <w:marTop w:val="0"/>
      <w:marBottom w:val="0"/>
      <w:divBdr>
        <w:top w:val="none" w:sz="0" w:space="0" w:color="auto"/>
        <w:left w:val="none" w:sz="0" w:space="0" w:color="auto"/>
        <w:bottom w:val="none" w:sz="0" w:space="0" w:color="auto"/>
        <w:right w:val="none" w:sz="0" w:space="0" w:color="auto"/>
      </w:divBdr>
    </w:div>
    <w:div w:id="169445838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49E13D2-30AA-4012-9AEA-531FA0D130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1156</Words>
  <Characters>6594</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SHIN THANT AUNG</cp:lastModifiedBy>
  <cp:revision>2</cp:revision>
  <dcterms:created xsi:type="dcterms:W3CDTF">2026-02-18T06:47:00Z</dcterms:created>
  <dcterms:modified xsi:type="dcterms:W3CDTF">2026-02-18T06:47:00Z</dcterms:modified>
  <cp:category/>
</cp:coreProperties>
</file>