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Kickoff Meeting — 5 April 2026</w:t>
      </w:r>
    </w:p>
    <w:p>
      <w:pPr>
        <w:pStyle w:val="Heading1"/>
      </w:pPr>
      <w:r>
        <w:t>Attendees</w:t>
      </w:r>
    </w:p>
    <w:p>
      <w:r>
        <w:t>Alan R (PM), Sarah K (Dev Lead), Mike T (Finance), Lisa P (QA)</w:t>
      </w:r>
    </w:p>
    <w:p>
      <w:pPr>
        <w:pStyle w:val="Heading1"/>
      </w:pPr>
      <w:r>
        <w:t>Action Items</w:t>
      </w:r>
    </w:p>
    <w:p>
      <w:pPr>
        <w:pStyle w:val="ListBullet"/>
      </w:pPr>
      <w:r>
        <w:t>Alan to finalise vendor contract by April 12 (HIGH priority)</w:t>
      </w:r>
    </w:p>
    <w:p>
      <w:pPr>
        <w:pStyle w:val="ListBullet"/>
      </w:pPr>
      <w:r>
        <w:t>Sarah to set up CI/CD pipeline by April 20 (HIGH priority)</w:t>
      </w:r>
    </w:p>
    <w:p>
      <w:pPr>
        <w:pStyle w:val="ListBullet"/>
      </w:pPr>
      <w:r>
        <w:t>Mike to approve Q2 budget allocation by April 10</w:t>
      </w:r>
    </w:p>
    <w:p>
      <w:pPr>
        <w:pStyle w:val="ListBullet"/>
      </w:pPr>
      <w:r>
        <w:t>Lisa to write test plan for phase 1 by April 18 (MEDIUM priority)</w:t>
      </w:r>
    </w:p>
    <w:p>
      <w:pPr>
        <w:pStyle w:val="Heading1"/>
      </w:pPr>
      <w:r>
        <w:t>Deadlines</w:t>
      </w:r>
    </w:p>
    <w:p>
      <w:pPr>
        <w:pStyle w:val="ListBullet"/>
      </w:pPr>
      <w:r>
        <w:t>Phase 1 development complete: May 1 2026</w:t>
      </w:r>
    </w:p>
    <w:p>
      <w:pPr>
        <w:pStyle w:val="ListBullet"/>
      </w:pPr>
      <w:r>
        <w:t>User acceptance testing: May 15 2026</w:t>
      </w:r>
    </w:p>
    <w:p>
      <w:pPr>
        <w:pStyle w:val="ListBullet"/>
      </w:pPr>
      <w:r>
        <w:t>Go-live: June 1 2026</w:t>
      </w:r>
    </w:p>
    <w:p>
      <w:pPr>
        <w:pStyle w:val="Heading1"/>
      </w:pPr>
      <w:r>
        <w:t>Risks Identified</w:t>
      </w:r>
    </w:p>
    <w:p>
      <w:r>
        <w:t>Resource availability risk: Dev team split across two projects until April 30. Medium impact, medium likelihood. Mitigation: prioritise this project for the first two weeks.</w:t>
      </w:r>
    </w:p>
    <w:p>
      <w:r>
        <w:t>Scope creep risk: Stakeholders requesting additional reporting features not in original plan. High impact, high likelihood. Mitigation: strict change control process.</w:t>
      </w:r>
    </w:p>
    <w:p>
      <w:pPr>
        <w:pStyle w:val="Heading1"/>
      </w:pPr>
      <w:r>
        <w:t>Dependencies</w:t>
      </w:r>
    </w:p>
    <w:p>
      <w:r>
        <w:t>Budget approval enables vendor contract signing.</w:t>
      </w:r>
    </w:p>
    <w:p>
      <w:r>
        <w:t>Vendor contract blocks project kickoff.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