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Pertama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Pustakawan Pertama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Pertama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Perpustakaan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05 - 01.01.01.05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di bidang Kepustakawanan yang meliputi Pengelolaan Perpustakaan,  pelayanan Perpustakaan, dan Pengembangan Sistem Kepustakawanan.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mengingatkan, mengajak rekan kerja untuk bertindak sesuai nilai, norma, dan etika organisasi 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2.1.Mengingatkan rekan kerja untuk bertindak sesuai dengan nilai, norma, dan etika organisasi dalam segala situasi dan kondisi; Mengajak orang lain untuk bertindak sesuai etika dan kode etik.
                  <w:br/>
                  2.2.Menerapkan norma-norma secara konsisten dalam setiap situasi, pada unit kerja terkecil/kelompok kerjanya.
                  <w:br/>
                  2.3.Memberikan informasi yang dapat dipercaya sesuai dengan etika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Menumbuhkan tim kerja yang partisipatif dan efektif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2.1.Membantu orang lain dalam menyelesaikan tugas-tugas mereka untuk mendukung sasaran tim;
                  <w:br/>
                  2.2.Berbagi informasi yang relevan atau bermanfaat pada anggota tim; mempertimbangkan masukan dan keahlian anggota dalam tim/kelompok kerja serta bersedia untuk belajar dari orang lain;
                  <w:br/>
                  2.3.Membangun komitmen yang tinggiuntuk menyelesaikan tugas tim.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Aktif menjalankan komunikasi secara formal dan informal; Bersedia mendengarkan orang lain, menginterpretasikan pesan dengan respon yang sesuai, mampu menyusun materi presentasi, pidato, naskah, laporan, dll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2.1.Menggunakan gaya komunikasi informal untuk meningkatkan hubungan profesional;
                  <w:br/>
                  2.2.Mendengarkan pihak lain secara aktif; menangkap dan menginterpretasikan pesan-pesan dari orang lain, serta memberikan respon yang sesuai;
                  <w:br/>
                  2.3.Membuat materi presentasi, pidato, draft naskah, laporan dll sesuai arahan pimpinan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Berupaya meningkatkan hasil kerja pribadi yang lebih tinggi dari standar yang ditetapkan,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2.1.Menetapkan dan berupaya mencapai standar kerja pribadi yang lebih tinggi dari standar kerja yang ditetapkan organisasi
                  <w:br/>
                  2.2.Mencari, mencoba metode kerja alternatif untuk meningkatkan hasil kerjanya. mencari, mencoba ketode alternatif untuk eningkatanKinerja
                  <w:br/>
                  2.3.Memberi contoh kepada orang-orang di unit kerjanya untuk mencoba menerapkan metode kerja yang lebih efektif yang sudah dilakukannya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mensupervisi/meng awasi/menyelia dan menjelaskan proses pelaksanaan tugas tugas pemerintahan/pelay anan publik secara transparan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2.1.Menunjukan sikap yakin dalam mengerjakan tugas-tugas pemerintahan/pelayanan publik, mampu menyelia dan menjelaskan secara obyektif bila ada yang mempertanyakan kebijakan yang diambil;
                  <w:br/>
                  2.2.Secara aktif mencari informasi untuk mengenali kebutuhan pemangku kepentingan agar dapat menjalankan pelaksanaan tugas pemerintahan, pembangunan dan pelayanan publik secara cepat dan tanggap;
                  <w:br/>
                  2.3.Mampu mengenali dan zemanfaatkan kebiasaan, tatacara, situasi tertentu sehingga apa yang disampaikan menjadi perhatian pemangku kepentingan dalam hal penyelesaian tugas-tugas pemerintahan, pembangunan dan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Meningkatkan kemampuan bawahan dengan memberikan contoh dan penjelasan cara melaksanakan suatu pekerjaan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2.1.Meningkatkan kemampuan bawahan dengan memberikan contoh, instruksi, penjelasan dan petunjuk praktis yang jelas kepada bawahan dalam menyelesaikan suatu pekerjaan.
                  <w:br/>
                  2.2.Membantu bawahan untuk mempelajari proses, program atau sistem baru
                  <w:br/>
                  2.3.Menggunakan metode lain untuk meyakinkan bahwa orang lain telah memahami penjelasan atau pengarahan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Proaktif beradaptasi mengikuti perubahan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2.1.Menyesuaikan cara kerja lama dengan menerapkan metode/proses baru selaras dengan ketentuan yang berlaku tanpa arahan orang lain
                  <w:br/>
                  2.2.Mengembangkan kemampuan diri untuk menghadapi perubahan
                  <w:br/>
                  2.3.Cepat dan tanggap dalam menerima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Menganalisis masalah secara mendalam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2.1.Melakukan analisis secara mendalam terhadap informasi yang tersedia dalam upaya mencari solusi.
                  <w:br/>
                  2.2.Mempertimbangkan berbagai alternatif yang ada sebelum membuat kesimpulan;
                  <w:br/>
                  2.3.Membuat keputusan operasional berdasarkan kesimpulan dari berbagai sumber informasi sesuai dengan pedoman yang ada.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Aktif mengembangkan sikap saling menghargai,  menekankan persamaan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2.1Menampilkan sikap dan perilaku yang peduli akan nilai-nilai keberagaman dan menghargai perbedaan;
                <w:br/>
                2.2Membangun hubungan baik antar individu dalam organisasi, mitra kerja, pemangku kepentingan;
                <w:br/>
                2.3Bersikap tenang, mampu mengendalikan emosi, kemarahan dan frustasi dalam menghadapi pertentangan yang ditimbulkan oleh perbedaan latar belakang, agama/kepercayaan, suku, jender, sosial ekonomi, preferensi politik di lingkungan unit kerjanya.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Ilmu Perpustakaan atau bidang lain  sesuai dengan kualifikasi yang ditetapkan oleh Kepala Perpusnas RI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