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48"/>
          <w:b/>
          <w:sz w:val="48"/>
          <w:b/>
          <w:szCs w:val="48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relation between RMSE and RSS</w:t>
      </w:r>
      <w:r/>
    </w:p>
    <w:p>
      <w:pPr>
        <w:pStyle w:val="TextBody"/>
        <w:spacing w:before="240" w:after="120"/>
      </w:pPr>
      <w:r>
        <w:rPr/>
        <w:t xml:space="preserve">The </w:t>
      </w:r>
      <w:hyperlink r:id="rId2">
        <w:r>
          <w:rPr>
            <w:rStyle w:val="InternetLink"/>
          </w:rPr>
          <w:t>RSS</w:t>
        </w:r>
      </w:hyperlink>
      <w:r>
        <w:rPr/>
        <w:t xml:space="preserve"> is the sum of the square of the errors (difference between calculation and measurement, or estimated and real values): </w:t>
      </w:r>
      <w:r/>
    </w:p>
    <w:p>
      <w:pPr>
        <w:pStyle w:val="TextBody"/>
      </w:pPr>
      <w:bookmarkStart w:id="0" w:name="MathJax-Element-1-Frame"/>
      <w:bookmarkStart w:id="1" w:name="MathJax-Span-1"/>
      <w:bookmarkStart w:id="2" w:name="MathJax-Span-2"/>
      <w:bookmarkStart w:id="3" w:name="MathJax-Span-3"/>
      <w:bookmarkEnd w:id="0"/>
      <w:bookmarkEnd w:id="1"/>
      <w:bookmarkEnd w:id="2"/>
      <w:bookmarkEnd w:id="3"/>
      <w:r>
        <w:rPr>
          <w:rFonts w:ascii="MathJax Math" w:hAnsi="MathJax Math"/>
          <w:i/>
        </w:rPr>
        <w:t>R</w:t>
      </w:r>
      <w:bookmarkStart w:id="4" w:name="MathJax-Span-4"/>
      <w:bookmarkEnd w:id="4"/>
      <w:r>
        <w:rPr>
          <w:rFonts w:ascii="MathJax Math" w:hAnsi="MathJax Math"/>
          <w:i/>
        </w:rPr>
        <w:t>S</w:t>
      </w:r>
      <w:bookmarkStart w:id="5" w:name="MathJax-Span-5"/>
      <w:bookmarkEnd w:id="5"/>
      <w:r>
        <w:rPr>
          <w:rFonts w:ascii="MathJax Math" w:hAnsi="MathJax Math"/>
          <w:i/>
        </w:rPr>
        <w:t>S</w:t>
      </w:r>
      <w:bookmarkStart w:id="6" w:name="MathJax-Span-6"/>
      <w:bookmarkEnd w:id="6"/>
      <w:r>
        <w:rPr>
          <w:rFonts w:ascii="MathJax Main" w:hAnsi="MathJax Main"/>
        </w:rPr>
        <w:t>=</w:t>
      </w:r>
      <w:bookmarkStart w:id="7" w:name="MathJax-Span-7"/>
      <w:bookmarkEnd w:id="7"/>
      <w:r>
        <w:rPr/>
        <w:t>∑</w:t>
      </w:r>
      <w:bookmarkStart w:id="8" w:name="MathJax-Span-8"/>
      <w:bookmarkStart w:id="9" w:name="MathJax-Span-9"/>
      <w:bookmarkStart w:id="10" w:name="MathJax-Span-10"/>
      <w:bookmarkEnd w:id="8"/>
      <w:bookmarkEnd w:id="9"/>
      <w:bookmarkEnd w:id="10"/>
      <w:r>
        <w:rPr>
          <w:rFonts w:ascii="MathJax Main" w:hAnsi="MathJax Main"/>
        </w:rPr>
        <w:t>(</w:t>
      </w:r>
      <w:bookmarkStart w:id="11" w:name="MathJax-Span-11"/>
      <w:bookmarkStart w:id="12" w:name="MathJax-Span-12"/>
      <w:bookmarkStart w:id="13" w:name="MathJax-Span-13"/>
      <w:bookmarkStart w:id="14" w:name="MathJax-Span-14"/>
      <w:bookmarkStart w:id="15" w:name="MathJax-Span-15"/>
      <w:bookmarkEnd w:id="11"/>
      <w:bookmarkEnd w:id="12"/>
      <w:bookmarkEnd w:id="13"/>
      <w:bookmarkEnd w:id="14"/>
      <w:bookmarkEnd w:id="15"/>
      <w:r>
        <w:rPr>
          <w:rFonts w:ascii="MathJax Math" w:hAnsi="MathJax Math"/>
          <w:i/>
        </w:rPr>
        <w:t>Y</w:t>
      </w:r>
      <w:bookmarkStart w:id="16" w:name="MathJax-Span-16"/>
      <w:bookmarkEnd w:id="16"/>
      <w:r>
        <w:rPr>
          <w:rFonts w:ascii="MathJax Main" w:hAnsi="MathJax Main"/>
        </w:rPr>
        <w:t>^</w:t>
      </w:r>
      <w:bookmarkStart w:id="17" w:name="MathJax-Span-17"/>
      <w:bookmarkEnd w:id="17"/>
      <w:r>
        <w:rPr>
          <w:rFonts w:ascii="MathJax Math" w:hAnsi="MathJax Math"/>
          <w:i/>
        </w:rPr>
        <w:t>i</w:t>
      </w:r>
      <w:bookmarkStart w:id="18" w:name="MathJax-Span-18"/>
      <w:bookmarkEnd w:id="18"/>
      <w:r>
        <w:rPr/>
        <w:t>−</w:t>
      </w:r>
      <w:bookmarkStart w:id="19" w:name="MathJax-Span-19"/>
      <w:bookmarkStart w:id="20" w:name="MathJax-Span-20"/>
      <w:bookmarkEnd w:id="19"/>
      <w:bookmarkEnd w:id="20"/>
      <w:r>
        <w:rPr>
          <w:rFonts w:ascii="MathJax Math" w:hAnsi="MathJax Math"/>
          <w:i/>
        </w:rPr>
        <w:t>Y</w:t>
      </w:r>
      <w:bookmarkStart w:id="21" w:name="MathJax-Span-21"/>
      <w:bookmarkEnd w:id="21"/>
      <w:r>
        <w:rPr>
          <w:rFonts w:ascii="MathJax Math" w:hAnsi="MathJax Math"/>
          <w:i/>
        </w:rPr>
        <w:t>i</w:t>
      </w:r>
      <w:bookmarkStart w:id="22" w:name="MathJax-Span-22"/>
      <w:bookmarkStart w:id="23" w:name="MathJax-Span-23"/>
      <w:bookmarkEnd w:id="22"/>
      <w:bookmarkEnd w:id="23"/>
      <w:r>
        <w:rPr>
          <w:rFonts w:ascii="MathJax Main" w:hAnsi="MathJax Main"/>
        </w:rPr>
        <w:t>)</w:t>
      </w:r>
      <w:bookmarkStart w:id="24" w:name="MathJax-Span-24"/>
      <w:bookmarkEnd w:id="24"/>
      <w:r>
        <w:rPr>
          <w:rFonts w:ascii="MathJax Main" w:hAnsi="MathJax Main"/>
        </w:rPr>
        <w:t>2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</w:pPr>
      <w:r>
        <w:rPr/>
        <w:t xml:space="preserve">The </w:t>
      </w:r>
      <w:hyperlink r:id="rId3">
        <w:r>
          <w:rPr>
            <w:rStyle w:val="InternetLink"/>
          </w:rPr>
          <w:t>MSE</w:t>
        </w:r>
      </w:hyperlink>
      <w:r>
        <w:rPr/>
        <w:t xml:space="preserve"> is the mean of the mean of the mean of the square of those errors: </w:t>
      </w:r>
      <w:r/>
    </w:p>
    <w:p>
      <w:pPr>
        <w:pStyle w:val="TextBody"/>
      </w:pPr>
      <w:bookmarkStart w:id="25" w:name="MathJax-Element-2-Frame"/>
      <w:bookmarkStart w:id="26" w:name="MathJax-Span-25"/>
      <w:bookmarkStart w:id="27" w:name="MathJax-Span-26"/>
      <w:bookmarkStart w:id="28" w:name="MathJax-Span-27"/>
      <w:bookmarkEnd w:id="25"/>
      <w:bookmarkEnd w:id="26"/>
      <w:bookmarkEnd w:id="27"/>
      <w:bookmarkEnd w:id="28"/>
      <w:r>
        <w:rPr>
          <w:rFonts w:ascii="MathJax Math" w:hAnsi="MathJax Math"/>
          <w:i/>
        </w:rPr>
        <w:t>M</w:t>
      </w:r>
      <w:bookmarkStart w:id="29" w:name="MathJax-Span-28"/>
      <w:bookmarkEnd w:id="29"/>
      <w:r>
        <w:rPr>
          <w:rFonts w:ascii="MathJax Math" w:hAnsi="MathJax Math"/>
          <w:i/>
        </w:rPr>
        <w:t>S</w:t>
      </w:r>
      <w:bookmarkStart w:id="30" w:name="MathJax-Span-29"/>
      <w:bookmarkEnd w:id="30"/>
      <w:r>
        <w:rPr>
          <w:rFonts w:ascii="MathJax Math" w:hAnsi="MathJax Math"/>
          <w:i/>
        </w:rPr>
        <w:t>E</w:t>
      </w:r>
      <w:bookmarkStart w:id="31" w:name="MathJax-Span-30"/>
      <w:bookmarkEnd w:id="31"/>
      <w:r>
        <w:rPr>
          <w:rFonts w:ascii="MathJax Main" w:hAnsi="MathJax Main"/>
        </w:rPr>
        <w:t>=</w:t>
      </w:r>
      <w:bookmarkStart w:id="32" w:name="MathJax-Span-31"/>
      <w:bookmarkStart w:id="33" w:name="MathJax-Span-32"/>
      <w:bookmarkStart w:id="34" w:name="MathJax-Span-34"/>
      <w:bookmarkStart w:id="35" w:name="MathJax-Span-46"/>
      <w:bookmarkStart w:id="36" w:name="MathJax-Span-47"/>
      <w:bookmarkEnd w:id="32"/>
      <w:bookmarkEnd w:id="33"/>
      <w:bookmarkEnd w:id="34"/>
      <w:bookmarkEnd w:id="35"/>
      <w:bookmarkEnd w:id="36"/>
      <w:r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The mean of RSS (RSS/N)</w:t>
      </w:r>
      <w:r/>
    </w:p>
    <w:p>
      <w:pPr>
        <w:pStyle w:val="TextBody"/>
      </w:pPr>
      <w:r>
        <w:rPr>
          <w:rFonts w:ascii="MathJax Main" w:hAnsi="MathJax Main"/>
        </w:rPr>
        <w:t>R</w:t>
      </w:r>
      <w:r>
        <w:rPr>
          <w:rFonts w:ascii="MathJax Main" w:hAnsi="MathJax Main"/>
        </w:rPr>
        <w:t>MSE = The square root of MSE (sqrt(RSS/N))</w:t>
      </w:r>
      <w:r/>
    </w:p>
    <w:p>
      <w:pPr>
        <w:pStyle w:val="Heading1"/>
        <w:spacing w:before="240" w:after="120"/>
        <w:rPr>
          <w:sz w:val="48"/>
          <w:b/>
          <w:sz w:val="48"/>
          <w:b/>
          <w:szCs w:val="48"/>
          <w:bCs/>
          <w:rFonts w:ascii="Liberation Serif" w:hAnsi="Liberation Serif" w:eastAsia="Droid Sans Fallback" w:cs="FreeSans"/>
        </w:rPr>
      </w:pPr>
      <w:r>
        <w:rPr/>
        <w:t xml:space="preserve">RMSE: Root Mean Square Error 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What is Root Mean Square Error (RMSE)?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</w:pPr>
      <w:r>
        <w:rPr/>
        <w:drawing>
          <wp:inline distT="0" distB="0" distL="0" distR="0">
            <wp:extent cx="3638550" cy="36861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Residuals on a scatter plot. Image: nws.noaa.gov</w:t>
      </w:r>
      <w:r/>
    </w:p>
    <w:p>
      <w:pPr>
        <w:pStyle w:val="TextBody"/>
      </w:pPr>
      <w:r>
        <w:rPr/>
        <w:br/>
        <w:br/>
        <w:t xml:space="preserve">Root Mean Square Error (RMSE) is the standard deviation of the </w:t>
      </w:r>
      <w:hyperlink r:id="rId5">
        <w:r>
          <w:rPr>
            <w:rStyle w:val="InternetLink"/>
          </w:rPr>
          <w:t>residuals</w:t>
        </w:r>
      </w:hyperlink>
      <w:r>
        <w:rPr/>
        <w:t xml:space="preserve"> (prediction errors). Residuals are a measure of how far from the regression line data points are; RMSE is a measure of how spread out these residuals are. In other words, it tells you how concentrated the data is around the </w:t>
      </w:r>
      <w:hyperlink r:id="rId6">
        <w:r>
          <w:rPr>
            <w:rStyle w:val="InternetLink"/>
          </w:rPr>
          <w:t>line of best fit</w:t>
        </w:r>
      </w:hyperlink>
      <w:r>
        <w:rPr/>
        <w:t xml:space="preserve">. Root mean square error is commonly used in climatology, forecasting, and </w:t>
      </w:r>
      <w:hyperlink r:id="rId7">
        <w:r>
          <w:rPr>
            <w:rStyle w:val="InternetLink"/>
          </w:rPr>
          <w:t>regression analysis</w:t>
        </w:r>
      </w:hyperlink>
      <w:r>
        <w:rPr/>
        <w:t xml:space="preserve"> to verify experimental results. </w:t>
      </w:r>
      <w:r/>
    </w:p>
    <w:p>
      <w:pPr>
        <w:pStyle w:val="TextBody"/>
      </w:pPr>
      <w:r>
        <w:rPr/>
        <w:t>The formula is:</w:t>
        <w:br/>
      </w:r>
      <w:r>
        <w:rPr/>
        <w:drawing>
          <wp:inline distT="0" distB="0" distL="0" distR="0">
            <wp:extent cx="1552575" cy="552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StrongEmphasis"/>
        </w:rPr>
        <w:t>Where</w:t>
      </w:r>
      <w:r>
        <w:rPr/>
        <w:t>: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f = forecasts (expected values or unknown results),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o = observed values (known results). </w:t>
      </w:r>
      <w:r/>
    </w:p>
    <w:p>
      <w:pPr>
        <w:pStyle w:val="TextBody"/>
      </w:pPr>
      <w:r>
        <w:rPr/>
        <w:t>The bar above the squared differences is the mean (similar to x̄). The same formula can be written with the following, slightly different, notation (Barnston, 1992):</w:t>
        <w:br/>
      </w:r>
      <w:r>
        <w:rPr/>
        <w:drawing>
          <wp:inline distT="0" distB="0" distL="0" distR="0">
            <wp:extent cx="2809875" cy="7239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StrongEmphasis"/>
        </w:rPr>
        <w:t>Where</w:t>
      </w:r>
      <w:r>
        <w:rPr/>
        <w:t>: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</w:pPr>
      <w:r>
        <w:rPr/>
        <w:t xml:space="preserve">Σ = </w:t>
      </w:r>
      <w:hyperlink r:id="rId10">
        <w:r>
          <w:rPr>
            <w:rStyle w:val="InternetLink"/>
          </w:rPr>
          <w:t xml:space="preserve">summation </w:t>
        </w:r>
      </w:hyperlink>
      <w:r>
        <w:rPr/>
        <w:t xml:space="preserve">(“add up”) 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</w:pPr>
      <w:r>
        <w:rPr/>
        <w:t>(z</w:t>
      </w:r>
      <w:r>
        <w:rPr>
          <w:position w:val="-6"/>
          <w:sz w:val="19"/>
        </w:rPr>
        <w:t>fi</w:t>
      </w:r>
      <w:r>
        <w:rPr/>
        <w:t xml:space="preserve"> – Z</w:t>
      </w:r>
      <w:r>
        <w:rPr>
          <w:position w:val="-6"/>
          <w:sz w:val="19"/>
        </w:rPr>
        <w:t>oi</w:t>
      </w:r>
      <w:r>
        <w:rPr/>
        <w:t xml:space="preserve">)Sup&gt;2 = differences, squared 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</w:pPr>
      <w:r>
        <w:rPr/>
        <w:t xml:space="preserve">N = </w:t>
      </w:r>
      <w:hyperlink r:id="rId11">
        <w:r>
          <w:rPr>
            <w:rStyle w:val="InternetLink"/>
          </w:rPr>
          <w:t>sample size</w:t>
        </w:r>
      </w:hyperlink>
      <w:r>
        <w:rPr/>
        <w:t xml:space="preserve">. </w:t>
      </w:r>
      <w:r/>
    </w:p>
    <w:p>
      <w:pPr>
        <w:pStyle w:val="TextBody"/>
      </w:pPr>
      <w:r>
        <w:rPr/>
        <w:t xml:space="preserve">You can use whichever formula you feel most comfortable with, as they both do the same thing. </w:t>
      </w:r>
      <w:r>
        <w:rPr>
          <w:rStyle w:val="StrongEmphasis"/>
        </w:rPr>
        <w:t>If you don’t like formulas, you can find the RMSE by:</w:t>
      </w:r>
      <w:r/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Squaring the residuals. </w:t>
      </w:r>
      <w:r/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</w:pPr>
      <w:r>
        <w:rPr/>
        <w:t xml:space="preserve">Finding the </w:t>
      </w:r>
      <w:hyperlink r:id="rId12">
        <w:r>
          <w:rPr>
            <w:rStyle w:val="InternetLink"/>
          </w:rPr>
          <w:t xml:space="preserve">average </w:t>
        </w:r>
      </w:hyperlink>
      <w:r>
        <w:rPr/>
        <w:t xml:space="preserve">of the residuals. </w:t>
      </w:r>
      <w:r/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Taking the square root of the result. </w:t>
      </w:r>
      <w:r/>
    </w:p>
    <w:p>
      <w:pPr>
        <w:pStyle w:val="TextBody"/>
      </w:pPr>
      <w:r>
        <w:rPr/>
        <w:t xml:space="preserve">That said, this can be a </w:t>
      </w:r>
      <w:r>
        <w:rPr>
          <w:rStyle w:val="StrongEmphasis"/>
        </w:rPr>
        <w:t>lot</w:t>
      </w:r>
      <w:r>
        <w:rPr/>
        <w:t xml:space="preserve"> of calculation, depending on how large your data set it. A shortcut to finding the root mean square error is:</w:t>
        <w:br/>
      </w:r>
      <w:r>
        <w:rPr/>
        <w:drawing>
          <wp:inline distT="0" distB="0" distL="0" distR="0">
            <wp:extent cx="2143125" cy="3429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>Where SD</w:t>
      </w:r>
      <w:r>
        <w:rPr>
          <w:position w:val="-6"/>
          <w:sz w:val="19"/>
        </w:rPr>
        <w:t>y</w:t>
      </w:r>
      <w:r>
        <w:rPr/>
        <w:t xml:space="preserve"> is the standard deviation of Y.</w:t>
      </w:r>
      <w:r/>
    </w:p>
    <w:p>
      <w:pPr>
        <w:pStyle w:val="TextBody"/>
      </w:pPr>
      <w:r>
        <w:rPr/>
        <w:t xml:space="preserve">When standardized observations and forecasts are used as RMSE inputs, there is a direct relationship with the </w:t>
      </w:r>
      <w:hyperlink r:id="rId14">
        <w:r>
          <w:rPr>
            <w:rStyle w:val="InternetLink"/>
          </w:rPr>
          <w:t>correlation coefficient.</w:t>
        </w:r>
      </w:hyperlink>
      <w:r>
        <w:rPr/>
        <w:t xml:space="preserve"> For example, if the correlation coefficient is 1, the RMSE will be 0, because all of the points lie on the regression line (and therefore there are no errors).</w:t>
      </w:r>
      <w:r/>
    </w:p>
    <w:p>
      <w:pPr>
        <w:pStyle w:val="TextBody"/>
      </w:pPr>
      <w:r>
        <w:rPr>
          <w:rStyle w:val="StrongEmphasis"/>
        </w:rPr>
        <w:t>References</w:t>
      </w:r>
      <w:r>
        <w:rPr/>
        <w:br/>
        <w:t xml:space="preserve">Barnston, A., (1992). “Correspondence among the Correlation [root mean square error] and Heidke Verification Measures; Refinement of the Heidke Score.” Notes and Correspondence, Climate Analysis Center. Available from </w:t>
      </w:r>
      <w:hyperlink r:id="rId15">
        <w:r>
          <w:rPr>
            <w:rStyle w:val="InternetLink"/>
          </w:rPr>
          <w:t>here</w:t>
        </w:r>
      </w:hyperlink>
      <w:r>
        <w:rPr/>
        <w:t xml:space="preserve">. </w:t>
      </w:r>
      <w:r/>
    </w:p>
    <w:p>
      <w:pPr>
        <w:pStyle w:val="Normal"/>
      </w:pPr>
      <w:r>
        <w:rPr/>
      </w:r>
      <w:r/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08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144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18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216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2520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2880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3240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3600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08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144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18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216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2520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2880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3240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3600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esidual_sum_of_squares" TargetMode="External"/><Relationship Id="rId3" Type="http://schemas.openxmlformats.org/officeDocument/2006/relationships/hyperlink" Target="https://en.wikipedia.org/wiki/Mean_squared_error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ww.statisticshowto.com/residual/" TargetMode="External"/><Relationship Id="rId6" Type="http://schemas.openxmlformats.org/officeDocument/2006/relationships/hyperlink" Target="http://www.statisticshowto.com/line-of-best-fit/" TargetMode="External"/><Relationship Id="rId7" Type="http://schemas.openxmlformats.org/officeDocument/2006/relationships/hyperlink" Target="http://www.statisticshowto.com/probability-and-statistics/regression-analysis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statisticshowto.com/summation/" TargetMode="External"/><Relationship Id="rId11" Type="http://schemas.openxmlformats.org/officeDocument/2006/relationships/hyperlink" Target="http://www.statisticshowto.com/find-sample-size-statistics/" TargetMode="External"/><Relationship Id="rId12" Type="http://schemas.openxmlformats.org/officeDocument/2006/relationships/hyperlink" Target="http://www.statisticshowto.com/average/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www.statisticshowto.com/what-is-the-correlation-coefficient-formula/" TargetMode="External"/><Relationship Id="rId15" Type="http://schemas.openxmlformats.org/officeDocument/2006/relationships/hyperlink" Target="http://www.swpc.noaa.gov/sites/default/files/images/u30/Barnston, Anthony G., 1992.pdf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648</TotalTime>
  <Application>LibreOffice/4.3.3.2$Linux_X86_64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2017-02-05T05:36:08Z</dcterms:created>
  <dc:creator>alansary </dc:creator>
  <dc:language>en-US</dc:language>
  <cp:lastModifiedBy>alansary </cp:lastModifiedBy>
  <dcterms:modified xsi:type="dcterms:W3CDTF">2017-02-09T02:37:52Z</dcterms:modified>
  <cp:revision>3</cp:revision>
</cp:coreProperties>
</file>