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customXml/item1.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widowControl w:val="0"/>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ind w:left="216"/>
        <w:jc w:val="both"/>
        <w:rPr>
          <w:rFonts w:ascii="Times New Roman" w:hAnsi="Times New Roman" w:cs="Times New Roman" w:eastAsia="Times New Roman"/>
          <w:color w:val="000000" w:themeColor="text1"/>
          <w:sz w:val="20"/>
          <w:szCs w:val="20"/>
        </w:rPr>
      </w:pPr>
      <w:bookmarkStart w:id="0" w:name="_orz9yh8b4db9"/>
      <w:bookmarkEnd w:id="0"/>
      <w:r>
        <w:rPr>
          <w:rFonts w:ascii="Times New Roman" w:hAnsi="Times New Roman" w:cs="Times New Roman" w:eastAsia="Times New Roman"/>
          <w:noProof w:val="1"/>
          <w:color w:val="000000" w:themeColor="text1"/>
          <w:sz w:val="20"/>
          <w:szCs w:val="20"/>
          <w:lang w:eastAsia="en-IN"/>
        </w:rPr>
        <w:drawing>
          <wp:inline xmlns:wp="http://schemas.openxmlformats.org/drawingml/2006/wordprocessingDrawing" distT="0" distB="0" distL="0" distR="0">
            <wp:extent cx="2527300" cy="1412240"/>
            <wp:effectExtent l="0" t="0" r="0" b="0"/>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dpi="0">
                    <a:blip xmlns:r="http://schemas.openxmlformats.org/officeDocument/2006/relationships" r:embed="Relimage1"/>
                    <a:srcRect/>
                    <a:stretch>
                      <a:fillRect/>
                    </a:stretch>
                  </pic:blipFill>
                  <pic:spPr>
                    <a:xfrm>
                      <a:off x="0" y="0"/>
                      <a:ext cx="2527300" cy="1412240"/>
                    </a:xfrm>
                    <a:prstGeom prst="rect"/>
                  </pic:spPr>
                </pic:pic>
              </a:graphicData>
            </a:graphic>
          </wp:inline>
        </w:drawing>
      </w:r>
    </w:p>
    <w:p>
      <w:pPr>
        <w:widowControl w:val="0"/>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color w:val="000000" w:themeColor="text1"/>
          <w:sz w:val="32"/>
          <w:szCs w:val="32"/>
        </w:rPr>
      </w:pPr>
    </w:p>
    <w:p>
      <w:pPr>
        <w:widowControl w:val="0"/>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color w:val="000000" w:themeColor="text1"/>
          <w:sz w:val="32"/>
          <w:szCs w:val="32"/>
        </w:rPr>
      </w:pPr>
    </w:p>
    <w:p>
      <w:pPr>
        <w:widowControl w:val="0"/>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color w:val="000000" w:themeColor="text1"/>
          <w:sz w:val="32"/>
          <w:szCs w:val="32"/>
        </w:rPr>
      </w:pPr>
    </w:p>
    <w:p>
      <w:pPr>
        <w:widowControl w:val="0"/>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color w:val="000000" w:themeColor="text1"/>
          <w:sz w:val="32"/>
          <w:szCs w:val="32"/>
        </w:rPr>
      </w:pPr>
    </w:p>
    <w:p>
      <w:pPr>
        <w:widowControl w:val="0"/>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color w:val="000000" w:themeColor="text1"/>
          <w:sz w:val="32"/>
          <w:szCs w:val="32"/>
        </w:rPr>
      </w:pPr>
    </w:p>
    <w:p>
      <w:pPr>
        <w:pStyle w:val="P7"/>
        <w:spacing w:lineRule="auto" w:line="360" w:before="240" w:after="240" w:beforeAutospacing="0" w:afterAutospacing="0"/>
        <w:jc w:val="both"/>
        <w:rPr>
          <w:color w:val="000000" w:themeColor="text1"/>
        </w:rPr>
      </w:pPr>
      <w:r>
        <w:rPr>
          <w:color w:val="000000" w:themeColor="text1"/>
        </w:rPr>
        <w:t>Retail Price Inflation and Its Impact on Irish Households</w:t>
      </w:r>
    </w:p>
    <w:p>
      <w:pPr>
        <w:widowControl w:val="0"/>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b w:val="1"/>
          <w:bCs w:val="1"/>
          <w:color w:val="000000" w:themeColor="text1"/>
          <w:sz w:val="32"/>
          <w:szCs w:val="32"/>
        </w:rPr>
      </w:pPr>
    </w:p>
    <w:p>
      <w:pPr>
        <w:widowControl w:val="0"/>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b w:val="1"/>
          <w:bCs w:val="1"/>
          <w:color w:val="000000" w:themeColor="text1"/>
          <w:sz w:val="32"/>
          <w:szCs w:val="32"/>
        </w:rPr>
      </w:pPr>
    </w:p>
    <w:p>
      <w:pPr>
        <w:widowControl w:val="0"/>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b w:val="1"/>
          <w:bCs w:val="1"/>
          <w:color w:val="000000" w:themeColor="text1"/>
          <w:sz w:val="32"/>
          <w:szCs w:val="32"/>
        </w:rPr>
      </w:pPr>
    </w:p>
    <w:p>
      <w:pPr>
        <w:spacing w:lineRule="auto" w:line="360" w:before="240" w:after="240" w:beforeAutospacing="0" w:afterAutospacing="0"/>
        <w:ind w:left="1574"/>
        <w:jc w:val="both"/>
        <w:rPr>
          <w:rFonts w:ascii="Times New Roman" w:hAnsi="Times New Roman" w:cs="Times New Roman" w:eastAsia="Times New Roman"/>
          <w:color w:val="000000" w:themeColor="text1"/>
          <w:sz w:val="32"/>
          <w:szCs w:val="32"/>
        </w:rPr>
      </w:pPr>
      <w:r>
        <w:rPr>
          <w:rFonts w:ascii="Times New Roman" w:hAnsi="Times New Roman" w:cs="Times New Roman" w:eastAsia="Times New Roman"/>
          <w:b w:val="1"/>
          <w:bCs w:val="1"/>
          <w:color w:val="000000" w:themeColor="text1"/>
          <w:sz w:val="32"/>
          <w:szCs w:val="32"/>
        </w:rPr>
        <w:t>Student Name</w:t>
      </w:r>
      <w:r>
        <w:rPr>
          <w:rFonts w:ascii="Times New Roman" w:hAnsi="Times New Roman" w:cs="Times New Roman" w:eastAsia="Times New Roman"/>
          <w:color w:val="000000" w:themeColor="text1"/>
          <w:sz w:val="32"/>
          <w:szCs w:val="32"/>
        </w:rPr>
        <w:t xml:space="preserve">: </w:t>
      </w:r>
      <w:r>
        <w:rPr>
          <w:rFonts w:ascii="Times New Roman" w:hAnsi="Times New Roman" w:cs="Times New Roman" w:eastAsia="Times New Roman"/>
          <w:color w:val="000000" w:themeColor="text1"/>
          <w:sz w:val="32"/>
          <w:szCs w:val="32"/>
          <w:rtl w:val="0"/>
          <w:lang w:val="en-IN" w:bidi="en-IN" w:eastAsia="en-IN"/>
        </w:rPr>
        <w:t>Alan Sha</w:t>
      </w:r>
    </w:p>
    <w:p>
      <w:pPr>
        <w:spacing w:lineRule="auto" w:line="360" w:before="240" w:after="240" w:beforeAutospacing="0" w:afterAutospacing="0"/>
        <w:ind w:left="1574"/>
        <w:jc w:val="both"/>
        <w:rPr>
          <w:rFonts w:ascii="Times New Roman" w:hAnsi="Times New Roman" w:cs="Times New Roman" w:eastAsia="Times New Roman"/>
          <w:color w:val="000000" w:themeColor="text1"/>
          <w:sz w:val="32"/>
          <w:szCs w:val="32"/>
        </w:rPr>
      </w:pPr>
      <w:r>
        <w:rPr>
          <w:rFonts w:ascii="Times New Roman" w:hAnsi="Times New Roman" w:cs="Times New Roman" w:eastAsia="Times New Roman"/>
          <w:b w:val="1"/>
          <w:bCs w:val="1"/>
          <w:color w:val="000000" w:themeColor="text1"/>
          <w:sz w:val="32"/>
          <w:szCs w:val="32"/>
        </w:rPr>
        <w:t>Student ID</w:t>
      </w:r>
      <w:r>
        <w:rPr>
          <w:rFonts w:ascii="Times New Roman" w:hAnsi="Times New Roman" w:cs="Times New Roman" w:eastAsia="Times New Roman"/>
          <w:color w:val="000000" w:themeColor="text1"/>
          <w:sz w:val="32"/>
          <w:szCs w:val="32"/>
        </w:rPr>
        <w:t xml:space="preserve">: </w:t>
      </w:r>
      <w:r>
        <w:rPr>
          <w:rFonts w:ascii="Times New Roman" w:hAnsi="Times New Roman" w:cs="Times New Roman" w:eastAsia="Times New Roman"/>
          <w:color w:val="000000" w:themeColor="text1"/>
          <w:sz w:val="32"/>
          <w:szCs w:val="32"/>
          <w:rtl w:val="0"/>
          <w:lang w:val="en-IN" w:bidi="en-IN" w:eastAsia="en-IN"/>
        </w:rPr>
        <w:t>20061507</w:t>
      </w:r>
    </w:p>
    <w:p>
      <w:pPr>
        <w:spacing w:lineRule="auto" w:line="360" w:before="240" w:after="240" w:beforeAutospacing="0" w:afterAutospacing="0"/>
        <w:ind w:left="1574"/>
        <w:jc w:val="both"/>
        <w:rPr>
          <w:rFonts w:ascii="Times New Roman" w:hAnsi="Times New Roman" w:cs="Times New Roman" w:eastAsia="Times New Roman"/>
          <w:color w:val="000000" w:themeColor="text1"/>
          <w:sz w:val="32"/>
          <w:szCs w:val="32"/>
        </w:rPr>
      </w:pPr>
      <w:r>
        <w:rPr>
          <w:rFonts w:ascii="Times New Roman" w:hAnsi="Times New Roman" w:cs="Times New Roman" w:eastAsia="Times New Roman"/>
          <w:b w:val="1"/>
          <w:bCs w:val="1"/>
          <w:color w:val="000000" w:themeColor="text1"/>
          <w:sz w:val="32"/>
          <w:szCs w:val="32"/>
        </w:rPr>
        <w:t>Module Name&amp; Code</w:t>
      </w:r>
      <w:r>
        <w:rPr>
          <w:rFonts w:ascii="Times New Roman" w:hAnsi="Times New Roman" w:cs="Times New Roman" w:eastAsia="Times New Roman"/>
          <w:color w:val="000000" w:themeColor="text1"/>
          <w:sz w:val="32"/>
          <w:szCs w:val="32"/>
        </w:rPr>
        <w:t>: Applied Research Project (B9DA113)</w:t>
      </w:r>
    </w:p>
    <w:p>
      <w:pPr>
        <w:spacing w:lineRule="auto" w:line="360" w:before="240" w:after="240" w:beforeAutospacing="0" w:afterAutospacing="0"/>
        <w:ind w:left="1574"/>
        <w:jc w:val="both"/>
        <w:rPr>
          <w:rFonts w:ascii="Times New Roman" w:hAnsi="Times New Roman" w:cs="Times New Roman" w:eastAsia="Times New Roman"/>
          <w:color w:val="000000" w:themeColor="text1"/>
          <w:sz w:val="32"/>
          <w:szCs w:val="32"/>
        </w:rPr>
      </w:pPr>
      <w:r>
        <w:rPr>
          <w:rFonts w:ascii="Times New Roman" w:hAnsi="Times New Roman" w:cs="Times New Roman" w:eastAsia="Times New Roman"/>
          <w:b w:val="1"/>
          <w:bCs w:val="1"/>
          <w:color w:val="000000" w:themeColor="text1"/>
          <w:sz w:val="32"/>
          <w:szCs w:val="32"/>
        </w:rPr>
        <w:t>Course</w:t>
      </w:r>
      <w:r>
        <w:rPr>
          <w:rFonts w:ascii="Times New Roman" w:hAnsi="Times New Roman" w:cs="Times New Roman" w:eastAsia="Times New Roman"/>
          <w:color w:val="000000" w:themeColor="text1"/>
          <w:sz w:val="32"/>
          <w:szCs w:val="32"/>
        </w:rPr>
        <w:t>: M Sc. Data Analytics</w:t>
      </w:r>
    </w:p>
    <w:p>
      <w:pPr>
        <w:spacing w:lineRule="auto" w:line="360" w:before="240" w:after="240" w:beforeAutospacing="0" w:afterAutospacing="0"/>
        <w:ind w:left="1574"/>
        <w:jc w:val="both"/>
        <w:rPr>
          <w:rFonts w:ascii="Times New Roman" w:hAnsi="Times New Roman" w:cs="Times New Roman" w:eastAsia="Times New Roman"/>
          <w:color w:val="000000" w:themeColor="text1"/>
          <w:sz w:val="36"/>
          <w:szCs w:val="36"/>
        </w:rPr>
      </w:pPr>
      <w:r>
        <w:rPr>
          <w:rFonts w:ascii="Times New Roman" w:hAnsi="Times New Roman" w:cs="Times New Roman" w:eastAsia="Times New Roman"/>
          <w:b w:val="1"/>
          <w:bCs w:val="1"/>
          <w:color w:val="000000" w:themeColor="text1"/>
          <w:sz w:val="36"/>
          <w:szCs w:val="36"/>
        </w:rPr>
        <w:t>Professor Name</w:t>
      </w:r>
      <w:r>
        <w:rPr>
          <w:rFonts w:ascii="Times New Roman" w:hAnsi="Times New Roman" w:cs="Times New Roman" w:eastAsia="Times New Roman"/>
          <w:color w:val="000000" w:themeColor="text1"/>
          <w:sz w:val="36"/>
          <w:szCs w:val="36"/>
        </w:rPr>
        <w:t xml:space="preserve">: </w:t>
      </w:r>
      <w:r>
        <w:rPr>
          <w:rFonts w:ascii="Times New Roman" w:hAnsi="Times New Roman" w:cs="Times New Roman" w:eastAsia="Times New Roman"/>
          <w:color w:val="000000" w:themeColor="text1"/>
          <w:sz w:val="36"/>
          <w:szCs w:val="36"/>
          <w:rtl w:val="0"/>
          <w:lang w:val="en-IN" w:bidi="en-IN" w:eastAsia="en-IN"/>
        </w:rPr>
        <w:t>Obinna Izima</w:t>
      </w:r>
    </w:p>
    <w:p>
      <w:pPr>
        <w:spacing w:lineRule="auto" w:line="360" w:before="240" w:after="240" w:beforeAutospacing="0" w:afterAutospacing="0"/>
        <w:jc w:val="both"/>
        <w:rPr>
          <w:rFonts w:ascii="Times New Roman" w:hAnsi="Times New Roman" w:cs="Times New Roman" w:eastAsia="Times New Roman"/>
          <w:b w:val="1"/>
          <w:bCs w:val="1"/>
          <w:color w:val="000000" w:themeColor="text1"/>
          <w:sz w:val="28"/>
          <w:szCs w:val="28"/>
        </w:rPr>
      </w:pPr>
      <w:r>
        <w:rPr>
          <w:rFonts w:ascii="Times New Roman" w:hAnsi="Times New Roman" w:cs="Times New Roman" w:eastAsia="Times New Roman"/>
          <w:b w:val="1"/>
          <w:bCs w:val="1"/>
          <w:color w:val="000000" w:themeColor="text1"/>
          <w:sz w:val="28"/>
          <w:szCs w:val="28"/>
          <w:rtl w:val="0"/>
          <w:lang w:val="en-IN" w:bidi="en-IN" w:eastAsia="en-IN"/>
        </w:rPr>
        <w:t>Declaration</w:t>
      </w:r>
    </w:p>
    <w:p>
      <w:pPr>
        <w:spacing w:lineRule="auto" w:line="360" w:before="240" w:after="240" w:beforeAutospacing="0" w:afterAutospacing="0"/>
        <w:jc w:val="both"/>
        <w:rPr>
          <w:rFonts w:ascii="Times New Roman" w:hAnsi="Times New Roman" w:cs="Times New Roman" w:eastAsia="Times New Roman"/>
          <w:b w:val="0"/>
          <w:bCs w:val="0"/>
          <w:color w:val="000000" w:themeColor="text1"/>
          <w:sz w:val="28"/>
          <w:szCs w:val="28"/>
        </w:rPr>
      </w:pPr>
      <w:r>
        <w:rPr>
          <w:rFonts w:ascii="Times New Roman" w:hAnsi="Times New Roman" w:cs="Times New Roman" w:eastAsia="Times New Roman"/>
          <w:b w:val="0"/>
          <w:bCs w:val="0"/>
          <w:color w:val="000000" w:themeColor="text1"/>
          <w:sz w:val="28"/>
          <w:szCs w:val="28"/>
        </w:rPr>
        <w:t>I declare that this Applied Research Project submitted to Dublin Business School for the award of MSc in Data Analytics is entirely the result of my own work and investigation, except where otherwise acknowledged by appropriate references. This work has not been submitted, in whole or in part, for any other degree or qualification.</w:t>
      </w:r>
    </w:p>
    <w:p>
      <w:pPr>
        <w:spacing w:lineRule="auto" w:line="360" w:before="240" w:after="240" w:beforeAutospacing="0" w:afterAutospacing="0"/>
        <w:jc w:val="both"/>
        <w:rPr>
          <w:rFonts w:ascii="Times New Roman" w:hAnsi="Times New Roman" w:cs="Times New Roman" w:eastAsia="Times New Roman"/>
          <w:b w:val="0"/>
          <w:bCs w:val="0"/>
          <w:color w:val="000000" w:themeColor="text1"/>
          <w:sz w:val="28"/>
          <w:szCs w:val="28"/>
        </w:rPr>
      </w:pPr>
      <w:r>
        <w:rPr>
          <w:rFonts w:ascii="Times New Roman" w:hAnsi="Times New Roman" w:cs="Times New Roman" w:eastAsia="Times New Roman"/>
          <w:b w:val="0"/>
          <w:bCs w:val="0"/>
          <w:color w:val="000000" w:themeColor="text1"/>
          <w:sz w:val="28"/>
          <w:szCs w:val="28"/>
        </w:rPr>
        <w:t xml:space="preserve">Signed: </w:t>
      </w:r>
      <w:r>
        <w:rPr>
          <w:rFonts w:ascii="Times New Roman" w:hAnsi="Times New Roman" w:cs="Times New Roman" w:eastAsia="Times New Roman"/>
          <w:b w:val="0"/>
          <w:bCs w:val="0"/>
          <w:color w:val="000000" w:themeColor="text1"/>
          <w:sz w:val="28"/>
          <w:szCs w:val="28"/>
          <w:rtl w:val="0"/>
          <w:lang w:val="en-IN" w:bidi="en-IN" w:eastAsia="en-IN"/>
        </w:rPr>
        <w:t>Alan Sha</w:t>
      </w:r>
      <w:r>
        <w:rPr>
          <w:rFonts w:ascii="Times New Roman" w:hAnsi="Times New Roman" w:cs="Times New Roman" w:eastAsia="Times New Roman"/>
          <w:b w:val="0"/>
          <w:bCs w:val="0"/>
          <w:color w:val="000000" w:themeColor="text1"/>
          <w:sz w:val="28"/>
          <w:szCs w:val="28"/>
        </w:rPr>
        <w:t xml:space="preserve">  </w:t>
      </w:r>
    </w:p>
    <w:p>
      <w:pPr>
        <w:spacing w:lineRule="auto" w:line="360" w:before="240" w:after="240" w:beforeAutospacing="0" w:afterAutospacing="0"/>
        <w:jc w:val="both"/>
        <w:rPr>
          <w:rFonts w:ascii="Times New Roman" w:hAnsi="Times New Roman" w:cs="Times New Roman" w:eastAsia="Times New Roman"/>
          <w:b w:val="0"/>
          <w:bCs w:val="0"/>
          <w:color w:val="000000" w:themeColor="text1"/>
          <w:sz w:val="28"/>
          <w:szCs w:val="28"/>
        </w:rPr>
      </w:pPr>
      <w:r>
        <w:rPr>
          <w:rFonts w:ascii="Times New Roman" w:hAnsi="Times New Roman" w:cs="Times New Roman" w:eastAsia="Times New Roman"/>
          <w:b w:val="0"/>
          <w:bCs w:val="0"/>
          <w:color w:val="000000" w:themeColor="text1"/>
          <w:sz w:val="28"/>
          <w:szCs w:val="28"/>
        </w:rPr>
        <w:t>Student Number: 2006</w:t>
      </w:r>
      <w:r>
        <w:rPr>
          <w:rFonts w:ascii="Times New Roman" w:hAnsi="Times New Roman" w:cs="Times New Roman" w:eastAsia="Times New Roman"/>
          <w:b w:val="0"/>
          <w:bCs w:val="0"/>
          <w:color w:val="000000" w:themeColor="text1"/>
          <w:sz w:val="28"/>
          <w:szCs w:val="28"/>
          <w:rtl w:val="0"/>
          <w:lang w:val="en-IN" w:bidi="en-IN" w:eastAsia="en-IN"/>
        </w:rPr>
        <w:t>1507</w:t>
      </w:r>
      <w:r>
        <w:rPr>
          <w:rFonts w:ascii="Times New Roman" w:hAnsi="Times New Roman" w:cs="Times New Roman" w:eastAsia="Times New Roman"/>
          <w:b w:val="0"/>
          <w:bCs w:val="0"/>
          <w:color w:val="000000" w:themeColor="text1"/>
          <w:sz w:val="28"/>
          <w:szCs w:val="28"/>
        </w:rPr>
        <w:t xml:space="preserve">  </w:t>
      </w:r>
    </w:p>
    <w:p>
      <w:pPr>
        <w:spacing w:lineRule="auto" w:line="360" w:before="240" w:after="240" w:beforeAutospacing="0" w:afterAutospacing="0"/>
        <w:jc w:val="both"/>
        <w:rPr>
          <w:rFonts w:ascii="Times New Roman" w:hAnsi="Times New Roman" w:cs="Times New Roman" w:eastAsia="Times New Roman"/>
          <w:b w:val="0"/>
          <w:bCs w:val="0"/>
          <w:color w:val="000000" w:themeColor="text1"/>
          <w:sz w:val="28"/>
          <w:szCs w:val="28"/>
        </w:rPr>
      </w:pPr>
      <w:r>
        <w:rPr>
          <w:rFonts w:ascii="Times New Roman" w:hAnsi="Times New Roman" w:cs="Times New Roman" w:eastAsia="Times New Roman"/>
          <w:b w:val="0"/>
          <w:bCs w:val="0"/>
          <w:color w:val="000000" w:themeColor="text1"/>
          <w:sz w:val="28"/>
          <w:szCs w:val="28"/>
        </w:rPr>
        <w:t>Date: 0</w:t>
      </w:r>
      <w:r>
        <w:rPr>
          <w:rFonts w:ascii="Times New Roman" w:hAnsi="Times New Roman" w:cs="Times New Roman" w:eastAsia="Times New Roman"/>
          <w:b w:val="0"/>
          <w:bCs w:val="0"/>
          <w:color w:val="000000" w:themeColor="text1"/>
          <w:sz w:val="28"/>
          <w:szCs w:val="28"/>
          <w:rtl w:val="0"/>
          <w:lang w:val="en-IN" w:bidi="en-IN" w:eastAsia="en-IN"/>
        </w:rPr>
        <w:t>7</w:t>
      </w:r>
      <w:r>
        <w:rPr>
          <w:rFonts w:ascii="Times New Roman" w:hAnsi="Times New Roman" w:cs="Times New Roman" w:eastAsia="Times New Roman"/>
          <w:b w:val="0"/>
          <w:bCs w:val="0"/>
          <w:color w:val="000000" w:themeColor="text1"/>
          <w:sz w:val="28"/>
          <w:szCs w:val="28"/>
        </w:rPr>
        <w:t>/01/2026</w:t>
      </w:r>
    </w:p>
    <w:p>
      <w:pPr>
        <w:spacing w:lineRule="auto" w:line="360" w:before="240" w:after="240" w:beforeAutospacing="0" w:afterAutospacing="0"/>
        <w:jc w:val="both"/>
        <w:rPr>
          <w:rFonts w:ascii="Times New Roman" w:hAnsi="Times New Roman" w:cs="Times New Roman" w:eastAsia="Times New Roman"/>
          <w:b w:val="1"/>
          <w:bCs w:val="1"/>
          <w:color w:val="000000" w:themeColor="text1"/>
          <w:sz w:val="28"/>
          <w:szCs w:val="28"/>
        </w:rPr>
      </w:pPr>
    </w:p>
    <w:p>
      <w:pPr>
        <w:spacing w:lineRule="auto" w:line="360" w:before="240" w:after="240" w:beforeAutospacing="0" w:afterAutospacing="0"/>
        <w:jc w:val="both"/>
        <w:rPr>
          <w:rFonts w:ascii="Times New Roman" w:hAnsi="Times New Roman" w:cs="Times New Roman" w:eastAsia="Times New Roman"/>
          <w:b w:val="1"/>
          <w:bCs w:val="1"/>
          <w:color w:val="000000" w:themeColor="text1"/>
          <w:sz w:val="28"/>
          <w:szCs w:val="28"/>
        </w:rPr>
      </w:pPr>
    </w:p>
    <w:p>
      <w:pPr>
        <w:spacing w:lineRule="auto" w:line="360" w:before="240" w:after="240" w:beforeAutospacing="0" w:afterAutospacing="0"/>
        <w:jc w:val="both"/>
        <w:rPr>
          <w:rFonts w:ascii="Times New Roman" w:hAnsi="Times New Roman" w:cs="Times New Roman" w:eastAsia="Times New Roman"/>
          <w:b w:val="1"/>
          <w:bCs w:val="1"/>
          <w:color w:val="000000" w:themeColor="text1"/>
          <w:sz w:val="28"/>
          <w:szCs w:val="28"/>
        </w:rPr>
      </w:pPr>
    </w:p>
    <w:p>
      <w:pPr>
        <w:spacing w:lineRule="auto" w:line="360" w:before="240" w:after="240" w:beforeAutospacing="0" w:afterAutospacing="0"/>
        <w:jc w:val="both"/>
        <w:rPr>
          <w:rFonts w:ascii="Times New Roman" w:hAnsi="Times New Roman" w:cs="Times New Roman" w:eastAsia="Times New Roman"/>
          <w:b w:val="1"/>
          <w:bCs w:val="1"/>
          <w:color w:val="000000" w:themeColor="text1"/>
          <w:sz w:val="28"/>
          <w:szCs w:val="28"/>
        </w:rPr>
      </w:pPr>
    </w:p>
    <w:p>
      <w:pPr>
        <w:spacing w:lineRule="auto" w:line="360" w:before="240" w:after="240" w:beforeAutospacing="0" w:afterAutospacing="0"/>
        <w:jc w:val="both"/>
        <w:rPr>
          <w:rFonts w:ascii="Times New Roman" w:hAnsi="Times New Roman" w:cs="Times New Roman" w:eastAsia="Times New Roman"/>
          <w:b w:val="1"/>
          <w:bCs w:val="1"/>
          <w:color w:val="000000" w:themeColor="text1"/>
          <w:sz w:val="28"/>
          <w:szCs w:val="28"/>
        </w:rPr>
      </w:pPr>
    </w:p>
    <w:p>
      <w:pPr>
        <w:spacing w:lineRule="auto" w:line="360" w:before="240" w:after="240" w:beforeAutospacing="0" w:afterAutospacing="0"/>
        <w:jc w:val="both"/>
        <w:rPr>
          <w:rFonts w:ascii="Times New Roman" w:hAnsi="Times New Roman" w:cs="Times New Roman" w:eastAsia="Times New Roman"/>
          <w:b w:val="1"/>
          <w:bCs w:val="1"/>
          <w:color w:val="000000" w:themeColor="text1"/>
          <w:sz w:val="28"/>
          <w:szCs w:val="28"/>
        </w:rPr>
      </w:pPr>
    </w:p>
    <w:p>
      <w:pPr>
        <w:spacing w:lineRule="auto" w:line="360" w:before="240" w:after="240" w:beforeAutospacing="0" w:afterAutospacing="0"/>
        <w:jc w:val="both"/>
        <w:rPr>
          <w:rFonts w:ascii="Times New Roman" w:hAnsi="Times New Roman" w:cs="Times New Roman" w:eastAsia="Times New Roman"/>
          <w:b w:val="1"/>
          <w:bCs w:val="1"/>
          <w:color w:val="000000" w:themeColor="text1"/>
          <w:sz w:val="28"/>
          <w:szCs w:val="28"/>
        </w:rPr>
      </w:pPr>
    </w:p>
    <w:p>
      <w:pPr>
        <w:spacing w:lineRule="auto" w:line="360" w:before="240" w:after="240" w:beforeAutospacing="0" w:afterAutospacing="0"/>
        <w:jc w:val="both"/>
        <w:rPr>
          <w:rFonts w:ascii="Times New Roman" w:hAnsi="Times New Roman" w:cs="Times New Roman" w:eastAsia="Times New Roman"/>
          <w:b w:val="1"/>
          <w:bCs w:val="1"/>
          <w:color w:val="000000" w:themeColor="text1"/>
          <w:sz w:val="28"/>
          <w:szCs w:val="28"/>
        </w:rPr>
      </w:pPr>
    </w:p>
    <w:p>
      <w:pPr>
        <w:spacing w:lineRule="auto" w:line="360" w:before="240" w:after="240" w:beforeAutospacing="0" w:afterAutospacing="0"/>
        <w:jc w:val="both"/>
        <w:rPr>
          <w:rFonts w:ascii="Times New Roman" w:hAnsi="Times New Roman" w:cs="Times New Roman" w:eastAsia="Times New Roman"/>
          <w:b w:val="1"/>
          <w:bCs w:val="1"/>
          <w:color w:val="000000" w:themeColor="text1"/>
          <w:sz w:val="28"/>
          <w:szCs w:val="28"/>
        </w:rPr>
      </w:pPr>
    </w:p>
    <w:p>
      <w:pPr>
        <w:spacing w:lineRule="auto" w:line="360" w:before="240" w:after="240" w:beforeAutospacing="0" w:afterAutospacing="0"/>
        <w:jc w:val="both"/>
        <w:rPr>
          <w:rFonts w:ascii="Times New Roman" w:hAnsi="Times New Roman" w:cs="Times New Roman" w:eastAsia="Times New Roman"/>
          <w:b w:val="1"/>
          <w:bCs w:val="1"/>
          <w:color w:val="000000" w:themeColor="text1"/>
          <w:sz w:val="28"/>
          <w:szCs w:val="28"/>
        </w:rPr>
      </w:pPr>
    </w:p>
    <w:p>
      <w:pPr>
        <w:spacing w:lineRule="auto" w:line="360" w:before="240" w:after="240" w:beforeAutospacing="0" w:afterAutospacing="0"/>
        <w:jc w:val="both"/>
        <w:rPr>
          <w:rFonts w:ascii="Times New Roman" w:hAnsi="Times New Roman" w:cs="Times New Roman" w:eastAsia="Times New Roman"/>
          <w:b w:val="1"/>
          <w:bCs w:val="1"/>
          <w:color w:val="000000" w:themeColor="text1"/>
          <w:sz w:val="28"/>
          <w:szCs w:val="28"/>
        </w:rPr>
      </w:pPr>
    </w:p>
    <w:p>
      <w:pPr>
        <w:spacing w:lineRule="auto" w:line="360" w:before="240" w:after="240" w:beforeAutospacing="0" w:afterAutospacing="0"/>
        <w:jc w:val="both"/>
        <w:rPr>
          <w:rFonts w:ascii="Times New Roman" w:hAnsi="Times New Roman" w:cs="Times New Roman" w:eastAsia="Times New Roman"/>
          <w:b w:val="1"/>
          <w:bCs w:val="1"/>
          <w:color w:val="000000" w:themeColor="text1"/>
          <w:sz w:val="28"/>
          <w:szCs w:val="28"/>
        </w:rPr>
      </w:pPr>
    </w:p>
    <w:p>
      <w:pPr>
        <w:spacing w:lineRule="auto" w:line="360" w:before="240" w:after="240" w:beforeAutospacing="0" w:afterAutospacing="0"/>
        <w:jc w:val="both"/>
        <w:rPr>
          <w:rFonts w:ascii="Times New Roman" w:hAnsi="Times New Roman" w:cs="Times New Roman" w:eastAsia="Times New Roman"/>
          <w:b w:val="1"/>
          <w:bCs w:val="1"/>
          <w:color w:val="000000" w:themeColor="text1"/>
          <w:sz w:val="28"/>
          <w:szCs w:val="28"/>
        </w:rPr>
      </w:pPr>
    </w:p>
    <w:p>
      <w:pPr>
        <w:spacing w:lineRule="auto" w:line="360" w:before="240" w:after="240" w:beforeAutospacing="0" w:afterAutospacing="0"/>
        <w:jc w:val="both"/>
        <w:rPr>
          <w:rFonts w:ascii="Times New Roman" w:hAnsi="Times New Roman" w:cs="Times New Roman" w:eastAsia="Times New Roman"/>
          <w:b w:val="1"/>
          <w:bCs w:val="1"/>
          <w:color w:val="000000" w:themeColor="text1"/>
          <w:sz w:val="28"/>
          <w:szCs w:val="28"/>
        </w:rPr>
      </w:pPr>
    </w:p>
    <w:p>
      <w:pPr>
        <w:spacing w:lineRule="auto" w:line="360" w:before="240" w:after="240" w:beforeAutospacing="0" w:afterAutospacing="0"/>
        <w:jc w:val="both"/>
        <w:rPr>
          <w:rFonts w:ascii="Times New Roman" w:hAnsi="Times New Roman" w:cs="Times New Roman" w:eastAsia="Times New Roman"/>
          <w:b w:val="1"/>
          <w:bCs w:val="1"/>
          <w:color w:val="000000" w:themeColor="text1"/>
          <w:sz w:val="28"/>
          <w:szCs w:val="28"/>
        </w:rPr>
      </w:pPr>
    </w:p>
    <w:p>
      <w:pPr>
        <w:spacing w:lineRule="auto" w:line="360" w:before="240" w:after="240" w:beforeAutospacing="0" w:afterAutospacing="0"/>
        <w:jc w:val="both"/>
        <w:rPr>
          <w:rFonts w:ascii="Times New Roman" w:hAnsi="Times New Roman" w:cs="Times New Roman" w:eastAsia="Times New Roman"/>
          <w:b w:val="1"/>
          <w:bCs w:val="1"/>
          <w:color w:val="000000" w:themeColor="text1"/>
          <w:sz w:val="28"/>
          <w:szCs w:val="28"/>
        </w:rPr>
      </w:pPr>
      <w:r>
        <w:rPr>
          <w:rFonts w:ascii="Times New Roman" w:hAnsi="Times New Roman" w:cs="Times New Roman" w:eastAsia="Times New Roman"/>
          <w:b w:val="1"/>
          <w:bCs w:val="1"/>
          <w:color w:val="000000" w:themeColor="text1"/>
          <w:sz w:val="28"/>
          <w:szCs w:val="28"/>
        </w:rPr>
        <w:t>Abstract</w:t>
      </w:r>
    </w:p>
    <w:p>
      <w:pPr>
        <w:spacing w:lineRule="auto" w:line="360" w:before="240" w:after="24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themeColor="text1"/>
          <w:sz w:val="24"/>
          <w:szCs w:val="24"/>
        </w:rPr>
        <w:t xml:space="preserve">This study examines how recent price changes in Ireland are affecting everyday households, focusing on essential spending categories such as housing, electricity and gas, transport and food. Using official Consumer Price Index (CPI) datafrom 2020 onwards, the study analyses sector‑wise and location‑wise percentage changes by comparing inflation trends between urban and rural areas. . The research adopts a quantitative design, combining descriptive analysis with forecasting approaches based on time-series and supervised learning models to examine short-term CPI movements.   Specifically, time‑series and supervised learning models, including ARIMA, Linear Regression, Random Forest and a small neural network, are then used to forecast overall CPI, with accuracy evaluated using MAE and RMSE on held‑out data. The findings show that essential expenditure categories have experienced the strongest price increases and that rural areas have faced slightly higher overall inflation than urban areas, implying that low‑income households, who spend a greater share of their income on these basics, are likely to feel the impact of inflation most strongly. The study gives evidence to notify household budgeting and policy responses.</w:t>
      </w:r>
    </w:p>
    <w:p>
      <w:pPr>
        <w:spacing w:lineRule="auto" w:line="360" w:before="240" w:after="240" w:beforeAutospacing="0" w:afterAutospacing="0"/>
        <w:jc w:val="both"/>
        <w:rPr>
          <w:rFonts w:ascii="Times New Roman" w:hAnsi="Times New Roman" w:cs="Times New Roman" w:eastAsia="Times New Roman"/>
          <w:color w:val="000000" w:themeColor="text1"/>
          <w:sz w:val="24"/>
          <w:szCs w:val="24"/>
        </w:rPr>
      </w:pPr>
    </w:p>
    <w:p>
      <w:pPr>
        <w:spacing w:lineRule="auto" w:line="360" w:before="240" w:after="240" w:beforeAutospacing="0" w:afterAutospacing="0"/>
        <w:rPr>
          <w:rFonts w:ascii="Times New Roman" w:hAnsi="Times New Roman" w:cs="Times New Roman"/>
          <w:color w:val="000000" w:themeColor="text1"/>
        </w:rPr>
      </w:pPr>
    </w:p>
    <w:p>
      <w:pPr>
        <w:spacing w:lineRule="auto" w:line="360" w:before="240" w:after="240" w:beforeAutospacing="0" w:afterAutospacing="0"/>
        <w:rPr>
          <w:rFonts w:ascii="Times New Roman" w:hAnsi="Times New Roman" w:cs="Times New Roman"/>
          <w:color w:val="000000" w:themeColor="text1"/>
        </w:rPr>
      </w:pPr>
    </w:p>
    <w:p>
      <w:pPr>
        <w:spacing w:lineRule="auto" w:line="360" w:before="240" w:after="240" w:beforeAutospacing="0" w:afterAutospacing="0"/>
        <w:rPr>
          <w:rFonts w:ascii="Times New Roman" w:hAnsi="Times New Roman" w:cs="Times New Roman"/>
          <w:color w:val="000000" w:themeColor="text1"/>
        </w:rPr>
      </w:pPr>
    </w:p>
    <w:p>
      <w:pPr>
        <w:spacing w:lineRule="auto" w:line="360" w:before="240" w:after="240" w:beforeAutospacing="0" w:afterAutospacing="0"/>
        <w:rPr>
          <w:rFonts w:ascii="Times New Roman" w:hAnsi="Times New Roman" w:cs="Times New Roman"/>
          <w:color w:val="000000" w:themeColor="text1"/>
        </w:rPr>
      </w:pPr>
    </w:p>
    <w:p>
      <w:pPr>
        <w:spacing w:lineRule="auto" w:line="360" w:before="240" w:after="240" w:beforeAutospacing="0" w:afterAutospacing="0"/>
        <w:rPr>
          <w:rFonts w:ascii="Times New Roman" w:hAnsi="Times New Roman" w:cs="Times New Roman"/>
          <w:color w:val="000000" w:themeColor="text1"/>
        </w:rPr>
      </w:pPr>
    </w:p>
    <w:p>
      <w:pPr>
        <w:spacing w:lineRule="auto" w:line="360" w:before="240" w:after="240" w:beforeAutospacing="0" w:afterAutospacing="0"/>
        <w:rPr>
          <w:rFonts w:ascii="Times New Roman" w:hAnsi="Times New Roman" w:cs="Times New Roman"/>
          <w:color w:val="000000" w:themeColor="text1"/>
        </w:rPr>
      </w:pPr>
    </w:p>
    <w:p>
      <w:pPr>
        <w:spacing w:lineRule="auto" w:line="360" w:before="240" w:after="240" w:beforeAutospacing="0" w:afterAutospacing="0"/>
        <w:rPr>
          <w:rFonts w:ascii="Times New Roman" w:hAnsi="Times New Roman" w:cs="Times New Roman"/>
          <w:color w:val="000000" w:themeColor="text1"/>
        </w:rPr>
      </w:pPr>
    </w:p>
    <w:p>
      <w:pPr>
        <w:pStyle w:val="P1"/>
        <w:spacing w:lineRule="auto" w:line="360" w:before="240" w:after="240" w:beforeAutospacing="0" w:afterAutospacing="0"/>
        <w:ind w:left="0"/>
        <w:jc w:val="center"/>
        <w:rPr>
          <w:color w:val="000000" w:themeColor="text1"/>
        </w:rPr>
      </w:pPr>
      <w:bookmarkStart w:id="1" w:name="_Toc217116134"/>
      <w:bookmarkStart w:id="2" w:name="_Toc217422063"/>
      <w:r>
        <w:rPr>
          <w:color w:val="000000" w:themeColor="text1"/>
        </w:rPr>
        <w:t>Table of Contents</w:t>
      </w:r>
      <w:bookmarkEnd w:id="1"/>
      <w:bookmarkEnd w:id="2"/>
    </w:p>
    <w:p>
      <w:pPr>
        <w:pStyle w:val="P14"/>
        <w:tabs>
          <w:tab w:val="right" w:pos="9680" w:leader="dot"/>
        </w:tabs>
        <w:spacing w:lineRule="auto" w:line="360" w:after="0" w:beforeAutospacing="0" w:afterAutospacing="0"/>
        <w:jc w:val="both"/>
        <w:rPr>
          <w:rFonts w:ascii="Times New Roman" w:hAnsi="Times New Roman" w:cs="Times New Roman" w:eastAsiaTheme="minorEastAsia"/>
          <w:noProof w:val="1"/>
          <w:sz w:val="24"/>
          <w:szCs w:val="24"/>
          <w:kern w:val="2"/>
          <w:lang w:eastAsia="en-IN"/>
        </w:rPr>
      </w:pPr>
      <w:r>
        <w:rPr>
          <w:rFonts w:ascii="Times New Roman" w:hAnsi="Times New Roman" w:cs="Times New Roman"/>
          <w:color w:val="000000" w:themeColor="text1"/>
          <w:sz w:val="24"/>
          <w:szCs w:val="24"/>
        </w:rPr>
        <w:fldChar w:fldCharType="begin"/>
      </w:r>
      <w:r>
        <w:rPr>
          <w:rFonts w:ascii="Times New Roman" w:hAnsi="Times New Roman" w:cs="Times New Roman"/>
          <w:color w:val="000000" w:themeColor="text1"/>
          <w:sz w:val="24"/>
          <w:szCs w:val="24"/>
        </w:rPr>
        <w:instrText xml:space="preserve"> TOC \o "1-3" \h \z \u </w:instrText>
      </w:r>
      <w:r>
        <w:rPr>
          <w:rFonts w:ascii="Times New Roman" w:hAnsi="Times New Roman" w:cs="Times New Roman"/>
          <w:color w:val="000000" w:themeColor="text1"/>
          <w:sz w:val="24"/>
          <w:szCs w:val="24"/>
        </w:rPr>
        <w:fldChar w:fldCharType="separate"/>
      </w:r>
    </w:p>
    <w:p>
      <w:pPr>
        <w:pStyle w:val="P14"/>
        <w:tabs>
          <w:tab w:val="right" w:pos="9680" w:leader="dot"/>
        </w:tabs>
        <w:spacing w:lineRule="auto" w:line="360" w:after="0" w:beforeAutospacing="0" w:afterAutospacing="0"/>
        <w:jc w:val="both"/>
        <w:rPr>
          <w:rFonts w:ascii="Times New Roman" w:hAnsi="Times New Roman" w:cs="Times New Roman" w:eastAsiaTheme="minorEastAsia"/>
          <w:noProof w:val="1"/>
          <w:sz w:val="24"/>
          <w:szCs w:val="24"/>
          <w:kern w:val="2"/>
          <w:lang w:eastAsia="en-IN"/>
        </w:rPr>
      </w:pPr>
    </w:p>
    <w:p>
      <w:pPr>
        <w:pStyle w:val="P14"/>
        <w:tabs>
          <w:tab w:val="right" w:pos="9680" w:leader="dot"/>
        </w:tabs>
        <w:spacing w:lineRule="auto" w:line="360" w:after="0" w:beforeAutospacing="0" w:afterAutospacing="0"/>
        <w:jc w:val="both"/>
        <w:rPr>
          <w:rFonts w:ascii="Times New Roman" w:hAnsi="Times New Roman" w:cs="Times New Roman" w:eastAsiaTheme="minorEastAsia"/>
          <w:noProof w:val="1"/>
          <w:sz w:val="24"/>
          <w:szCs w:val="24"/>
          <w:kern w:val="2"/>
          <w:lang w:eastAsia="en-IN"/>
        </w:rPr>
      </w:pPr>
      <w:hyperlink w:anchor="_Toc217422066">
        <w:r>
          <w:rPr>
            <w:rStyle w:val="C2"/>
            <w:rFonts w:ascii="Times New Roman" w:hAnsi="Times New Roman" w:cs="Times New Roman"/>
            <w:noProof w:val="1"/>
            <w:sz w:val="24"/>
            <w:szCs w:val="24"/>
            <w:lang w:val="en-US"/>
          </w:rPr>
          <w:t>Chapter</w:t>
        </w:r>
        <w:r>
          <w:rPr>
            <w:rStyle w:val="C2"/>
            <w:rFonts w:ascii="Times New Roman" w:hAnsi="Times New Roman" w:cs="Times New Roman"/>
            <w:noProof w:val="1"/>
            <w:sz w:val="24"/>
            <w:szCs w:val="24"/>
            <w:spacing w:val="-3"/>
            <w:lang w:val="en-US"/>
          </w:rPr>
          <w:t xml:space="preserve"> </w:t>
        </w:r>
        <w:r>
          <w:rPr>
            <w:rStyle w:val="C2"/>
            <w:rFonts w:ascii="Times New Roman" w:hAnsi="Times New Roman" w:cs="Times New Roman"/>
            <w:noProof w:val="1"/>
            <w:sz w:val="24"/>
            <w:szCs w:val="24"/>
            <w:lang w:val="en-US"/>
          </w:rPr>
          <w:t>-1</w:t>
        </w:r>
        <w:r>
          <w:rPr>
            <w:rStyle w:val="C2"/>
            <w:rFonts w:ascii="Times New Roman" w:hAnsi="Times New Roman" w:cs="Times New Roman"/>
            <w:noProof w:val="1"/>
            <w:sz w:val="24"/>
            <w:szCs w:val="24"/>
            <w:spacing w:val="1"/>
            <w:lang w:val="en-US"/>
          </w:rPr>
          <w:t xml:space="preserve"> </w:t>
        </w:r>
        <w:r>
          <w:rPr>
            <w:rStyle w:val="C2"/>
            <w:rFonts w:ascii="Times New Roman" w:hAnsi="Times New Roman" w:cs="Times New Roman"/>
            <w:noProof w:val="1"/>
            <w:sz w:val="24"/>
            <w:szCs w:val="24"/>
            <w:spacing w:val="-2"/>
            <w:lang w:val="en-US"/>
          </w:rPr>
          <w:t>Introduction</w:t>
        </w:r>
        <w:r>
          <w:rPr>
            <w:rFonts w:ascii="Times New Roman" w:hAnsi="Times New Roman" w:cs="Times New Roman"/>
            <w:noProof w:val="1"/>
            <w:sz w:val="24"/>
            <w:szCs w:val="24"/>
          </w:rPr>
          <w:tab/>
        </w:r>
        <w:r>
          <w:rPr>
            <w:rFonts w:ascii="Times New Roman" w:hAnsi="Times New Roman" w:cs="Times New Roman"/>
            <w:noProof w:val="1"/>
            <w:sz w:val="24"/>
            <w:szCs w:val="24"/>
          </w:rPr>
          <w:fldChar w:fldCharType="begin"/>
        </w:r>
        <w:r>
          <w:rPr>
            <w:rFonts w:ascii="Times New Roman" w:hAnsi="Times New Roman" w:cs="Times New Roman"/>
            <w:noProof w:val="1"/>
            <w:sz w:val="24"/>
            <w:szCs w:val="24"/>
          </w:rPr>
          <w:instrText xml:space="preserve"> PAGEREF _Toc217422066 \h </w:instrText>
        </w:r>
        <w:r>
          <w:rPr>
            <w:rFonts w:ascii="Times New Roman" w:hAnsi="Times New Roman" w:cs="Times New Roman"/>
            <w:noProof w:val="1"/>
            <w:sz w:val="24"/>
            <w:szCs w:val="24"/>
          </w:rPr>
          <w:fldChar w:fldCharType="separate"/>
        </w:r>
        <w:r>
          <w:rPr>
            <w:rFonts w:ascii="Times New Roman" w:hAnsi="Times New Roman" w:cs="Times New Roman"/>
            <w:noProof w:val="1"/>
            <w:sz w:val="24"/>
            <w:szCs w:val="24"/>
          </w:rPr>
          <w:t>9</w:t>
        </w:r>
        <w:r>
          <w:rPr>
            <w:rFonts w:ascii="Times New Roman" w:hAnsi="Times New Roman" w:cs="Times New Roman"/>
            <w:noProof w:val="1"/>
            <w:sz w:val="24"/>
            <w:szCs w:val="24"/>
          </w:rPr>
          <w:fldChar w:fldCharType="end"/>
        </w:r>
      </w:hyperlink>
    </w:p>
    <w:p>
      <w:pPr>
        <w:pStyle w:val="P15"/>
        <w:tabs>
          <w:tab w:val="left" w:pos="960" w:leader="none"/>
          <w:tab w:val="right" w:pos="9680" w:leader="dot"/>
        </w:tabs>
        <w:spacing w:lineRule="auto" w:line="360" w:after="0" w:beforeAutospacing="0" w:afterAutospacing="0"/>
        <w:jc w:val="both"/>
        <w:rPr>
          <w:rFonts w:ascii="Times New Roman" w:hAnsi="Times New Roman" w:cs="Times New Roman" w:eastAsiaTheme="minorEastAsia"/>
          <w:noProof w:val="1"/>
          <w:sz w:val="24"/>
          <w:szCs w:val="24"/>
          <w:kern w:val="2"/>
          <w:lang w:eastAsia="en-IN"/>
        </w:rPr>
      </w:pPr>
      <w:hyperlink w:anchor="_Toc217422067">
        <w:r>
          <w:rPr>
            <w:rStyle w:val="C2"/>
            <w:rFonts w:ascii="Times New Roman" w:hAnsi="Times New Roman" w:cs="Times New Roman"/>
            <w:noProof w:val="1"/>
            <w:sz w:val="24"/>
            <w:szCs w:val="24"/>
            <w:spacing w:val="-2"/>
            <w:lang w:val="en-US"/>
          </w:rPr>
          <w:t>1.1</w:t>
        </w:r>
        <w:r>
          <w:rPr>
            <w:rFonts w:ascii="Times New Roman" w:hAnsi="Times New Roman" w:cs="Times New Roman" w:eastAsiaTheme="minorEastAsia"/>
            <w:noProof w:val="1"/>
            <w:sz w:val="24"/>
            <w:szCs w:val="24"/>
            <w:kern w:val="2"/>
            <w:lang w:eastAsia="en-IN"/>
          </w:rPr>
          <w:tab/>
        </w:r>
        <w:r>
          <w:rPr>
            <w:rStyle w:val="C2"/>
            <w:rFonts w:ascii="Times New Roman" w:hAnsi="Times New Roman" w:cs="Times New Roman"/>
            <w:noProof w:val="1"/>
            <w:sz w:val="24"/>
            <w:szCs w:val="24"/>
            <w:spacing w:val="-2"/>
            <w:lang w:val="en-US"/>
          </w:rPr>
          <w:t>Background of the study</w:t>
        </w:r>
        <w:r>
          <w:rPr>
            <w:rFonts w:ascii="Times New Roman" w:hAnsi="Times New Roman" w:cs="Times New Roman"/>
            <w:noProof w:val="1"/>
            <w:sz w:val="24"/>
            <w:szCs w:val="24"/>
          </w:rPr>
          <w:tab/>
        </w:r>
        <w:r>
          <w:rPr>
            <w:rFonts w:ascii="Times New Roman" w:hAnsi="Times New Roman" w:cs="Times New Roman"/>
            <w:noProof w:val="1"/>
            <w:sz w:val="24"/>
            <w:szCs w:val="24"/>
          </w:rPr>
          <w:fldChar w:fldCharType="begin"/>
        </w:r>
        <w:r>
          <w:rPr>
            <w:rFonts w:ascii="Times New Roman" w:hAnsi="Times New Roman" w:cs="Times New Roman"/>
            <w:noProof w:val="1"/>
            <w:sz w:val="24"/>
            <w:szCs w:val="24"/>
          </w:rPr>
          <w:instrText xml:space="preserve"> PAGEREF _Toc217422067 \h </w:instrText>
        </w:r>
        <w:r>
          <w:rPr>
            <w:rFonts w:ascii="Times New Roman" w:hAnsi="Times New Roman" w:cs="Times New Roman"/>
            <w:noProof w:val="1"/>
            <w:sz w:val="24"/>
            <w:szCs w:val="24"/>
          </w:rPr>
          <w:fldChar w:fldCharType="separate"/>
        </w:r>
        <w:r>
          <w:rPr>
            <w:rFonts w:ascii="Times New Roman" w:hAnsi="Times New Roman" w:cs="Times New Roman"/>
            <w:noProof w:val="1"/>
            <w:sz w:val="24"/>
            <w:szCs w:val="24"/>
          </w:rPr>
          <w:t>9</w:t>
        </w:r>
        <w:r>
          <w:rPr>
            <w:rFonts w:ascii="Times New Roman" w:hAnsi="Times New Roman" w:cs="Times New Roman"/>
            <w:noProof w:val="1"/>
            <w:sz w:val="24"/>
            <w:szCs w:val="24"/>
          </w:rPr>
          <w:fldChar w:fldCharType="end"/>
        </w:r>
      </w:hyperlink>
    </w:p>
    <w:p>
      <w:pPr>
        <w:pStyle w:val="P15"/>
        <w:tabs>
          <w:tab w:val="left" w:pos="960" w:leader="none"/>
          <w:tab w:val="right" w:pos="9680" w:leader="dot"/>
        </w:tabs>
        <w:spacing w:lineRule="auto" w:line="360" w:after="0" w:beforeAutospacing="0" w:afterAutospacing="0"/>
        <w:jc w:val="both"/>
        <w:rPr>
          <w:rFonts w:ascii="Times New Roman" w:hAnsi="Times New Roman" w:cs="Times New Roman" w:eastAsiaTheme="minorEastAsia"/>
          <w:noProof w:val="1"/>
          <w:sz w:val="24"/>
          <w:szCs w:val="24"/>
          <w:kern w:val="2"/>
          <w:lang w:eastAsia="en-IN"/>
        </w:rPr>
      </w:pPr>
      <w:hyperlink w:anchor="_Toc217422068">
        <w:r>
          <w:rPr>
            <w:rStyle w:val="C2"/>
            <w:rFonts w:ascii="Times New Roman" w:hAnsi="Times New Roman" w:cs="Times New Roman"/>
            <w:noProof w:val="1"/>
            <w:sz w:val="24"/>
            <w:szCs w:val="24"/>
            <w:spacing w:val="-2"/>
            <w:lang w:val="en-US"/>
          </w:rPr>
          <w:t>1.2</w:t>
        </w:r>
        <w:r>
          <w:rPr>
            <w:rFonts w:ascii="Times New Roman" w:hAnsi="Times New Roman" w:cs="Times New Roman" w:eastAsiaTheme="minorEastAsia"/>
            <w:noProof w:val="1"/>
            <w:sz w:val="24"/>
            <w:szCs w:val="24"/>
            <w:kern w:val="2"/>
            <w:lang w:eastAsia="en-IN"/>
          </w:rPr>
          <w:tab/>
        </w:r>
        <w:r>
          <w:rPr>
            <w:rStyle w:val="C2"/>
            <w:rFonts w:ascii="Times New Roman" w:hAnsi="Times New Roman" w:cs="Times New Roman"/>
            <w:noProof w:val="1"/>
            <w:sz w:val="24"/>
            <w:szCs w:val="24"/>
            <w:spacing w:val="-2"/>
            <w:lang w:val="en-US"/>
          </w:rPr>
          <w:t>Problem Statement</w:t>
        </w:r>
        <w:r>
          <w:rPr>
            <w:rFonts w:ascii="Times New Roman" w:hAnsi="Times New Roman" w:cs="Times New Roman"/>
            <w:noProof w:val="1"/>
            <w:sz w:val="24"/>
            <w:szCs w:val="24"/>
          </w:rPr>
          <w:tab/>
        </w:r>
        <w:r>
          <w:rPr>
            <w:rFonts w:ascii="Times New Roman" w:hAnsi="Times New Roman" w:cs="Times New Roman"/>
            <w:noProof w:val="1"/>
            <w:sz w:val="24"/>
            <w:szCs w:val="24"/>
          </w:rPr>
          <w:fldChar w:fldCharType="begin"/>
        </w:r>
        <w:r>
          <w:rPr>
            <w:rFonts w:ascii="Times New Roman" w:hAnsi="Times New Roman" w:cs="Times New Roman"/>
            <w:noProof w:val="1"/>
            <w:sz w:val="24"/>
            <w:szCs w:val="24"/>
          </w:rPr>
          <w:instrText xml:space="preserve"> PAGEREF _Toc217422068 \h </w:instrText>
        </w:r>
        <w:r>
          <w:rPr>
            <w:rFonts w:ascii="Times New Roman" w:hAnsi="Times New Roman" w:cs="Times New Roman"/>
            <w:noProof w:val="1"/>
            <w:sz w:val="24"/>
            <w:szCs w:val="24"/>
          </w:rPr>
          <w:fldChar w:fldCharType="separate"/>
        </w:r>
        <w:r>
          <w:rPr>
            <w:rFonts w:ascii="Times New Roman" w:hAnsi="Times New Roman" w:cs="Times New Roman"/>
            <w:noProof w:val="1"/>
            <w:sz w:val="24"/>
            <w:szCs w:val="24"/>
          </w:rPr>
          <w:t>10</w:t>
        </w:r>
        <w:r>
          <w:rPr>
            <w:rFonts w:ascii="Times New Roman" w:hAnsi="Times New Roman" w:cs="Times New Roman"/>
            <w:noProof w:val="1"/>
            <w:sz w:val="24"/>
            <w:szCs w:val="24"/>
          </w:rPr>
          <w:fldChar w:fldCharType="end"/>
        </w:r>
      </w:hyperlink>
    </w:p>
    <w:p>
      <w:pPr>
        <w:pStyle w:val="P15"/>
        <w:tabs>
          <w:tab w:val="left" w:pos="960" w:leader="none"/>
          <w:tab w:val="right" w:pos="9680" w:leader="dot"/>
        </w:tabs>
        <w:spacing w:lineRule="auto" w:line="360" w:after="0" w:beforeAutospacing="0" w:afterAutospacing="0"/>
        <w:jc w:val="both"/>
        <w:rPr>
          <w:rFonts w:ascii="Times New Roman" w:hAnsi="Times New Roman" w:cs="Times New Roman" w:eastAsiaTheme="minorEastAsia"/>
          <w:noProof w:val="1"/>
          <w:sz w:val="24"/>
          <w:szCs w:val="24"/>
          <w:kern w:val="2"/>
          <w:lang w:eastAsia="en-IN"/>
        </w:rPr>
      </w:pPr>
      <w:hyperlink w:anchor="_Toc217422069">
        <w:r>
          <w:rPr>
            <w:rStyle w:val="C2"/>
            <w:rFonts w:ascii="Times New Roman" w:hAnsi="Times New Roman" w:cs="Times New Roman"/>
            <w:noProof w:val="1"/>
            <w:sz w:val="24"/>
            <w:szCs w:val="24"/>
            <w:spacing w:val="-2"/>
            <w:lang w:val="en-US"/>
          </w:rPr>
          <w:t>1.3</w:t>
        </w:r>
        <w:r>
          <w:rPr>
            <w:rFonts w:ascii="Times New Roman" w:hAnsi="Times New Roman" w:cs="Times New Roman" w:eastAsiaTheme="minorEastAsia"/>
            <w:noProof w:val="1"/>
            <w:sz w:val="24"/>
            <w:szCs w:val="24"/>
            <w:kern w:val="2"/>
            <w:lang w:eastAsia="en-IN"/>
          </w:rPr>
          <w:tab/>
        </w:r>
        <w:r>
          <w:rPr>
            <w:rStyle w:val="C2"/>
            <w:rFonts w:ascii="Times New Roman" w:hAnsi="Times New Roman" w:cs="Times New Roman"/>
            <w:noProof w:val="1"/>
            <w:sz w:val="24"/>
            <w:szCs w:val="24"/>
            <w:spacing w:val="-2"/>
            <w:lang w:val="en-US"/>
          </w:rPr>
          <w:t>Research Aim and Objectives</w:t>
        </w:r>
        <w:r>
          <w:rPr>
            <w:rFonts w:ascii="Times New Roman" w:hAnsi="Times New Roman" w:cs="Times New Roman"/>
            <w:noProof w:val="1"/>
            <w:sz w:val="24"/>
            <w:szCs w:val="24"/>
          </w:rPr>
          <w:tab/>
        </w:r>
        <w:r>
          <w:rPr>
            <w:rFonts w:ascii="Times New Roman" w:hAnsi="Times New Roman" w:cs="Times New Roman"/>
            <w:noProof w:val="1"/>
            <w:sz w:val="24"/>
            <w:szCs w:val="24"/>
          </w:rPr>
          <w:fldChar w:fldCharType="begin"/>
        </w:r>
        <w:r>
          <w:rPr>
            <w:rFonts w:ascii="Times New Roman" w:hAnsi="Times New Roman" w:cs="Times New Roman"/>
            <w:noProof w:val="1"/>
            <w:sz w:val="24"/>
            <w:szCs w:val="24"/>
          </w:rPr>
          <w:instrText xml:space="preserve"> PAGEREF _Toc217422069 \h </w:instrText>
        </w:r>
        <w:r>
          <w:rPr>
            <w:rFonts w:ascii="Times New Roman" w:hAnsi="Times New Roman" w:cs="Times New Roman"/>
            <w:noProof w:val="1"/>
            <w:sz w:val="24"/>
            <w:szCs w:val="24"/>
          </w:rPr>
          <w:fldChar w:fldCharType="separate"/>
        </w:r>
        <w:r>
          <w:rPr>
            <w:rFonts w:ascii="Times New Roman" w:hAnsi="Times New Roman" w:cs="Times New Roman"/>
            <w:noProof w:val="1"/>
            <w:sz w:val="24"/>
            <w:szCs w:val="24"/>
          </w:rPr>
          <w:t>11</w:t>
        </w:r>
        <w:r>
          <w:rPr>
            <w:rFonts w:ascii="Times New Roman" w:hAnsi="Times New Roman" w:cs="Times New Roman"/>
            <w:noProof w:val="1"/>
            <w:sz w:val="24"/>
            <w:szCs w:val="24"/>
          </w:rPr>
          <w:fldChar w:fldCharType="end"/>
        </w:r>
      </w:hyperlink>
    </w:p>
    <w:p>
      <w:pPr>
        <w:pStyle w:val="P15"/>
        <w:tabs>
          <w:tab w:val="left" w:pos="960" w:leader="none"/>
          <w:tab w:val="right" w:pos="9680" w:leader="dot"/>
        </w:tabs>
        <w:spacing w:lineRule="auto" w:line="360" w:after="0" w:beforeAutospacing="0" w:afterAutospacing="0"/>
        <w:jc w:val="both"/>
        <w:rPr>
          <w:rFonts w:ascii="Times New Roman" w:hAnsi="Times New Roman" w:cs="Times New Roman" w:eastAsiaTheme="minorEastAsia"/>
          <w:noProof w:val="1"/>
          <w:sz w:val="24"/>
          <w:szCs w:val="24"/>
          <w:kern w:val="2"/>
          <w:lang w:eastAsia="en-IN"/>
        </w:rPr>
      </w:pPr>
      <w:hyperlink w:anchor="_Toc217422070">
        <w:r>
          <w:rPr>
            <w:rStyle w:val="C2"/>
            <w:rFonts w:ascii="Times New Roman" w:hAnsi="Times New Roman" w:cs="Times New Roman"/>
            <w:noProof w:val="1"/>
            <w:sz w:val="24"/>
            <w:szCs w:val="24"/>
            <w:spacing w:val="-2"/>
            <w:lang w:val="en-US"/>
          </w:rPr>
          <w:t>1.4</w:t>
        </w:r>
        <w:r>
          <w:rPr>
            <w:rFonts w:ascii="Times New Roman" w:hAnsi="Times New Roman" w:cs="Times New Roman" w:eastAsiaTheme="minorEastAsia"/>
            <w:noProof w:val="1"/>
            <w:sz w:val="24"/>
            <w:szCs w:val="24"/>
            <w:kern w:val="2"/>
            <w:lang w:eastAsia="en-IN"/>
          </w:rPr>
          <w:tab/>
        </w:r>
        <w:r>
          <w:rPr>
            <w:rStyle w:val="C2"/>
            <w:rFonts w:ascii="Times New Roman" w:hAnsi="Times New Roman" w:cs="Times New Roman"/>
            <w:noProof w:val="1"/>
            <w:sz w:val="24"/>
            <w:szCs w:val="24"/>
            <w:spacing w:val="-2"/>
            <w:lang w:val="en-US"/>
          </w:rPr>
          <w:t>Research Questions</w:t>
        </w:r>
        <w:r>
          <w:rPr>
            <w:rFonts w:ascii="Times New Roman" w:hAnsi="Times New Roman" w:cs="Times New Roman"/>
            <w:noProof w:val="1"/>
            <w:sz w:val="24"/>
            <w:szCs w:val="24"/>
          </w:rPr>
          <w:tab/>
        </w:r>
        <w:r>
          <w:rPr>
            <w:rFonts w:ascii="Times New Roman" w:hAnsi="Times New Roman" w:cs="Times New Roman"/>
            <w:noProof w:val="1"/>
            <w:sz w:val="24"/>
            <w:szCs w:val="24"/>
          </w:rPr>
          <w:fldChar w:fldCharType="begin"/>
        </w:r>
        <w:r>
          <w:rPr>
            <w:rFonts w:ascii="Times New Roman" w:hAnsi="Times New Roman" w:cs="Times New Roman"/>
            <w:noProof w:val="1"/>
            <w:sz w:val="24"/>
            <w:szCs w:val="24"/>
          </w:rPr>
          <w:instrText xml:space="preserve"> PAGEREF _Toc217422070 \h </w:instrText>
        </w:r>
        <w:r>
          <w:rPr>
            <w:rFonts w:ascii="Times New Roman" w:hAnsi="Times New Roman" w:cs="Times New Roman"/>
            <w:noProof w:val="1"/>
            <w:sz w:val="24"/>
            <w:szCs w:val="24"/>
          </w:rPr>
          <w:fldChar w:fldCharType="separate"/>
        </w:r>
        <w:r>
          <w:rPr>
            <w:rFonts w:ascii="Times New Roman" w:hAnsi="Times New Roman" w:cs="Times New Roman"/>
            <w:noProof w:val="1"/>
            <w:sz w:val="24"/>
            <w:szCs w:val="24"/>
          </w:rPr>
          <w:t>11</w:t>
        </w:r>
        <w:r>
          <w:rPr>
            <w:rFonts w:ascii="Times New Roman" w:hAnsi="Times New Roman" w:cs="Times New Roman"/>
            <w:noProof w:val="1"/>
            <w:sz w:val="24"/>
            <w:szCs w:val="24"/>
          </w:rPr>
          <w:fldChar w:fldCharType="end"/>
        </w:r>
      </w:hyperlink>
    </w:p>
    <w:p>
      <w:pPr>
        <w:pStyle w:val="P15"/>
        <w:tabs>
          <w:tab w:val="left" w:pos="960" w:leader="none"/>
          <w:tab w:val="right" w:pos="9680" w:leader="dot"/>
        </w:tabs>
        <w:spacing w:lineRule="auto" w:line="360" w:after="0" w:beforeAutospacing="0" w:afterAutospacing="0"/>
        <w:jc w:val="both"/>
        <w:rPr>
          <w:rFonts w:ascii="Times New Roman" w:hAnsi="Times New Roman" w:cs="Times New Roman" w:eastAsiaTheme="minorEastAsia"/>
          <w:noProof w:val="1"/>
          <w:sz w:val="24"/>
          <w:szCs w:val="24"/>
          <w:kern w:val="2"/>
          <w:lang w:eastAsia="en-IN"/>
        </w:rPr>
      </w:pPr>
      <w:hyperlink w:anchor="_Toc217422071">
        <w:r>
          <w:rPr>
            <w:rStyle w:val="C2"/>
            <w:rFonts w:ascii="Times New Roman" w:hAnsi="Times New Roman" w:cs="Times New Roman"/>
            <w:noProof w:val="1"/>
            <w:sz w:val="24"/>
            <w:szCs w:val="24"/>
            <w:spacing w:val="-2"/>
            <w:lang w:val="en-US"/>
          </w:rPr>
          <w:t>1.5</w:t>
        </w:r>
        <w:r>
          <w:rPr>
            <w:rFonts w:ascii="Times New Roman" w:hAnsi="Times New Roman" w:cs="Times New Roman" w:eastAsiaTheme="minorEastAsia"/>
            <w:noProof w:val="1"/>
            <w:sz w:val="24"/>
            <w:szCs w:val="24"/>
            <w:kern w:val="2"/>
            <w:lang w:eastAsia="en-IN"/>
          </w:rPr>
          <w:tab/>
        </w:r>
        <w:r>
          <w:rPr>
            <w:rStyle w:val="C2"/>
            <w:rFonts w:ascii="Times New Roman" w:hAnsi="Times New Roman" w:cs="Times New Roman"/>
            <w:noProof w:val="1"/>
            <w:sz w:val="24"/>
            <w:szCs w:val="24"/>
            <w:spacing w:val="-2"/>
            <w:lang w:val="en-US"/>
          </w:rPr>
          <w:t>Research Methodology</w:t>
        </w:r>
        <w:r>
          <w:rPr>
            <w:rFonts w:ascii="Times New Roman" w:hAnsi="Times New Roman" w:cs="Times New Roman"/>
            <w:noProof w:val="1"/>
            <w:sz w:val="24"/>
            <w:szCs w:val="24"/>
          </w:rPr>
          <w:tab/>
        </w:r>
        <w:r>
          <w:rPr>
            <w:rFonts w:ascii="Times New Roman" w:hAnsi="Times New Roman" w:cs="Times New Roman"/>
            <w:noProof w:val="1"/>
            <w:sz w:val="24"/>
            <w:szCs w:val="24"/>
          </w:rPr>
          <w:fldChar w:fldCharType="begin"/>
        </w:r>
        <w:r>
          <w:rPr>
            <w:rFonts w:ascii="Times New Roman" w:hAnsi="Times New Roman" w:cs="Times New Roman"/>
            <w:noProof w:val="1"/>
            <w:sz w:val="24"/>
            <w:szCs w:val="24"/>
          </w:rPr>
          <w:instrText xml:space="preserve"> PAGEREF _Toc217422071 \h </w:instrText>
        </w:r>
        <w:r>
          <w:rPr>
            <w:rFonts w:ascii="Times New Roman" w:hAnsi="Times New Roman" w:cs="Times New Roman"/>
            <w:noProof w:val="1"/>
            <w:sz w:val="24"/>
            <w:szCs w:val="24"/>
          </w:rPr>
          <w:fldChar w:fldCharType="separate"/>
        </w:r>
        <w:r>
          <w:rPr>
            <w:rFonts w:ascii="Times New Roman" w:hAnsi="Times New Roman" w:cs="Times New Roman"/>
            <w:noProof w:val="1"/>
            <w:sz w:val="24"/>
            <w:szCs w:val="24"/>
          </w:rPr>
          <w:t>13</w:t>
        </w:r>
        <w:r>
          <w:rPr>
            <w:rFonts w:ascii="Times New Roman" w:hAnsi="Times New Roman" w:cs="Times New Roman"/>
            <w:noProof w:val="1"/>
            <w:sz w:val="24"/>
            <w:szCs w:val="24"/>
          </w:rPr>
          <w:fldChar w:fldCharType="end"/>
        </w:r>
      </w:hyperlink>
    </w:p>
    <w:p>
      <w:pPr>
        <w:pStyle w:val="P15"/>
        <w:tabs>
          <w:tab w:val="left" w:pos="960" w:leader="none"/>
          <w:tab w:val="right" w:pos="9680" w:leader="dot"/>
        </w:tabs>
        <w:spacing w:lineRule="auto" w:line="360" w:after="0" w:beforeAutospacing="0" w:afterAutospacing="0"/>
        <w:jc w:val="both"/>
        <w:rPr>
          <w:rFonts w:ascii="Times New Roman" w:hAnsi="Times New Roman" w:cs="Times New Roman" w:eastAsiaTheme="minorEastAsia"/>
          <w:noProof w:val="1"/>
          <w:sz w:val="24"/>
          <w:szCs w:val="24"/>
          <w:kern w:val="2"/>
          <w:lang w:eastAsia="en-IN"/>
        </w:rPr>
      </w:pPr>
      <w:hyperlink w:anchor="_Toc217422072">
        <w:r>
          <w:rPr>
            <w:rStyle w:val="C2"/>
            <w:rFonts w:ascii="Times New Roman" w:hAnsi="Times New Roman" w:cs="Times New Roman"/>
            <w:noProof w:val="1"/>
            <w:sz w:val="24"/>
            <w:szCs w:val="24"/>
            <w:spacing w:val="-2"/>
            <w:lang w:val="en-US"/>
          </w:rPr>
          <w:t>1.6</w:t>
        </w:r>
        <w:r>
          <w:rPr>
            <w:rFonts w:ascii="Times New Roman" w:hAnsi="Times New Roman" w:cs="Times New Roman" w:eastAsiaTheme="minorEastAsia"/>
            <w:noProof w:val="1"/>
            <w:sz w:val="24"/>
            <w:szCs w:val="24"/>
            <w:kern w:val="2"/>
            <w:lang w:eastAsia="en-IN"/>
          </w:rPr>
          <w:tab/>
        </w:r>
        <w:r>
          <w:rPr>
            <w:rStyle w:val="C2"/>
            <w:rFonts w:ascii="Times New Roman" w:hAnsi="Times New Roman" w:cs="Times New Roman"/>
            <w:noProof w:val="1"/>
            <w:sz w:val="24"/>
            <w:szCs w:val="24"/>
            <w:spacing w:val="-2"/>
          </w:rPr>
          <w:t>Significance of the Study</w:t>
        </w:r>
        <w:r>
          <w:rPr>
            <w:rFonts w:ascii="Times New Roman" w:hAnsi="Times New Roman" w:cs="Times New Roman"/>
            <w:noProof w:val="1"/>
            <w:sz w:val="24"/>
            <w:szCs w:val="24"/>
          </w:rPr>
          <w:tab/>
        </w:r>
        <w:r>
          <w:rPr>
            <w:rFonts w:ascii="Times New Roman" w:hAnsi="Times New Roman" w:cs="Times New Roman"/>
            <w:noProof w:val="1"/>
            <w:sz w:val="24"/>
            <w:szCs w:val="24"/>
          </w:rPr>
          <w:fldChar w:fldCharType="begin"/>
        </w:r>
        <w:r>
          <w:rPr>
            <w:rFonts w:ascii="Times New Roman" w:hAnsi="Times New Roman" w:cs="Times New Roman"/>
            <w:noProof w:val="1"/>
            <w:sz w:val="24"/>
            <w:szCs w:val="24"/>
          </w:rPr>
          <w:instrText xml:space="preserve"> PAGEREF _Toc217422072 \h </w:instrText>
        </w:r>
        <w:r>
          <w:rPr>
            <w:rFonts w:ascii="Times New Roman" w:hAnsi="Times New Roman" w:cs="Times New Roman"/>
            <w:noProof w:val="1"/>
            <w:sz w:val="24"/>
            <w:szCs w:val="24"/>
          </w:rPr>
          <w:fldChar w:fldCharType="separate"/>
        </w:r>
        <w:r>
          <w:rPr>
            <w:rFonts w:ascii="Times New Roman" w:hAnsi="Times New Roman" w:cs="Times New Roman"/>
            <w:noProof w:val="1"/>
            <w:sz w:val="24"/>
            <w:szCs w:val="24"/>
          </w:rPr>
          <w:t>13</w:t>
        </w:r>
        <w:r>
          <w:rPr>
            <w:rFonts w:ascii="Times New Roman" w:hAnsi="Times New Roman" w:cs="Times New Roman"/>
            <w:noProof w:val="1"/>
            <w:sz w:val="24"/>
            <w:szCs w:val="24"/>
          </w:rPr>
          <w:fldChar w:fldCharType="end"/>
        </w:r>
      </w:hyperlink>
    </w:p>
    <w:p>
      <w:pPr>
        <w:pStyle w:val="P15"/>
        <w:tabs>
          <w:tab w:val="left" w:pos="960" w:leader="none"/>
          <w:tab w:val="right" w:pos="9680" w:leader="dot"/>
        </w:tabs>
        <w:spacing w:lineRule="auto" w:line="360" w:after="0" w:beforeAutospacing="0" w:afterAutospacing="0"/>
        <w:jc w:val="both"/>
        <w:rPr>
          <w:rFonts w:ascii="Times New Roman" w:hAnsi="Times New Roman" w:cs="Times New Roman" w:eastAsiaTheme="minorEastAsia"/>
          <w:noProof w:val="1"/>
          <w:sz w:val="24"/>
          <w:szCs w:val="24"/>
          <w:kern w:val="2"/>
          <w:lang w:eastAsia="en-IN"/>
        </w:rPr>
      </w:pPr>
      <w:hyperlink w:anchor="_Toc217422073">
        <w:r>
          <w:rPr>
            <w:rStyle w:val="C2"/>
            <w:rFonts w:ascii="Times New Roman" w:hAnsi="Times New Roman" w:cs="Times New Roman"/>
            <w:noProof w:val="1"/>
            <w:sz w:val="24"/>
            <w:szCs w:val="24"/>
            <w:spacing w:val="-2"/>
            <w:lang w:val="en-US"/>
          </w:rPr>
          <w:t>1.7</w:t>
        </w:r>
        <w:r>
          <w:rPr>
            <w:rFonts w:ascii="Times New Roman" w:hAnsi="Times New Roman" w:cs="Times New Roman" w:eastAsiaTheme="minorEastAsia"/>
            <w:noProof w:val="1"/>
            <w:sz w:val="24"/>
            <w:szCs w:val="24"/>
            <w:kern w:val="2"/>
            <w:lang w:eastAsia="en-IN"/>
          </w:rPr>
          <w:tab/>
        </w:r>
        <w:r>
          <w:rPr>
            <w:rStyle w:val="C2"/>
            <w:rFonts w:ascii="Times New Roman" w:hAnsi="Times New Roman" w:cs="Times New Roman"/>
            <w:noProof w:val="1"/>
            <w:sz w:val="24"/>
            <w:szCs w:val="24"/>
            <w:spacing w:val="-2"/>
          </w:rPr>
          <w:t>Structure of the Report</w:t>
        </w:r>
        <w:r>
          <w:rPr>
            <w:rFonts w:ascii="Times New Roman" w:hAnsi="Times New Roman" w:cs="Times New Roman"/>
            <w:noProof w:val="1"/>
            <w:sz w:val="24"/>
            <w:szCs w:val="24"/>
          </w:rPr>
          <w:tab/>
        </w:r>
        <w:r>
          <w:rPr>
            <w:rFonts w:ascii="Times New Roman" w:hAnsi="Times New Roman" w:cs="Times New Roman"/>
            <w:noProof w:val="1"/>
            <w:sz w:val="24"/>
            <w:szCs w:val="24"/>
          </w:rPr>
          <w:fldChar w:fldCharType="begin"/>
        </w:r>
        <w:r>
          <w:rPr>
            <w:rFonts w:ascii="Times New Roman" w:hAnsi="Times New Roman" w:cs="Times New Roman"/>
            <w:noProof w:val="1"/>
            <w:sz w:val="24"/>
            <w:szCs w:val="24"/>
          </w:rPr>
          <w:instrText xml:space="preserve"> PAGEREF _Toc217422073 \h </w:instrText>
        </w:r>
        <w:r>
          <w:rPr>
            <w:rFonts w:ascii="Times New Roman" w:hAnsi="Times New Roman" w:cs="Times New Roman"/>
            <w:noProof w:val="1"/>
            <w:sz w:val="24"/>
            <w:szCs w:val="24"/>
          </w:rPr>
          <w:fldChar w:fldCharType="separate"/>
        </w:r>
        <w:r>
          <w:rPr>
            <w:rFonts w:ascii="Times New Roman" w:hAnsi="Times New Roman" w:cs="Times New Roman"/>
            <w:noProof w:val="1"/>
            <w:sz w:val="24"/>
            <w:szCs w:val="24"/>
          </w:rPr>
          <w:t>13</w:t>
        </w:r>
        <w:r>
          <w:rPr>
            <w:rFonts w:ascii="Times New Roman" w:hAnsi="Times New Roman" w:cs="Times New Roman"/>
            <w:noProof w:val="1"/>
            <w:sz w:val="24"/>
            <w:szCs w:val="24"/>
          </w:rPr>
          <w:fldChar w:fldCharType="end"/>
        </w:r>
      </w:hyperlink>
    </w:p>
    <w:p>
      <w:pPr>
        <w:pStyle w:val="P15"/>
        <w:tabs>
          <w:tab w:val="left" w:pos="960" w:leader="none"/>
          <w:tab w:val="right" w:pos="9680" w:leader="dot"/>
        </w:tabs>
        <w:spacing w:lineRule="auto" w:line="360" w:after="0" w:beforeAutospacing="0" w:afterAutospacing="0"/>
        <w:jc w:val="both"/>
        <w:rPr>
          <w:rFonts w:ascii="Times New Roman" w:hAnsi="Times New Roman" w:cs="Times New Roman" w:eastAsiaTheme="minorEastAsia"/>
          <w:noProof w:val="1"/>
          <w:sz w:val="24"/>
          <w:szCs w:val="24"/>
          <w:kern w:val="2"/>
          <w:lang w:eastAsia="en-IN"/>
        </w:rPr>
      </w:pPr>
      <w:hyperlink w:anchor="_Toc217422074">
        <w:r>
          <w:rPr>
            <w:rStyle w:val="C2"/>
            <w:rFonts w:ascii="Times New Roman" w:hAnsi="Times New Roman" w:cs="Times New Roman"/>
            <w:noProof w:val="1"/>
            <w:sz w:val="24"/>
            <w:szCs w:val="24"/>
            <w:spacing w:val="-2"/>
            <w:lang w:val="en-US"/>
          </w:rPr>
          <w:t>1.8</w:t>
        </w:r>
        <w:r>
          <w:rPr>
            <w:rFonts w:ascii="Times New Roman" w:hAnsi="Times New Roman" w:cs="Times New Roman" w:eastAsiaTheme="minorEastAsia"/>
            <w:noProof w:val="1"/>
            <w:sz w:val="24"/>
            <w:szCs w:val="24"/>
            <w:kern w:val="2"/>
            <w:lang w:eastAsia="en-IN"/>
          </w:rPr>
          <w:tab/>
        </w:r>
        <w:r>
          <w:rPr>
            <w:rStyle w:val="C2"/>
            <w:rFonts w:ascii="Times New Roman" w:hAnsi="Times New Roman" w:cs="Times New Roman"/>
            <w:noProof w:val="1"/>
            <w:sz w:val="24"/>
            <w:szCs w:val="24"/>
            <w:spacing w:val="-2"/>
            <w:lang w:val="en-US"/>
          </w:rPr>
          <w:t>Summary</w:t>
        </w:r>
        <w:r>
          <w:rPr>
            <w:rFonts w:ascii="Times New Roman" w:hAnsi="Times New Roman" w:cs="Times New Roman"/>
            <w:noProof w:val="1"/>
            <w:sz w:val="24"/>
            <w:szCs w:val="24"/>
          </w:rPr>
          <w:tab/>
        </w:r>
        <w:r>
          <w:rPr>
            <w:rFonts w:ascii="Times New Roman" w:hAnsi="Times New Roman" w:cs="Times New Roman"/>
            <w:noProof w:val="1"/>
            <w:sz w:val="24"/>
            <w:szCs w:val="24"/>
          </w:rPr>
          <w:fldChar w:fldCharType="begin"/>
        </w:r>
        <w:r>
          <w:rPr>
            <w:rFonts w:ascii="Times New Roman" w:hAnsi="Times New Roman" w:cs="Times New Roman"/>
            <w:noProof w:val="1"/>
            <w:sz w:val="24"/>
            <w:szCs w:val="24"/>
          </w:rPr>
          <w:instrText xml:space="preserve"> PAGEREF _Toc217422074 \h </w:instrText>
        </w:r>
        <w:r>
          <w:rPr>
            <w:rFonts w:ascii="Times New Roman" w:hAnsi="Times New Roman" w:cs="Times New Roman"/>
            <w:noProof w:val="1"/>
            <w:sz w:val="24"/>
            <w:szCs w:val="24"/>
          </w:rPr>
          <w:fldChar w:fldCharType="separate"/>
        </w:r>
        <w:r>
          <w:rPr>
            <w:rFonts w:ascii="Times New Roman" w:hAnsi="Times New Roman" w:cs="Times New Roman"/>
            <w:noProof w:val="1"/>
            <w:sz w:val="24"/>
            <w:szCs w:val="24"/>
          </w:rPr>
          <w:t>15</w:t>
        </w:r>
        <w:r>
          <w:rPr>
            <w:rFonts w:ascii="Times New Roman" w:hAnsi="Times New Roman" w:cs="Times New Roman"/>
            <w:noProof w:val="1"/>
            <w:sz w:val="24"/>
            <w:szCs w:val="24"/>
          </w:rPr>
          <w:fldChar w:fldCharType="end"/>
        </w:r>
      </w:hyperlink>
    </w:p>
    <w:p>
      <w:pPr>
        <w:pStyle w:val="P14"/>
        <w:tabs>
          <w:tab w:val="right" w:pos="9680" w:leader="dot"/>
        </w:tabs>
        <w:spacing w:lineRule="auto" w:line="360" w:after="0" w:beforeAutospacing="0" w:afterAutospacing="0"/>
        <w:jc w:val="both"/>
        <w:rPr>
          <w:rFonts w:ascii="Times New Roman" w:hAnsi="Times New Roman" w:cs="Times New Roman" w:eastAsiaTheme="minorEastAsia"/>
          <w:noProof w:val="1"/>
          <w:sz w:val="24"/>
          <w:szCs w:val="24"/>
          <w:kern w:val="2"/>
          <w:lang w:eastAsia="en-IN"/>
        </w:rPr>
      </w:pPr>
      <w:hyperlink w:anchor="_Toc217422075">
        <w:r>
          <w:rPr>
            <w:rStyle w:val="C2"/>
            <w:rFonts w:ascii="Times New Roman" w:hAnsi="Times New Roman" w:cs="Times New Roman"/>
            <w:noProof w:val="1"/>
            <w:sz w:val="24"/>
            <w:szCs w:val="24"/>
          </w:rPr>
          <w:t>Chapter 2: Literature Review</w:t>
        </w:r>
        <w:r>
          <w:rPr>
            <w:rFonts w:ascii="Times New Roman" w:hAnsi="Times New Roman" w:cs="Times New Roman"/>
            <w:noProof w:val="1"/>
            <w:sz w:val="24"/>
            <w:szCs w:val="24"/>
          </w:rPr>
          <w:tab/>
        </w:r>
        <w:r>
          <w:rPr>
            <w:rFonts w:ascii="Times New Roman" w:hAnsi="Times New Roman" w:cs="Times New Roman"/>
            <w:noProof w:val="1"/>
            <w:sz w:val="24"/>
            <w:szCs w:val="24"/>
          </w:rPr>
          <w:fldChar w:fldCharType="begin"/>
        </w:r>
        <w:r>
          <w:rPr>
            <w:rFonts w:ascii="Times New Roman" w:hAnsi="Times New Roman" w:cs="Times New Roman"/>
            <w:noProof w:val="1"/>
            <w:sz w:val="24"/>
            <w:szCs w:val="24"/>
          </w:rPr>
          <w:instrText xml:space="preserve"> PAGEREF _Toc217422075 \h </w:instrText>
        </w:r>
        <w:r>
          <w:rPr>
            <w:rFonts w:ascii="Times New Roman" w:hAnsi="Times New Roman" w:cs="Times New Roman"/>
            <w:noProof w:val="1"/>
            <w:sz w:val="24"/>
            <w:szCs w:val="24"/>
          </w:rPr>
          <w:fldChar w:fldCharType="separate"/>
        </w:r>
        <w:r>
          <w:rPr>
            <w:rFonts w:ascii="Times New Roman" w:hAnsi="Times New Roman" w:cs="Times New Roman"/>
            <w:noProof w:val="1"/>
            <w:sz w:val="24"/>
            <w:szCs w:val="24"/>
          </w:rPr>
          <w:t>16</w:t>
        </w:r>
        <w:r>
          <w:rPr>
            <w:rFonts w:ascii="Times New Roman" w:hAnsi="Times New Roman" w:cs="Times New Roman"/>
            <w:noProof w:val="1"/>
            <w:sz w:val="24"/>
            <w:szCs w:val="24"/>
          </w:rPr>
          <w:fldChar w:fldCharType="end"/>
        </w:r>
      </w:hyperlink>
    </w:p>
    <w:p>
      <w:pPr>
        <w:pStyle w:val="P15"/>
        <w:tabs>
          <w:tab w:val="right" w:pos="9680" w:leader="dot"/>
        </w:tabs>
        <w:spacing w:lineRule="auto" w:line="360" w:after="0" w:beforeAutospacing="0" w:afterAutospacing="0"/>
        <w:jc w:val="both"/>
        <w:rPr>
          <w:rFonts w:ascii="Times New Roman" w:hAnsi="Times New Roman" w:cs="Times New Roman" w:eastAsiaTheme="minorEastAsia"/>
          <w:noProof w:val="1"/>
          <w:sz w:val="24"/>
          <w:szCs w:val="24"/>
          <w:kern w:val="2"/>
          <w:lang w:eastAsia="en-IN"/>
        </w:rPr>
      </w:pPr>
      <w:hyperlink w:anchor="_Toc217422076">
        <w:r>
          <w:rPr>
            <w:rStyle w:val="C2"/>
            <w:rFonts w:ascii="Times New Roman" w:hAnsi="Times New Roman" w:cs="Times New Roman"/>
            <w:noProof w:val="1"/>
            <w:sz w:val="24"/>
            <w:szCs w:val="24"/>
          </w:rPr>
          <w:t>2.1 Introduction</w:t>
        </w:r>
        <w:r>
          <w:rPr>
            <w:rFonts w:ascii="Times New Roman" w:hAnsi="Times New Roman" w:cs="Times New Roman"/>
            <w:noProof w:val="1"/>
            <w:sz w:val="24"/>
            <w:szCs w:val="24"/>
          </w:rPr>
          <w:tab/>
        </w:r>
        <w:r>
          <w:rPr>
            <w:rFonts w:ascii="Times New Roman" w:hAnsi="Times New Roman" w:cs="Times New Roman"/>
            <w:noProof w:val="1"/>
            <w:sz w:val="24"/>
            <w:szCs w:val="24"/>
          </w:rPr>
          <w:fldChar w:fldCharType="begin"/>
        </w:r>
        <w:r>
          <w:rPr>
            <w:rFonts w:ascii="Times New Roman" w:hAnsi="Times New Roman" w:cs="Times New Roman"/>
            <w:noProof w:val="1"/>
            <w:sz w:val="24"/>
            <w:szCs w:val="24"/>
          </w:rPr>
          <w:instrText xml:space="preserve"> PAGEREF _Toc217422076 \h </w:instrText>
        </w:r>
        <w:r>
          <w:rPr>
            <w:rFonts w:ascii="Times New Roman" w:hAnsi="Times New Roman" w:cs="Times New Roman"/>
            <w:noProof w:val="1"/>
            <w:sz w:val="24"/>
            <w:szCs w:val="24"/>
          </w:rPr>
          <w:fldChar w:fldCharType="separate"/>
        </w:r>
        <w:r>
          <w:rPr>
            <w:rFonts w:ascii="Times New Roman" w:hAnsi="Times New Roman" w:cs="Times New Roman"/>
            <w:noProof w:val="1"/>
            <w:sz w:val="24"/>
            <w:szCs w:val="24"/>
          </w:rPr>
          <w:t>16</w:t>
        </w:r>
        <w:r>
          <w:rPr>
            <w:rFonts w:ascii="Times New Roman" w:hAnsi="Times New Roman" w:cs="Times New Roman"/>
            <w:noProof w:val="1"/>
            <w:sz w:val="24"/>
            <w:szCs w:val="24"/>
          </w:rPr>
          <w:fldChar w:fldCharType="end"/>
        </w:r>
      </w:hyperlink>
    </w:p>
    <w:p>
      <w:pPr>
        <w:pStyle w:val="P15"/>
        <w:tabs>
          <w:tab w:val="right" w:pos="9680" w:leader="dot"/>
        </w:tabs>
        <w:spacing w:lineRule="auto" w:line="360" w:after="0" w:beforeAutospacing="0" w:afterAutospacing="0"/>
        <w:jc w:val="both"/>
        <w:rPr>
          <w:rFonts w:ascii="Times New Roman" w:hAnsi="Times New Roman" w:cs="Times New Roman" w:eastAsiaTheme="minorEastAsia"/>
          <w:noProof w:val="1"/>
          <w:sz w:val="24"/>
          <w:szCs w:val="24"/>
          <w:kern w:val="2"/>
          <w:lang w:eastAsia="en-IN"/>
        </w:rPr>
      </w:pPr>
      <w:hyperlink w:anchor="_Toc217422077">
        <w:r>
          <w:rPr>
            <w:rStyle w:val="C2"/>
            <w:rFonts w:ascii="Times New Roman" w:hAnsi="Times New Roman" w:cs="Times New Roman"/>
            <w:noProof w:val="1"/>
            <w:sz w:val="24"/>
            <w:szCs w:val="24"/>
          </w:rPr>
          <w:t>2.3 CPI as a measure of inflation</w:t>
        </w:r>
        <w:r>
          <w:rPr>
            <w:rFonts w:ascii="Times New Roman" w:hAnsi="Times New Roman" w:cs="Times New Roman"/>
            <w:noProof w:val="1"/>
            <w:sz w:val="24"/>
            <w:szCs w:val="24"/>
          </w:rPr>
          <w:tab/>
        </w:r>
        <w:r>
          <w:rPr>
            <w:rFonts w:ascii="Times New Roman" w:hAnsi="Times New Roman" w:cs="Times New Roman"/>
            <w:noProof w:val="1"/>
            <w:sz w:val="24"/>
            <w:szCs w:val="24"/>
          </w:rPr>
          <w:fldChar w:fldCharType="begin"/>
        </w:r>
        <w:r>
          <w:rPr>
            <w:rFonts w:ascii="Times New Roman" w:hAnsi="Times New Roman" w:cs="Times New Roman"/>
            <w:noProof w:val="1"/>
            <w:sz w:val="24"/>
            <w:szCs w:val="24"/>
          </w:rPr>
          <w:instrText xml:space="preserve"> PAGEREF _Toc217422077 \h </w:instrText>
        </w:r>
        <w:r>
          <w:rPr>
            <w:rFonts w:ascii="Times New Roman" w:hAnsi="Times New Roman" w:cs="Times New Roman"/>
            <w:noProof w:val="1"/>
            <w:sz w:val="24"/>
            <w:szCs w:val="24"/>
          </w:rPr>
          <w:fldChar w:fldCharType="separate"/>
        </w:r>
        <w:r>
          <w:rPr>
            <w:rFonts w:ascii="Times New Roman" w:hAnsi="Times New Roman" w:cs="Times New Roman"/>
            <w:noProof w:val="1"/>
            <w:sz w:val="24"/>
            <w:szCs w:val="24"/>
          </w:rPr>
          <w:t>19</w:t>
        </w:r>
        <w:r>
          <w:rPr>
            <w:rFonts w:ascii="Times New Roman" w:hAnsi="Times New Roman" w:cs="Times New Roman"/>
            <w:noProof w:val="1"/>
            <w:sz w:val="24"/>
            <w:szCs w:val="24"/>
          </w:rPr>
          <w:fldChar w:fldCharType="end"/>
        </w:r>
      </w:hyperlink>
    </w:p>
    <w:p>
      <w:pPr>
        <w:pStyle w:val="P15"/>
        <w:tabs>
          <w:tab w:val="left" w:pos="960" w:leader="none"/>
          <w:tab w:val="right" w:pos="9680" w:leader="dot"/>
        </w:tabs>
        <w:spacing w:lineRule="auto" w:line="360" w:after="0" w:beforeAutospacing="0" w:afterAutospacing="0"/>
        <w:jc w:val="both"/>
        <w:rPr>
          <w:rFonts w:ascii="Times New Roman" w:hAnsi="Times New Roman" w:cs="Times New Roman" w:eastAsiaTheme="minorEastAsia"/>
          <w:noProof w:val="1"/>
          <w:sz w:val="24"/>
          <w:szCs w:val="24"/>
          <w:kern w:val="2"/>
          <w:lang w:eastAsia="en-IN"/>
        </w:rPr>
      </w:pPr>
      <w:hyperlink w:anchor="_Toc217422078">
        <w:r>
          <w:rPr>
            <w:rStyle w:val="C2"/>
            <w:rFonts w:ascii="Times New Roman" w:hAnsi="Times New Roman" w:cs="Times New Roman"/>
            <w:noProof w:val="1"/>
            <w:sz w:val="24"/>
            <w:szCs w:val="24"/>
          </w:rPr>
          <w:t>2.4</w:t>
        </w:r>
        <w:r>
          <w:rPr>
            <w:rFonts w:ascii="Times New Roman" w:hAnsi="Times New Roman" w:cs="Times New Roman" w:eastAsiaTheme="minorEastAsia"/>
            <w:noProof w:val="1"/>
            <w:sz w:val="24"/>
            <w:szCs w:val="24"/>
            <w:kern w:val="2"/>
            <w:lang w:eastAsia="en-IN"/>
          </w:rPr>
          <w:tab/>
        </w:r>
        <w:r>
          <w:rPr>
            <w:rStyle w:val="C2"/>
            <w:rFonts w:ascii="Times New Roman" w:hAnsi="Times New Roman" w:cs="Times New Roman"/>
            <w:noProof w:val="1"/>
            <w:sz w:val="24"/>
            <w:szCs w:val="24"/>
          </w:rPr>
          <w:t>Empirical studies</w:t>
        </w:r>
        <w:r>
          <w:rPr>
            <w:rFonts w:ascii="Times New Roman" w:hAnsi="Times New Roman" w:cs="Times New Roman"/>
            <w:noProof w:val="1"/>
            <w:sz w:val="24"/>
            <w:szCs w:val="24"/>
          </w:rPr>
          <w:tab/>
        </w:r>
        <w:r>
          <w:rPr>
            <w:rFonts w:ascii="Times New Roman" w:hAnsi="Times New Roman" w:cs="Times New Roman"/>
            <w:noProof w:val="1"/>
            <w:sz w:val="24"/>
            <w:szCs w:val="24"/>
          </w:rPr>
          <w:fldChar w:fldCharType="begin"/>
        </w:r>
        <w:r>
          <w:rPr>
            <w:rFonts w:ascii="Times New Roman" w:hAnsi="Times New Roman" w:cs="Times New Roman"/>
            <w:noProof w:val="1"/>
            <w:sz w:val="24"/>
            <w:szCs w:val="24"/>
          </w:rPr>
          <w:instrText xml:space="preserve"> PAGEREF _Toc217422078 \h </w:instrText>
        </w:r>
        <w:r>
          <w:rPr>
            <w:rFonts w:ascii="Times New Roman" w:hAnsi="Times New Roman" w:cs="Times New Roman"/>
            <w:noProof w:val="1"/>
            <w:sz w:val="24"/>
            <w:szCs w:val="24"/>
          </w:rPr>
          <w:fldChar w:fldCharType="separate"/>
        </w:r>
        <w:r>
          <w:rPr>
            <w:rFonts w:ascii="Times New Roman" w:hAnsi="Times New Roman" w:cs="Times New Roman"/>
            <w:noProof w:val="1"/>
            <w:sz w:val="24"/>
            <w:szCs w:val="24"/>
          </w:rPr>
          <w:t>20</w:t>
        </w:r>
        <w:r>
          <w:rPr>
            <w:rFonts w:ascii="Times New Roman" w:hAnsi="Times New Roman" w:cs="Times New Roman"/>
            <w:noProof w:val="1"/>
            <w:sz w:val="24"/>
            <w:szCs w:val="24"/>
          </w:rPr>
          <w:fldChar w:fldCharType="end"/>
        </w:r>
      </w:hyperlink>
    </w:p>
    <w:p>
      <w:pPr>
        <w:pStyle w:val="P15"/>
        <w:tabs>
          <w:tab w:val="right" w:pos="9680" w:leader="dot"/>
        </w:tabs>
        <w:spacing w:lineRule="auto" w:line="360" w:after="0" w:beforeAutospacing="0" w:afterAutospacing="0"/>
        <w:jc w:val="both"/>
        <w:rPr>
          <w:rFonts w:ascii="Times New Roman" w:hAnsi="Times New Roman" w:cs="Times New Roman" w:eastAsiaTheme="minorEastAsia"/>
          <w:noProof w:val="1"/>
          <w:sz w:val="24"/>
          <w:szCs w:val="24"/>
          <w:kern w:val="2"/>
          <w:lang w:eastAsia="en-IN"/>
        </w:rPr>
      </w:pPr>
      <w:hyperlink w:anchor="_Toc217422079">
        <w:r>
          <w:rPr>
            <w:rStyle w:val="C2"/>
            <w:rFonts w:ascii="Times New Roman" w:hAnsi="Times New Roman" w:cs="Times New Roman"/>
            <w:noProof w:val="1"/>
            <w:sz w:val="24"/>
            <w:szCs w:val="24"/>
          </w:rPr>
          <w:t>2.4.1 Consumer Price Index (CPI) and Sectoral Inflation</w:t>
        </w:r>
        <w:r>
          <w:rPr>
            <w:rFonts w:ascii="Times New Roman" w:hAnsi="Times New Roman" w:cs="Times New Roman"/>
            <w:noProof w:val="1"/>
            <w:sz w:val="24"/>
            <w:szCs w:val="24"/>
          </w:rPr>
          <w:tab/>
        </w:r>
        <w:r>
          <w:rPr>
            <w:rFonts w:ascii="Times New Roman" w:hAnsi="Times New Roman" w:cs="Times New Roman"/>
            <w:noProof w:val="1"/>
            <w:sz w:val="24"/>
            <w:szCs w:val="24"/>
          </w:rPr>
          <w:fldChar w:fldCharType="begin"/>
        </w:r>
        <w:r>
          <w:rPr>
            <w:rFonts w:ascii="Times New Roman" w:hAnsi="Times New Roman" w:cs="Times New Roman"/>
            <w:noProof w:val="1"/>
            <w:sz w:val="24"/>
            <w:szCs w:val="24"/>
          </w:rPr>
          <w:instrText xml:space="preserve"> PAGEREF _Toc217422079 \h </w:instrText>
        </w:r>
        <w:r>
          <w:rPr>
            <w:rFonts w:ascii="Times New Roman" w:hAnsi="Times New Roman" w:cs="Times New Roman"/>
            <w:noProof w:val="1"/>
            <w:sz w:val="24"/>
            <w:szCs w:val="24"/>
          </w:rPr>
          <w:fldChar w:fldCharType="separate"/>
        </w:r>
        <w:r>
          <w:rPr>
            <w:rFonts w:ascii="Times New Roman" w:hAnsi="Times New Roman" w:cs="Times New Roman"/>
            <w:noProof w:val="1"/>
            <w:sz w:val="24"/>
            <w:szCs w:val="24"/>
          </w:rPr>
          <w:t>20</w:t>
        </w:r>
        <w:r>
          <w:rPr>
            <w:rFonts w:ascii="Times New Roman" w:hAnsi="Times New Roman" w:cs="Times New Roman"/>
            <w:noProof w:val="1"/>
            <w:sz w:val="24"/>
            <w:szCs w:val="24"/>
          </w:rPr>
          <w:fldChar w:fldCharType="end"/>
        </w:r>
      </w:hyperlink>
    </w:p>
    <w:p>
      <w:pPr>
        <w:pStyle w:val="P15"/>
        <w:tabs>
          <w:tab w:val="right" w:pos="9680" w:leader="dot"/>
        </w:tabs>
        <w:spacing w:lineRule="auto" w:line="360" w:after="0" w:beforeAutospacing="0" w:afterAutospacing="0"/>
        <w:jc w:val="both"/>
        <w:rPr>
          <w:rFonts w:ascii="Times New Roman" w:hAnsi="Times New Roman" w:cs="Times New Roman" w:eastAsiaTheme="minorEastAsia"/>
          <w:noProof w:val="1"/>
          <w:sz w:val="24"/>
          <w:szCs w:val="24"/>
          <w:kern w:val="2"/>
          <w:lang w:eastAsia="en-IN"/>
        </w:rPr>
      </w:pPr>
      <w:hyperlink w:anchor="_Toc217422080">
        <w:r>
          <w:rPr>
            <w:rStyle w:val="C2"/>
            <w:rFonts w:ascii="Times New Roman" w:hAnsi="Times New Roman" w:cs="Times New Roman"/>
            <w:noProof w:val="1"/>
            <w:sz w:val="24"/>
            <w:szCs w:val="24"/>
          </w:rPr>
          <w:t>2.4.2 Urban vs Rural Price Differences</w:t>
        </w:r>
        <w:r>
          <w:rPr>
            <w:rFonts w:ascii="Times New Roman" w:hAnsi="Times New Roman" w:cs="Times New Roman"/>
            <w:noProof w:val="1"/>
            <w:sz w:val="24"/>
            <w:szCs w:val="24"/>
          </w:rPr>
          <w:tab/>
        </w:r>
        <w:r>
          <w:rPr>
            <w:rFonts w:ascii="Times New Roman" w:hAnsi="Times New Roman" w:cs="Times New Roman"/>
            <w:noProof w:val="1"/>
            <w:sz w:val="24"/>
            <w:szCs w:val="24"/>
          </w:rPr>
          <w:fldChar w:fldCharType="begin"/>
        </w:r>
        <w:r>
          <w:rPr>
            <w:rFonts w:ascii="Times New Roman" w:hAnsi="Times New Roman" w:cs="Times New Roman"/>
            <w:noProof w:val="1"/>
            <w:sz w:val="24"/>
            <w:szCs w:val="24"/>
          </w:rPr>
          <w:instrText xml:space="preserve"> PAGEREF _Toc217422080 \h </w:instrText>
        </w:r>
        <w:r>
          <w:rPr>
            <w:rFonts w:ascii="Times New Roman" w:hAnsi="Times New Roman" w:cs="Times New Roman"/>
            <w:noProof w:val="1"/>
            <w:sz w:val="24"/>
            <w:szCs w:val="24"/>
          </w:rPr>
          <w:fldChar w:fldCharType="separate"/>
        </w:r>
        <w:r>
          <w:rPr>
            <w:rFonts w:ascii="Times New Roman" w:hAnsi="Times New Roman" w:cs="Times New Roman"/>
            <w:noProof w:val="1"/>
            <w:sz w:val="24"/>
            <w:szCs w:val="24"/>
          </w:rPr>
          <w:t>23</w:t>
        </w:r>
        <w:r>
          <w:rPr>
            <w:rFonts w:ascii="Times New Roman" w:hAnsi="Times New Roman" w:cs="Times New Roman"/>
            <w:noProof w:val="1"/>
            <w:sz w:val="24"/>
            <w:szCs w:val="24"/>
          </w:rPr>
          <w:fldChar w:fldCharType="end"/>
        </w:r>
      </w:hyperlink>
    </w:p>
    <w:p>
      <w:pPr>
        <w:pStyle w:val="P15"/>
        <w:tabs>
          <w:tab w:val="right" w:pos="9680" w:leader="dot"/>
        </w:tabs>
        <w:spacing w:lineRule="auto" w:line="360" w:after="0" w:beforeAutospacing="0" w:afterAutospacing="0"/>
        <w:jc w:val="both"/>
        <w:rPr>
          <w:rFonts w:ascii="Times New Roman" w:hAnsi="Times New Roman" w:cs="Times New Roman" w:eastAsiaTheme="minorEastAsia"/>
          <w:noProof w:val="1"/>
          <w:sz w:val="24"/>
          <w:szCs w:val="24"/>
          <w:kern w:val="2"/>
          <w:lang w:eastAsia="en-IN"/>
        </w:rPr>
      </w:pPr>
      <w:hyperlink w:anchor="_Toc217422081">
        <w:r>
          <w:rPr>
            <w:rStyle w:val="C2"/>
            <w:rFonts w:ascii="Times New Roman" w:hAnsi="Times New Roman" w:cs="Times New Roman"/>
            <w:noProof w:val="1"/>
            <w:sz w:val="24"/>
            <w:szCs w:val="24"/>
          </w:rPr>
          <w:t>2.4.3 Inflation and Low‑Income Households</w:t>
        </w:r>
        <w:r>
          <w:rPr>
            <w:rFonts w:ascii="Times New Roman" w:hAnsi="Times New Roman" w:cs="Times New Roman"/>
            <w:noProof w:val="1"/>
            <w:sz w:val="24"/>
            <w:szCs w:val="24"/>
          </w:rPr>
          <w:tab/>
        </w:r>
        <w:r>
          <w:rPr>
            <w:rFonts w:ascii="Times New Roman" w:hAnsi="Times New Roman" w:cs="Times New Roman"/>
            <w:noProof w:val="1"/>
            <w:sz w:val="24"/>
            <w:szCs w:val="24"/>
          </w:rPr>
          <w:fldChar w:fldCharType="begin"/>
        </w:r>
        <w:r>
          <w:rPr>
            <w:rFonts w:ascii="Times New Roman" w:hAnsi="Times New Roman" w:cs="Times New Roman"/>
            <w:noProof w:val="1"/>
            <w:sz w:val="24"/>
            <w:szCs w:val="24"/>
          </w:rPr>
          <w:instrText xml:space="preserve"> PAGEREF _Toc217422081 \h </w:instrText>
        </w:r>
        <w:r>
          <w:rPr>
            <w:rFonts w:ascii="Times New Roman" w:hAnsi="Times New Roman" w:cs="Times New Roman"/>
            <w:noProof w:val="1"/>
            <w:sz w:val="24"/>
            <w:szCs w:val="24"/>
          </w:rPr>
          <w:fldChar w:fldCharType="separate"/>
        </w:r>
        <w:r>
          <w:rPr>
            <w:rFonts w:ascii="Times New Roman" w:hAnsi="Times New Roman" w:cs="Times New Roman"/>
            <w:noProof w:val="1"/>
            <w:sz w:val="24"/>
            <w:szCs w:val="24"/>
          </w:rPr>
          <w:t>26</w:t>
        </w:r>
        <w:r>
          <w:rPr>
            <w:rFonts w:ascii="Times New Roman" w:hAnsi="Times New Roman" w:cs="Times New Roman"/>
            <w:noProof w:val="1"/>
            <w:sz w:val="24"/>
            <w:szCs w:val="24"/>
          </w:rPr>
          <w:fldChar w:fldCharType="end"/>
        </w:r>
      </w:hyperlink>
    </w:p>
    <w:p>
      <w:pPr>
        <w:pStyle w:val="P15"/>
        <w:tabs>
          <w:tab w:val="right" w:pos="9680" w:leader="dot"/>
        </w:tabs>
        <w:spacing w:lineRule="auto" w:line="360" w:after="0" w:beforeAutospacing="0" w:afterAutospacing="0"/>
        <w:jc w:val="both"/>
        <w:rPr>
          <w:rFonts w:ascii="Times New Roman" w:hAnsi="Times New Roman" w:cs="Times New Roman" w:eastAsiaTheme="minorEastAsia"/>
          <w:noProof w:val="1"/>
          <w:sz w:val="24"/>
          <w:szCs w:val="24"/>
          <w:kern w:val="2"/>
          <w:lang w:eastAsia="en-IN"/>
        </w:rPr>
      </w:pPr>
      <w:hyperlink w:anchor="_Toc217422082">
        <w:r>
          <w:rPr>
            <w:rStyle w:val="C2"/>
            <w:rFonts w:ascii="Times New Roman" w:hAnsi="Times New Roman" w:cs="Times New Roman"/>
            <w:noProof w:val="1"/>
            <w:sz w:val="24"/>
            <w:szCs w:val="24"/>
          </w:rPr>
          <w:t>2.4.4 Forecasting Inflation: ARIMA and Machine Learning</w:t>
        </w:r>
        <w:r>
          <w:rPr>
            <w:rFonts w:ascii="Times New Roman" w:hAnsi="Times New Roman" w:cs="Times New Roman"/>
            <w:noProof w:val="1"/>
            <w:sz w:val="24"/>
            <w:szCs w:val="24"/>
          </w:rPr>
          <w:tab/>
        </w:r>
        <w:r>
          <w:rPr>
            <w:rFonts w:ascii="Times New Roman" w:hAnsi="Times New Roman" w:cs="Times New Roman"/>
            <w:noProof w:val="1"/>
            <w:sz w:val="24"/>
            <w:szCs w:val="24"/>
          </w:rPr>
          <w:fldChar w:fldCharType="begin"/>
        </w:r>
        <w:r>
          <w:rPr>
            <w:rFonts w:ascii="Times New Roman" w:hAnsi="Times New Roman" w:cs="Times New Roman"/>
            <w:noProof w:val="1"/>
            <w:sz w:val="24"/>
            <w:szCs w:val="24"/>
          </w:rPr>
          <w:instrText xml:space="preserve"> PAGEREF _Toc217422082 \h </w:instrText>
        </w:r>
        <w:r>
          <w:rPr>
            <w:rFonts w:ascii="Times New Roman" w:hAnsi="Times New Roman" w:cs="Times New Roman"/>
            <w:noProof w:val="1"/>
            <w:sz w:val="24"/>
            <w:szCs w:val="24"/>
          </w:rPr>
          <w:fldChar w:fldCharType="separate"/>
        </w:r>
        <w:r>
          <w:rPr>
            <w:rFonts w:ascii="Times New Roman" w:hAnsi="Times New Roman" w:cs="Times New Roman"/>
            <w:noProof w:val="1"/>
            <w:sz w:val="24"/>
            <w:szCs w:val="24"/>
          </w:rPr>
          <w:t>28</w:t>
        </w:r>
        <w:r>
          <w:rPr>
            <w:rFonts w:ascii="Times New Roman" w:hAnsi="Times New Roman" w:cs="Times New Roman"/>
            <w:noProof w:val="1"/>
            <w:sz w:val="24"/>
            <w:szCs w:val="24"/>
          </w:rPr>
          <w:fldChar w:fldCharType="end"/>
        </w:r>
      </w:hyperlink>
    </w:p>
    <w:p>
      <w:pPr>
        <w:pStyle w:val="P15"/>
        <w:tabs>
          <w:tab w:val="right" w:pos="9680" w:leader="dot"/>
        </w:tabs>
        <w:spacing w:lineRule="auto" w:line="360" w:after="0" w:beforeAutospacing="0" w:afterAutospacing="0"/>
        <w:jc w:val="both"/>
        <w:rPr>
          <w:rFonts w:ascii="Times New Roman" w:hAnsi="Times New Roman" w:cs="Times New Roman" w:eastAsiaTheme="minorEastAsia"/>
          <w:noProof w:val="1"/>
          <w:sz w:val="24"/>
          <w:szCs w:val="24"/>
          <w:kern w:val="2"/>
          <w:lang w:eastAsia="en-IN"/>
        </w:rPr>
      </w:pPr>
      <w:hyperlink w:anchor="_Toc217422083">
        <w:r>
          <w:rPr>
            <w:rStyle w:val="C2"/>
            <w:rFonts w:ascii="Times New Roman" w:hAnsi="Times New Roman" w:cs="Times New Roman"/>
            <w:noProof w:val="1"/>
            <w:sz w:val="24"/>
            <w:szCs w:val="24"/>
          </w:rPr>
          <w:t>2.3 Literature Gap</w:t>
        </w:r>
        <w:r>
          <w:rPr>
            <w:rFonts w:ascii="Times New Roman" w:hAnsi="Times New Roman" w:cs="Times New Roman"/>
            <w:noProof w:val="1"/>
            <w:sz w:val="24"/>
            <w:szCs w:val="24"/>
          </w:rPr>
          <w:tab/>
        </w:r>
        <w:r>
          <w:rPr>
            <w:rFonts w:ascii="Times New Roman" w:hAnsi="Times New Roman" w:cs="Times New Roman"/>
            <w:noProof w:val="1"/>
            <w:sz w:val="24"/>
            <w:szCs w:val="24"/>
          </w:rPr>
          <w:fldChar w:fldCharType="begin"/>
        </w:r>
        <w:r>
          <w:rPr>
            <w:rFonts w:ascii="Times New Roman" w:hAnsi="Times New Roman" w:cs="Times New Roman"/>
            <w:noProof w:val="1"/>
            <w:sz w:val="24"/>
            <w:szCs w:val="24"/>
          </w:rPr>
          <w:instrText xml:space="preserve"> PAGEREF _Toc217422083 \h </w:instrText>
        </w:r>
        <w:r>
          <w:rPr>
            <w:rFonts w:ascii="Times New Roman" w:hAnsi="Times New Roman" w:cs="Times New Roman"/>
            <w:noProof w:val="1"/>
            <w:sz w:val="24"/>
            <w:szCs w:val="24"/>
          </w:rPr>
          <w:fldChar w:fldCharType="separate"/>
        </w:r>
        <w:r>
          <w:rPr>
            <w:rFonts w:ascii="Times New Roman" w:hAnsi="Times New Roman" w:cs="Times New Roman"/>
            <w:noProof w:val="1"/>
            <w:sz w:val="24"/>
            <w:szCs w:val="24"/>
          </w:rPr>
          <w:t>30</w:t>
        </w:r>
        <w:r>
          <w:rPr>
            <w:rFonts w:ascii="Times New Roman" w:hAnsi="Times New Roman" w:cs="Times New Roman"/>
            <w:noProof w:val="1"/>
            <w:sz w:val="24"/>
            <w:szCs w:val="24"/>
          </w:rPr>
          <w:fldChar w:fldCharType="end"/>
        </w:r>
      </w:hyperlink>
    </w:p>
    <w:p>
      <w:pPr>
        <w:pStyle w:val="P15"/>
        <w:tabs>
          <w:tab w:val="right" w:pos="9680" w:leader="dot"/>
        </w:tabs>
        <w:spacing w:lineRule="auto" w:line="360" w:after="0" w:beforeAutospacing="0" w:afterAutospacing="0"/>
        <w:jc w:val="both"/>
        <w:rPr>
          <w:rFonts w:ascii="Times New Roman" w:hAnsi="Times New Roman" w:cs="Times New Roman" w:eastAsiaTheme="minorEastAsia"/>
          <w:noProof w:val="1"/>
          <w:sz w:val="24"/>
          <w:szCs w:val="24"/>
          <w:kern w:val="2"/>
          <w:lang w:eastAsia="en-IN"/>
        </w:rPr>
      </w:pPr>
      <w:hyperlink w:anchor="_Toc217422084">
        <w:r>
          <w:rPr>
            <w:rStyle w:val="C2"/>
            <w:rFonts w:ascii="Times New Roman" w:hAnsi="Times New Roman" w:cs="Times New Roman"/>
            <w:noProof w:val="1"/>
            <w:sz w:val="24"/>
            <w:szCs w:val="24"/>
          </w:rPr>
          <w:t>2.4 Conceptual Framework</w:t>
        </w:r>
        <w:r>
          <w:rPr>
            <w:rFonts w:ascii="Times New Roman" w:hAnsi="Times New Roman" w:cs="Times New Roman"/>
            <w:noProof w:val="1"/>
            <w:sz w:val="24"/>
            <w:szCs w:val="24"/>
          </w:rPr>
          <w:tab/>
        </w:r>
        <w:r>
          <w:rPr>
            <w:rFonts w:ascii="Times New Roman" w:hAnsi="Times New Roman" w:cs="Times New Roman"/>
            <w:noProof w:val="1"/>
            <w:sz w:val="24"/>
            <w:szCs w:val="24"/>
          </w:rPr>
          <w:fldChar w:fldCharType="begin"/>
        </w:r>
        <w:r>
          <w:rPr>
            <w:rFonts w:ascii="Times New Roman" w:hAnsi="Times New Roman" w:cs="Times New Roman"/>
            <w:noProof w:val="1"/>
            <w:sz w:val="24"/>
            <w:szCs w:val="24"/>
          </w:rPr>
          <w:instrText xml:space="preserve"> PAGEREF _Toc217422084 \h </w:instrText>
        </w:r>
        <w:r>
          <w:rPr>
            <w:rFonts w:ascii="Times New Roman" w:hAnsi="Times New Roman" w:cs="Times New Roman"/>
            <w:noProof w:val="1"/>
            <w:sz w:val="24"/>
            <w:szCs w:val="24"/>
          </w:rPr>
          <w:fldChar w:fldCharType="separate"/>
        </w:r>
        <w:r>
          <w:rPr>
            <w:rFonts w:ascii="Times New Roman" w:hAnsi="Times New Roman" w:cs="Times New Roman"/>
            <w:noProof w:val="1"/>
            <w:sz w:val="24"/>
            <w:szCs w:val="24"/>
          </w:rPr>
          <w:t>30</w:t>
        </w:r>
        <w:r>
          <w:rPr>
            <w:rFonts w:ascii="Times New Roman" w:hAnsi="Times New Roman" w:cs="Times New Roman"/>
            <w:noProof w:val="1"/>
            <w:sz w:val="24"/>
            <w:szCs w:val="24"/>
          </w:rPr>
          <w:fldChar w:fldCharType="end"/>
        </w:r>
      </w:hyperlink>
    </w:p>
    <w:p>
      <w:pPr>
        <w:pStyle w:val="P15"/>
        <w:tabs>
          <w:tab w:val="left" w:pos="960" w:leader="none"/>
          <w:tab w:val="right" w:pos="9680" w:leader="dot"/>
        </w:tabs>
        <w:spacing w:lineRule="auto" w:line="360" w:after="0" w:beforeAutospacing="0" w:afterAutospacing="0"/>
        <w:jc w:val="both"/>
        <w:rPr>
          <w:rFonts w:ascii="Times New Roman" w:hAnsi="Times New Roman" w:cs="Times New Roman" w:eastAsiaTheme="minorEastAsia"/>
          <w:noProof w:val="1"/>
          <w:sz w:val="24"/>
          <w:szCs w:val="24"/>
          <w:kern w:val="2"/>
          <w:lang w:eastAsia="en-IN"/>
        </w:rPr>
      </w:pPr>
      <w:hyperlink w:anchor="_Toc217422085">
        <w:r>
          <w:rPr>
            <w:rStyle w:val="C2"/>
            <w:rFonts w:ascii="Times New Roman" w:hAnsi="Times New Roman" w:cs="Times New Roman"/>
            <w:noProof w:val="1"/>
            <w:sz w:val="24"/>
            <w:szCs w:val="24"/>
          </w:rPr>
          <w:t>2.5</w:t>
        </w:r>
        <w:r>
          <w:rPr>
            <w:rFonts w:ascii="Times New Roman" w:hAnsi="Times New Roman" w:cs="Times New Roman" w:eastAsiaTheme="minorEastAsia"/>
            <w:noProof w:val="1"/>
            <w:sz w:val="24"/>
            <w:szCs w:val="24"/>
            <w:kern w:val="2"/>
            <w:lang w:eastAsia="en-IN"/>
          </w:rPr>
          <w:tab/>
        </w:r>
        <w:r>
          <w:rPr>
            <w:rStyle w:val="C2"/>
            <w:rFonts w:ascii="Times New Roman" w:hAnsi="Times New Roman" w:cs="Times New Roman"/>
            <w:noProof w:val="1"/>
            <w:sz w:val="24"/>
            <w:szCs w:val="24"/>
          </w:rPr>
          <w:t>Summary</w:t>
        </w:r>
        <w:r>
          <w:rPr>
            <w:rFonts w:ascii="Times New Roman" w:hAnsi="Times New Roman" w:cs="Times New Roman"/>
            <w:noProof w:val="1"/>
            <w:sz w:val="24"/>
            <w:szCs w:val="24"/>
          </w:rPr>
          <w:tab/>
        </w:r>
        <w:r>
          <w:rPr>
            <w:rFonts w:ascii="Times New Roman" w:hAnsi="Times New Roman" w:cs="Times New Roman"/>
            <w:noProof w:val="1"/>
            <w:sz w:val="24"/>
            <w:szCs w:val="24"/>
          </w:rPr>
          <w:fldChar w:fldCharType="begin"/>
        </w:r>
        <w:r>
          <w:rPr>
            <w:rFonts w:ascii="Times New Roman" w:hAnsi="Times New Roman" w:cs="Times New Roman"/>
            <w:noProof w:val="1"/>
            <w:sz w:val="24"/>
            <w:szCs w:val="24"/>
          </w:rPr>
          <w:instrText xml:space="preserve"> PAGEREF _Toc217422085 \h </w:instrText>
        </w:r>
        <w:r>
          <w:rPr>
            <w:rFonts w:ascii="Times New Roman" w:hAnsi="Times New Roman" w:cs="Times New Roman"/>
            <w:noProof w:val="1"/>
            <w:sz w:val="24"/>
            <w:szCs w:val="24"/>
          </w:rPr>
          <w:fldChar w:fldCharType="separate"/>
        </w:r>
        <w:r>
          <w:rPr>
            <w:rFonts w:ascii="Times New Roman" w:hAnsi="Times New Roman" w:cs="Times New Roman"/>
            <w:noProof w:val="1"/>
            <w:sz w:val="24"/>
            <w:szCs w:val="24"/>
          </w:rPr>
          <w:t>33</w:t>
        </w:r>
        <w:r>
          <w:rPr>
            <w:rFonts w:ascii="Times New Roman" w:hAnsi="Times New Roman" w:cs="Times New Roman"/>
            <w:noProof w:val="1"/>
            <w:sz w:val="24"/>
            <w:szCs w:val="24"/>
          </w:rPr>
          <w:fldChar w:fldCharType="end"/>
        </w:r>
      </w:hyperlink>
    </w:p>
    <w:p>
      <w:pPr>
        <w:pStyle w:val="P14"/>
        <w:tabs>
          <w:tab w:val="right" w:pos="9680" w:leader="dot"/>
        </w:tabs>
        <w:spacing w:lineRule="auto" w:line="360" w:after="0" w:beforeAutospacing="0" w:afterAutospacing="0"/>
        <w:jc w:val="both"/>
        <w:rPr>
          <w:rFonts w:ascii="Times New Roman" w:hAnsi="Times New Roman" w:cs="Times New Roman" w:eastAsiaTheme="minorEastAsia"/>
          <w:noProof w:val="1"/>
          <w:sz w:val="24"/>
          <w:szCs w:val="24"/>
          <w:kern w:val="2"/>
          <w:lang w:eastAsia="en-IN"/>
        </w:rPr>
      </w:pPr>
      <w:hyperlink w:anchor="_Toc217422086">
        <w:r>
          <w:rPr>
            <w:rStyle w:val="C2"/>
            <w:rFonts w:ascii="Times New Roman" w:hAnsi="Times New Roman" w:cs="Times New Roman"/>
            <w:noProof w:val="1"/>
            <w:sz w:val="24"/>
            <w:szCs w:val="24"/>
          </w:rPr>
          <w:t>Chapter 3: Methodology</w:t>
        </w:r>
        <w:r>
          <w:rPr>
            <w:rFonts w:ascii="Times New Roman" w:hAnsi="Times New Roman" w:cs="Times New Roman"/>
            <w:noProof w:val="1"/>
            <w:sz w:val="24"/>
            <w:szCs w:val="24"/>
          </w:rPr>
          <w:tab/>
        </w:r>
        <w:r>
          <w:rPr>
            <w:rFonts w:ascii="Times New Roman" w:hAnsi="Times New Roman" w:cs="Times New Roman"/>
            <w:noProof w:val="1"/>
            <w:sz w:val="24"/>
            <w:szCs w:val="24"/>
          </w:rPr>
          <w:fldChar w:fldCharType="begin"/>
        </w:r>
        <w:r>
          <w:rPr>
            <w:rFonts w:ascii="Times New Roman" w:hAnsi="Times New Roman" w:cs="Times New Roman"/>
            <w:noProof w:val="1"/>
            <w:sz w:val="24"/>
            <w:szCs w:val="24"/>
          </w:rPr>
          <w:instrText xml:space="preserve"> PAGEREF _Toc217422086 \h </w:instrText>
        </w:r>
        <w:r>
          <w:rPr>
            <w:rFonts w:ascii="Times New Roman" w:hAnsi="Times New Roman" w:cs="Times New Roman"/>
            <w:noProof w:val="1"/>
            <w:sz w:val="24"/>
            <w:szCs w:val="24"/>
          </w:rPr>
          <w:fldChar w:fldCharType="separate"/>
        </w:r>
        <w:r>
          <w:rPr>
            <w:rFonts w:ascii="Times New Roman" w:hAnsi="Times New Roman" w:cs="Times New Roman"/>
            <w:noProof w:val="1"/>
            <w:sz w:val="24"/>
            <w:szCs w:val="24"/>
          </w:rPr>
          <w:t>33</w:t>
        </w:r>
        <w:r>
          <w:rPr>
            <w:rFonts w:ascii="Times New Roman" w:hAnsi="Times New Roman" w:cs="Times New Roman"/>
            <w:noProof w:val="1"/>
            <w:sz w:val="24"/>
            <w:szCs w:val="24"/>
          </w:rPr>
          <w:fldChar w:fldCharType="end"/>
        </w:r>
      </w:hyperlink>
    </w:p>
    <w:p>
      <w:pPr>
        <w:pStyle w:val="P15"/>
        <w:tabs>
          <w:tab w:val="right" w:pos="9680" w:leader="dot"/>
        </w:tabs>
        <w:spacing w:lineRule="auto" w:line="360" w:after="0" w:beforeAutospacing="0" w:afterAutospacing="0"/>
        <w:jc w:val="both"/>
        <w:rPr>
          <w:rFonts w:ascii="Times New Roman" w:hAnsi="Times New Roman" w:cs="Times New Roman" w:eastAsiaTheme="minorEastAsia"/>
          <w:noProof w:val="1"/>
          <w:sz w:val="24"/>
          <w:szCs w:val="24"/>
          <w:kern w:val="2"/>
          <w:lang w:eastAsia="en-IN"/>
        </w:rPr>
      </w:pPr>
      <w:hyperlink w:anchor="_Toc217422087">
        <w:r>
          <w:rPr>
            <w:rStyle w:val="C2"/>
            <w:rFonts w:ascii="Times New Roman" w:hAnsi="Times New Roman" w:cs="Times New Roman"/>
            <w:noProof w:val="1"/>
            <w:sz w:val="24"/>
            <w:szCs w:val="24"/>
          </w:rPr>
          <w:t>3.1 Introduction</w:t>
        </w:r>
        <w:r>
          <w:rPr>
            <w:rFonts w:ascii="Times New Roman" w:hAnsi="Times New Roman" w:cs="Times New Roman"/>
            <w:noProof w:val="1"/>
            <w:sz w:val="24"/>
            <w:szCs w:val="24"/>
          </w:rPr>
          <w:tab/>
        </w:r>
        <w:r>
          <w:rPr>
            <w:rFonts w:ascii="Times New Roman" w:hAnsi="Times New Roman" w:cs="Times New Roman"/>
            <w:noProof w:val="1"/>
            <w:sz w:val="24"/>
            <w:szCs w:val="24"/>
          </w:rPr>
          <w:fldChar w:fldCharType="begin"/>
        </w:r>
        <w:r>
          <w:rPr>
            <w:rFonts w:ascii="Times New Roman" w:hAnsi="Times New Roman" w:cs="Times New Roman"/>
            <w:noProof w:val="1"/>
            <w:sz w:val="24"/>
            <w:szCs w:val="24"/>
          </w:rPr>
          <w:instrText xml:space="preserve"> PAGEREF _Toc217422087 \h </w:instrText>
        </w:r>
        <w:r>
          <w:rPr>
            <w:rFonts w:ascii="Times New Roman" w:hAnsi="Times New Roman" w:cs="Times New Roman"/>
            <w:noProof w:val="1"/>
            <w:sz w:val="24"/>
            <w:szCs w:val="24"/>
          </w:rPr>
          <w:fldChar w:fldCharType="separate"/>
        </w:r>
        <w:r>
          <w:rPr>
            <w:rFonts w:ascii="Times New Roman" w:hAnsi="Times New Roman" w:cs="Times New Roman"/>
            <w:noProof w:val="1"/>
            <w:sz w:val="24"/>
            <w:szCs w:val="24"/>
          </w:rPr>
          <w:t>33</w:t>
        </w:r>
        <w:r>
          <w:rPr>
            <w:rFonts w:ascii="Times New Roman" w:hAnsi="Times New Roman" w:cs="Times New Roman"/>
            <w:noProof w:val="1"/>
            <w:sz w:val="24"/>
            <w:szCs w:val="24"/>
          </w:rPr>
          <w:fldChar w:fldCharType="end"/>
        </w:r>
      </w:hyperlink>
    </w:p>
    <w:p>
      <w:pPr>
        <w:pStyle w:val="P15"/>
        <w:tabs>
          <w:tab w:val="right" w:pos="9680" w:leader="dot"/>
        </w:tabs>
        <w:spacing w:lineRule="auto" w:line="360" w:after="0" w:beforeAutospacing="0" w:afterAutospacing="0"/>
        <w:jc w:val="both"/>
        <w:rPr>
          <w:rFonts w:ascii="Times New Roman" w:hAnsi="Times New Roman" w:cs="Times New Roman" w:eastAsiaTheme="minorEastAsia"/>
          <w:noProof w:val="1"/>
          <w:sz w:val="24"/>
          <w:szCs w:val="24"/>
          <w:kern w:val="2"/>
          <w:lang w:eastAsia="en-IN"/>
        </w:rPr>
      </w:pPr>
      <w:hyperlink w:anchor="_Toc217422088">
        <w:r>
          <w:rPr>
            <w:rStyle w:val="C2"/>
            <w:rFonts w:ascii="Times New Roman" w:hAnsi="Times New Roman" w:cs="Times New Roman"/>
            <w:noProof w:val="1"/>
            <w:sz w:val="24"/>
            <w:szCs w:val="24"/>
          </w:rPr>
          <w:t>3.2 Data Sources and Preprocessing (CPI, sectors, urban/rural)</w:t>
        </w:r>
        <w:r>
          <w:rPr>
            <w:rFonts w:ascii="Times New Roman" w:hAnsi="Times New Roman" w:cs="Times New Roman"/>
            <w:noProof w:val="1"/>
            <w:sz w:val="24"/>
            <w:szCs w:val="24"/>
          </w:rPr>
          <w:tab/>
        </w:r>
        <w:r>
          <w:rPr>
            <w:rFonts w:ascii="Times New Roman" w:hAnsi="Times New Roman" w:cs="Times New Roman"/>
            <w:noProof w:val="1"/>
            <w:sz w:val="24"/>
            <w:szCs w:val="24"/>
          </w:rPr>
          <w:fldChar w:fldCharType="begin"/>
        </w:r>
        <w:r>
          <w:rPr>
            <w:rFonts w:ascii="Times New Roman" w:hAnsi="Times New Roman" w:cs="Times New Roman"/>
            <w:noProof w:val="1"/>
            <w:sz w:val="24"/>
            <w:szCs w:val="24"/>
          </w:rPr>
          <w:instrText xml:space="preserve"> PAGEREF _Toc217422088 \h </w:instrText>
        </w:r>
        <w:r>
          <w:rPr>
            <w:rFonts w:ascii="Times New Roman" w:hAnsi="Times New Roman" w:cs="Times New Roman"/>
            <w:noProof w:val="1"/>
            <w:sz w:val="24"/>
            <w:szCs w:val="24"/>
          </w:rPr>
          <w:fldChar w:fldCharType="separate"/>
        </w:r>
        <w:r>
          <w:rPr>
            <w:rFonts w:ascii="Times New Roman" w:hAnsi="Times New Roman" w:cs="Times New Roman"/>
            <w:noProof w:val="1"/>
            <w:sz w:val="24"/>
            <w:szCs w:val="24"/>
          </w:rPr>
          <w:t>34</w:t>
        </w:r>
        <w:r>
          <w:rPr>
            <w:rFonts w:ascii="Times New Roman" w:hAnsi="Times New Roman" w:cs="Times New Roman"/>
            <w:noProof w:val="1"/>
            <w:sz w:val="24"/>
            <w:szCs w:val="24"/>
          </w:rPr>
          <w:fldChar w:fldCharType="end"/>
        </w:r>
      </w:hyperlink>
    </w:p>
    <w:p>
      <w:pPr>
        <w:pStyle w:val="P15"/>
        <w:tabs>
          <w:tab w:val="right" w:pos="9680" w:leader="dot"/>
        </w:tabs>
        <w:spacing w:lineRule="auto" w:line="360" w:after="0" w:beforeAutospacing="0" w:afterAutospacing="0"/>
        <w:jc w:val="both"/>
        <w:rPr>
          <w:rFonts w:ascii="Times New Roman" w:hAnsi="Times New Roman" w:cs="Times New Roman" w:eastAsiaTheme="minorEastAsia"/>
          <w:noProof w:val="1"/>
          <w:sz w:val="24"/>
          <w:szCs w:val="24"/>
          <w:kern w:val="2"/>
          <w:lang w:eastAsia="en-IN"/>
        </w:rPr>
      </w:pPr>
      <w:hyperlink w:anchor="_Toc217422089">
        <w:r>
          <w:rPr>
            <w:rStyle w:val="C2"/>
            <w:rFonts w:ascii="Times New Roman" w:hAnsi="Times New Roman" w:cs="Times New Roman"/>
            <w:noProof w:val="1"/>
            <w:sz w:val="24"/>
            <w:szCs w:val="24"/>
          </w:rPr>
          <w:t>3.3 Research Approach</w:t>
        </w:r>
        <w:r>
          <w:rPr>
            <w:rFonts w:ascii="Times New Roman" w:hAnsi="Times New Roman" w:cs="Times New Roman"/>
            <w:noProof w:val="1"/>
            <w:sz w:val="24"/>
            <w:szCs w:val="24"/>
          </w:rPr>
          <w:tab/>
        </w:r>
        <w:r>
          <w:rPr>
            <w:rFonts w:ascii="Times New Roman" w:hAnsi="Times New Roman" w:cs="Times New Roman"/>
            <w:noProof w:val="1"/>
            <w:sz w:val="24"/>
            <w:szCs w:val="24"/>
          </w:rPr>
          <w:fldChar w:fldCharType="begin"/>
        </w:r>
        <w:r>
          <w:rPr>
            <w:rFonts w:ascii="Times New Roman" w:hAnsi="Times New Roman" w:cs="Times New Roman"/>
            <w:noProof w:val="1"/>
            <w:sz w:val="24"/>
            <w:szCs w:val="24"/>
          </w:rPr>
          <w:instrText xml:space="preserve"> PAGEREF _Toc217422089 \h </w:instrText>
        </w:r>
        <w:r>
          <w:rPr>
            <w:rFonts w:ascii="Times New Roman" w:hAnsi="Times New Roman" w:cs="Times New Roman"/>
            <w:noProof w:val="1"/>
            <w:sz w:val="24"/>
            <w:szCs w:val="24"/>
          </w:rPr>
          <w:fldChar w:fldCharType="separate"/>
        </w:r>
        <w:r>
          <w:rPr>
            <w:rFonts w:ascii="Times New Roman" w:hAnsi="Times New Roman" w:cs="Times New Roman"/>
            <w:noProof w:val="1"/>
            <w:sz w:val="24"/>
            <w:szCs w:val="24"/>
          </w:rPr>
          <w:t>35</w:t>
        </w:r>
        <w:r>
          <w:rPr>
            <w:rFonts w:ascii="Times New Roman" w:hAnsi="Times New Roman" w:cs="Times New Roman"/>
            <w:noProof w:val="1"/>
            <w:sz w:val="24"/>
            <w:szCs w:val="24"/>
          </w:rPr>
          <w:fldChar w:fldCharType="end"/>
        </w:r>
      </w:hyperlink>
    </w:p>
    <w:p>
      <w:pPr>
        <w:pStyle w:val="P15"/>
        <w:tabs>
          <w:tab w:val="right" w:pos="9680" w:leader="dot"/>
        </w:tabs>
        <w:spacing w:lineRule="auto" w:line="360" w:after="0" w:beforeAutospacing="0" w:afterAutospacing="0"/>
        <w:jc w:val="both"/>
        <w:rPr>
          <w:rFonts w:ascii="Times New Roman" w:hAnsi="Times New Roman" w:cs="Times New Roman" w:eastAsiaTheme="minorEastAsia"/>
          <w:noProof w:val="1"/>
          <w:sz w:val="24"/>
          <w:szCs w:val="24"/>
          <w:kern w:val="2"/>
          <w:lang w:eastAsia="en-IN"/>
        </w:rPr>
      </w:pPr>
      <w:hyperlink w:anchor="_Toc217422090">
        <w:r>
          <w:rPr>
            <w:rStyle w:val="C2"/>
            <w:rFonts w:ascii="Times New Roman" w:hAnsi="Times New Roman" w:cs="Times New Roman"/>
            <w:noProof w:val="1"/>
            <w:sz w:val="24"/>
            <w:szCs w:val="24"/>
          </w:rPr>
          <w:t>3.4 Research philosophy</w:t>
        </w:r>
        <w:r>
          <w:rPr>
            <w:rFonts w:ascii="Times New Roman" w:hAnsi="Times New Roman" w:cs="Times New Roman"/>
            <w:noProof w:val="1"/>
            <w:sz w:val="24"/>
            <w:szCs w:val="24"/>
          </w:rPr>
          <w:tab/>
        </w:r>
        <w:r>
          <w:rPr>
            <w:rFonts w:ascii="Times New Roman" w:hAnsi="Times New Roman" w:cs="Times New Roman"/>
            <w:noProof w:val="1"/>
            <w:sz w:val="24"/>
            <w:szCs w:val="24"/>
          </w:rPr>
          <w:fldChar w:fldCharType="begin"/>
        </w:r>
        <w:r>
          <w:rPr>
            <w:rFonts w:ascii="Times New Roman" w:hAnsi="Times New Roman" w:cs="Times New Roman"/>
            <w:noProof w:val="1"/>
            <w:sz w:val="24"/>
            <w:szCs w:val="24"/>
          </w:rPr>
          <w:instrText xml:space="preserve"> PAGEREF _Toc217422090 \h </w:instrText>
        </w:r>
        <w:r>
          <w:rPr>
            <w:rFonts w:ascii="Times New Roman" w:hAnsi="Times New Roman" w:cs="Times New Roman"/>
            <w:noProof w:val="1"/>
            <w:sz w:val="24"/>
            <w:szCs w:val="24"/>
          </w:rPr>
          <w:fldChar w:fldCharType="separate"/>
        </w:r>
        <w:r>
          <w:rPr>
            <w:rFonts w:ascii="Times New Roman" w:hAnsi="Times New Roman" w:cs="Times New Roman"/>
            <w:noProof w:val="1"/>
            <w:sz w:val="24"/>
            <w:szCs w:val="24"/>
          </w:rPr>
          <w:t>36</w:t>
        </w:r>
        <w:r>
          <w:rPr>
            <w:rFonts w:ascii="Times New Roman" w:hAnsi="Times New Roman" w:cs="Times New Roman"/>
            <w:noProof w:val="1"/>
            <w:sz w:val="24"/>
            <w:szCs w:val="24"/>
          </w:rPr>
          <w:fldChar w:fldCharType="end"/>
        </w:r>
      </w:hyperlink>
    </w:p>
    <w:p>
      <w:pPr>
        <w:pStyle w:val="P15"/>
        <w:tabs>
          <w:tab w:val="right" w:pos="9680" w:leader="dot"/>
        </w:tabs>
        <w:spacing w:lineRule="auto" w:line="360" w:after="0" w:beforeAutospacing="0" w:afterAutospacing="0"/>
        <w:jc w:val="both"/>
        <w:rPr>
          <w:rFonts w:ascii="Times New Roman" w:hAnsi="Times New Roman" w:cs="Times New Roman" w:eastAsiaTheme="minorEastAsia"/>
          <w:noProof w:val="1"/>
          <w:sz w:val="24"/>
          <w:szCs w:val="24"/>
          <w:kern w:val="2"/>
          <w:lang w:eastAsia="en-IN"/>
        </w:rPr>
      </w:pPr>
      <w:hyperlink w:anchor="_Toc217422091">
        <w:r>
          <w:rPr>
            <w:rStyle w:val="C2"/>
            <w:rFonts w:ascii="Times New Roman" w:hAnsi="Times New Roman" w:cs="Times New Roman"/>
            <w:noProof w:val="1"/>
            <w:sz w:val="24"/>
            <w:szCs w:val="24"/>
          </w:rPr>
          <w:t>3.5 Research Design</w:t>
        </w:r>
        <w:r>
          <w:rPr>
            <w:rFonts w:ascii="Times New Roman" w:hAnsi="Times New Roman" w:cs="Times New Roman"/>
            <w:noProof w:val="1"/>
            <w:sz w:val="24"/>
            <w:szCs w:val="24"/>
          </w:rPr>
          <w:tab/>
        </w:r>
        <w:r>
          <w:rPr>
            <w:rFonts w:ascii="Times New Roman" w:hAnsi="Times New Roman" w:cs="Times New Roman"/>
            <w:noProof w:val="1"/>
            <w:sz w:val="24"/>
            <w:szCs w:val="24"/>
          </w:rPr>
          <w:fldChar w:fldCharType="begin"/>
        </w:r>
        <w:r>
          <w:rPr>
            <w:rFonts w:ascii="Times New Roman" w:hAnsi="Times New Roman" w:cs="Times New Roman"/>
            <w:noProof w:val="1"/>
            <w:sz w:val="24"/>
            <w:szCs w:val="24"/>
          </w:rPr>
          <w:instrText xml:space="preserve"> PAGEREF _Toc217422091 \h </w:instrText>
        </w:r>
        <w:r>
          <w:rPr>
            <w:rFonts w:ascii="Times New Roman" w:hAnsi="Times New Roman" w:cs="Times New Roman"/>
            <w:noProof w:val="1"/>
            <w:sz w:val="24"/>
            <w:szCs w:val="24"/>
          </w:rPr>
          <w:fldChar w:fldCharType="separate"/>
        </w:r>
        <w:r>
          <w:rPr>
            <w:rFonts w:ascii="Times New Roman" w:hAnsi="Times New Roman" w:cs="Times New Roman"/>
            <w:noProof w:val="1"/>
            <w:sz w:val="24"/>
            <w:szCs w:val="24"/>
          </w:rPr>
          <w:t>37</w:t>
        </w:r>
        <w:r>
          <w:rPr>
            <w:rFonts w:ascii="Times New Roman" w:hAnsi="Times New Roman" w:cs="Times New Roman"/>
            <w:noProof w:val="1"/>
            <w:sz w:val="24"/>
            <w:szCs w:val="24"/>
          </w:rPr>
          <w:fldChar w:fldCharType="end"/>
        </w:r>
      </w:hyperlink>
    </w:p>
    <w:p>
      <w:pPr>
        <w:pStyle w:val="P20"/>
        <w:tabs>
          <w:tab w:val="right" w:pos="9680" w:leader="dot"/>
        </w:tabs>
        <w:spacing w:lineRule="auto" w:line="360" w:after="0" w:beforeAutospacing="0" w:afterAutospacing="0"/>
        <w:jc w:val="both"/>
        <w:rPr>
          <w:rFonts w:ascii="Times New Roman" w:hAnsi="Times New Roman" w:cs="Times New Roman"/>
          <w:noProof w:val="1"/>
          <w:sz w:val="24"/>
          <w:szCs w:val="24"/>
        </w:rPr>
      </w:pPr>
      <w:hyperlink w:anchor="_Toc217422092">
        <w:r>
          <w:rPr>
            <w:rStyle w:val="C2"/>
            <w:rFonts w:ascii="Times New Roman" w:hAnsi="Times New Roman" w:cs="Times New Roman"/>
            <w:noProof w:val="1"/>
            <w:sz w:val="24"/>
            <w:szCs w:val="24"/>
          </w:rPr>
          <w:t>3.5.1 Modelling Methods (ARIMA and ML models)</w:t>
        </w:r>
        <w:r>
          <w:rPr>
            <w:rFonts w:ascii="Times New Roman" w:hAnsi="Times New Roman" w:cs="Times New Roman"/>
            <w:noProof w:val="1"/>
            <w:sz w:val="24"/>
            <w:szCs w:val="24"/>
          </w:rPr>
          <w:tab/>
        </w:r>
        <w:r>
          <w:rPr>
            <w:rFonts w:ascii="Times New Roman" w:hAnsi="Times New Roman" w:cs="Times New Roman"/>
            <w:noProof w:val="1"/>
            <w:sz w:val="24"/>
            <w:szCs w:val="24"/>
          </w:rPr>
          <w:fldChar w:fldCharType="begin"/>
        </w:r>
        <w:r>
          <w:rPr>
            <w:rFonts w:ascii="Times New Roman" w:hAnsi="Times New Roman" w:cs="Times New Roman"/>
            <w:noProof w:val="1"/>
            <w:sz w:val="24"/>
            <w:szCs w:val="24"/>
          </w:rPr>
          <w:instrText xml:space="preserve"> PAGEREF _Toc217422092 \h </w:instrText>
        </w:r>
        <w:r>
          <w:rPr>
            <w:rFonts w:ascii="Times New Roman" w:hAnsi="Times New Roman" w:cs="Times New Roman"/>
            <w:noProof w:val="1"/>
            <w:sz w:val="24"/>
            <w:szCs w:val="24"/>
          </w:rPr>
          <w:fldChar w:fldCharType="separate"/>
        </w:r>
        <w:r>
          <w:rPr>
            <w:rFonts w:ascii="Times New Roman" w:hAnsi="Times New Roman" w:cs="Times New Roman"/>
            <w:noProof w:val="1"/>
            <w:sz w:val="24"/>
            <w:szCs w:val="24"/>
          </w:rPr>
          <w:t>37</w:t>
        </w:r>
        <w:r>
          <w:rPr>
            <w:rFonts w:ascii="Times New Roman" w:hAnsi="Times New Roman" w:cs="Times New Roman"/>
            <w:noProof w:val="1"/>
            <w:sz w:val="24"/>
            <w:szCs w:val="24"/>
          </w:rPr>
          <w:fldChar w:fldCharType="end"/>
        </w:r>
      </w:hyperlink>
    </w:p>
    <w:p>
      <w:pPr>
        <w:pStyle w:val="P20"/>
        <w:tabs>
          <w:tab w:val="right" w:pos="9680" w:leader="dot"/>
        </w:tabs>
        <w:spacing w:lineRule="auto" w:line="360" w:after="0" w:beforeAutospacing="0" w:afterAutospacing="0"/>
        <w:jc w:val="both"/>
        <w:rPr>
          <w:rFonts w:ascii="Times New Roman" w:hAnsi="Times New Roman" w:cs="Times New Roman"/>
          <w:noProof w:val="1"/>
          <w:sz w:val="24"/>
          <w:szCs w:val="24"/>
        </w:rPr>
      </w:pPr>
      <w:hyperlink w:anchor="_Toc217422093">
        <w:r>
          <w:rPr>
            <w:rStyle w:val="C2"/>
            <w:rFonts w:ascii="Times New Roman" w:hAnsi="Times New Roman" w:cs="Times New Roman"/>
            <w:noProof w:val="1"/>
            <w:sz w:val="24"/>
            <w:szCs w:val="24"/>
          </w:rPr>
          <w:t>3.5.2 Evaluation Metrics (MAE, RMSE)</w:t>
        </w:r>
        <w:r>
          <w:rPr>
            <w:rFonts w:ascii="Times New Roman" w:hAnsi="Times New Roman" w:cs="Times New Roman"/>
            <w:noProof w:val="1"/>
            <w:sz w:val="24"/>
            <w:szCs w:val="24"/>
          </w:rPr>
          <w:tab/>
        </w:r>
        <w:r>
          <w:rPr>
            <w:rFonts w:ascii="Times New Roman" w:hAnsi="Times New Roman" w:cs="Times New Roman"/>
            <w:noProof w:val="1"/>
            <w:sz w:val="24"/>
            <w:szCs w:val="24"/>
          </w:rPr>
          <w:fldChar w:fldCharType="begin"/>
        </w:r>
        <w:r>
          <w:rPr>
            <w:rFonts w:ascii="Times New Roman" w:hAnsi="Times New Roman" w:cs="Times New Roman"/>
            <w:noProof w:val="1"/>
            <w:sz w:val="24"/>
            <w:szCs w:val="24"/>
          </w:rPr>
          <w:instrText xml:space="preserve"> PAGEREF _Toc217422093 \h </w:instrText>
        </w:r>
        <w:r>
          <w:rPr>
            <w:rFonts w:ascii="Times New Roman" w:hAnsi="Times New Roman" w:cs="Times New Roman"/>
            <w:noProof w:val="1"/>
            <w:sz w:val="24"/>
            <w:szCs w:val="24"/>
          </w:rPr>
          <w:fldChar w:fldCharType="separate"/>
        </w:r>
        <w:r>
          <w:rPr>
            <w:rFonts w:ascii="Times New Roman" w:hAnsi="Times New Roman" w:cs="Times New Roman"/>
            <w:noProof w:val="1"/>
            <w:sz w:val="24"/>
            <w:szCs w:val="24"/>
          </w:rPr>
          <w:t>38</w:t>
        </w:r>
        <w:r>
          <w:rPr>
            <w:rFonts w:ascii="Times New Roman" w:hAnsi="Times New Roman" w:cs="Times New Roman"/>
            <w:noProof w:val="1"/>
            <w:sz w:val="24"/>
            <w:szCs w:val="24"/>
          </w:rPr>
          <w:fldChar w:fldCharType="end"/>
        </w:r>
      </w:hyperlink>
    </w:p>
    <w:p>
      <w:pPr>
        <w:pStyle w:val="P15"/>
        <w:tabs>
          <w:tab w:val="right" w:pos="9680" w:leader="dot"/>
        </w:tabs>
        <w:spacing w:lineRule="auto" w:line="360" w:after="0" w:beforeAutospacing="0" w:afterAutospacing="0"/>
        <w:jc w:val="both"/>
        <w:rPr>
          <w:rFonts w:ascii="Times New Roman" w:hAnsi="Times New Roman" w:cs="Times New Roman" w:eastAsiaTheme="minorEastAsia"/>
          <w:noProof w:val="1"/>
          <w:sz w:val="24"/>
          <w:szCs w:val="24"/>
          <w:kern w:val="2"/>
          <w:lang w:eastAsia="en-IN"/>
        </w:rPr>
      </w:pPr>
      <w:hyperlink w:anchor="_Toc217422094">
        <w:r>
          <w:rPr>
            <w:rStyle w:val="C2"/>
            <w:rFonts w:ascii="Times New Roman" w:hAnsi="Times New Roman" w:cs="Times New Roman"/>
            <w:noProof w:val="1"/>
            <w:sz w:val="24"/>
            <w:szCs w:val="24"/>
          </w:rPr>
          <w:t>3.6 Ethical and Practical Considerations</w:t>
        </w:r>
        <w:r>
          <w:rPr>
            <w:rFonts w:ascii="Times New Roman" w:hAnsi="Times New Roman" w:cs="Times New Roman"/>
            <w:noProof w:val="1"/>
            <w:sz w:val="24"/>
            <w:szCs w:val="24"/>
          </w:rPr>
          <w:tab/>
        </w:r>
        <w:r>
          <w:rPr>
            <w:rFonts w:ascii="Times New Roman" w:hAnsi="Times New Roman" w:cs="Times New Roman"/>
            <w:noProof w:val="1"/>
            <w:sz w:val="24"/>
            <w:szCs w:val="24"/>
          </w:rPr>
          <w:fldChar w:fldCharType="begin"/>
        </w:r>
        <w:r>
          <w:rPr>
            <w:rFonts w:ascii="Times New Roman" w:hAnsi="Times New Roman" w:cs="Times New Roman"/>
            <w:noProof w:val="1"/>
            <w:sz w:val="24"/>
            <w:szCs w:val="24"/>
          </w:rPr>
          <w:instrText xml:space="preserve"> PAGEREF _Toc217422094 \h </w:instrText>
        </w:r>
        <w:r>
          <w:rPr>
            <w:rFonts w:ascii="Times New Roman" w:hAnsi="Times New Roman" w:cs="Times New Roman"/>
            <w:noProof w:val="1"/>
            <w:sz w:val="24"/>
            <w:szCs w:val="24"/>
          </w:rPr>
          <w:fldChar w:fldCharType="separate"/>
        </w:r>
        <w:r>
          <w:rPr>
            <w:rFonts w:ascii="Times New Roman" w:hAnsi="Times New Roman" w:cs="Times New Roman"/>
            <w:noProof w:val="1"/>
            <w:sz w:val="24"/>
            <w:szCs w:val="24"/>
          </w:rPr>
          <w:t>39</w:t>
        </w:r>
        <w:r>
          <w:rPr>
            <w:rFonts w:ascii="Times New Roman" w:hAnsi="Times New Roman" w:cs="Times New Roman"/>
            <w:noProof w:val="1"/>
            <w:sz w:val="24"/>
            <w:szCs w:val="24"/>
          </w:rPr>
          <w:fldChar w:fldCharType="end"/>
        </w:r>
      </w:hyperlink>
    </w:p>
    <w:p>
      <w:pPr>
        <w:pStyle w:val="P15"/>
        <w:tabs>
          <w:tab w:val="right" w:pos="9680" w:leader="dot"/>
        </w:tabs>
        <w:spacing w:lineRule="auto" w:line="360" w:after="0" w:beforeAutospacing="0" w:afterAutospacing="0"/>
        <w:jc w:val="both"/>
        <w:rPr>
          <w:rFonts w:ascii="Times New Roman" w:hAnsi="Times New Roman" w:cs="Times New Roman" w:eastAsiaTheme="minorEastAsia"/>
          <w:noProof w:val="1"/>
          <w:sz w:val="24"/>
          <w:szCs w:val="24"/>
          <w:kern w:val="2"/>
          <w:lang w:eastAsia="en-IN"/>
        </w:rPr>
      </w:pPr>
      <w:hyperlink w:anchor="_Toc217422095">
        <w:r>
          <w:rPr>
            <w:rStyle w:val="C2"/>
            <w:rFonts w:ascii="Times New Roman" w:hAnsi="Times New Roman" w:cs="Times New Roman"/>
            <w:noProof w:val="1"/>
            <w:sz w:val="24"/>
            <w:szCs w:val="24"/>
          </w:rPr>
          <w:t>3.7 Limitations of the methodology</w:t>
        </w:r>
        <w:r>
          <w:rPr>
            <w:rFonts w:ascii="Times New Roman" w:hAnsi="Times New Roman" w:cs="Times New Roman"/>
            <w:noProof w:val="1"/>
            <w:sz w:val="24"/>
            <w:szCs w:val="24"/>
          </w:rPr>
          <w:tab/>
        </w:r>
        <w:r>
          <w:rPr>
            <w:rFonts w:ascii="Times New Roman" w:hAnsi="Times New Roman" w:cs="Times New Roman"/>
            <w:noProof w:val="1"/>
            <w:sz w:val="24"/>
            <w:szCs w:val="24"/>
          </w:rPr>
          <w:fldChar w:fldCharType="begin"/>
        </w:r>
        <w:r>
          <w:rPr>
            <w:rFonts w:ascii="Times New Roman" w:hAnsi="Times New Roman" w:cs="Times New Roman"/>
            <w:noProof w:val="1"/>
            <w:sz w:val="24"/>
            <w:szCs w:val="24"/>
          </w:rPr>
          <w:instrText xml:space="preserve"> PAGEREF _Toc217422095 \h </w:instrText>
        </w:r>
        <w:r>
          <w:rPr>
            <w:rFonts w:ascii="Times New Roman" w:hAnsi="Times New Roman" w:cs="Times New Roman"/>
            <w:noProof w:val="1"/>
            <w:sz w:val="24"/>
            <w:szCs w:val="24"/>
          </w:rPr>
          <w:fldChar w:fldCharType="separate"/>
        </w:r>
        <w:r>
          <w:rPr>
            <w:rFonts w:ascii="Times New Roman" w:hAnsi="Times New Roman" w:cs="Times New Roman"/>
            <w:noProof w:val="1"/>
            <w:sz w:val="24"/>
            <w:szCs w:val="24"/>
          </w:rPr>
          <w:t>40</w:t>
        </w:r>
        <w:r>
          <w:rPr>
            <w:rFonts w:ascii="Times New Roman" w:hAnsi="Times New Roman" w:cs="Times New Roman"/>
            <w:noProof w:val="1"/>
            <w:sz w:val="24"/>
            <w:szCs w:val="24"/>
          </w:rPr>
          <w:fldChar w:fldCharType="end"/>
        </w:r>
      </w:hyperlink>
    </w:p>
    <w:p>
      <w:pPr>
        <w:pStyle w:val="P15"/>
        <w:tabs>
          <w:tab w:val="right" w:pos="9680" w:leader="dot"/>
        </w:tabs>
        <w:spacing w:lineRule="auto" w:line="360" w:after="0" w:beforeAutospacing="0" w:afterAutospacing="0"/>
        <w:jc w:val="both"/>
        <w:rPr>
          <w:rFonts w:ascii="Times New Roman" w:hAnsi="Times New Roman" w:cs="Times New Roman" w:eastAsiaTheme="minorEastAsia"/>
          <w:noProof w:val="1"/>
          <w:sz w:val="24"/>
          <w:szCs w:val="24"/>
          <w:kern w:val="2"/>
          <w:lang w:eastAsia="en-IN"/>
        </w:rPr>
      </w:pPr>
      <w:hyperlink w:anchor="_Toc217422096">
        <w:r>
          <w:rPr>
            <w:rStyle w:val="C2"/>
            <w:rFonts w:ascii="Times New Roman" w:hAnsi="Times New Roman" w:cs="Times New Roman"/>
            <w:noProof w:val="1"/>
            <w:sz w:val="24"/>
            <w:szCs w:val="24"/>
          </w:rPr>
          <w:t>3.8 Summary</w:t>
        </w:r>
        <w:r>
          <w:rPr>
            <w:rFonts w:ascii="Times New Roman" w:hAnsi="Times New Roman" w:cs="Times New Roman"/>
            <w:noProof w:val="1"/>
            <w:sz w:val="24"/>
            <w:szCs w:val="24"/>
          </w:rPr>
          <w:tab/>
        </w:r>
        <w:r>
          <w:rPr>
            <w:rFonts w:ascii="Times New Roman" w:hAnsi="Times New Roman" w:cs="Times New Roman"/>
            <w:noProof w:val="1"/>
            <w:sz w:val="24"/>
            <w:szCs w:val="24"/>
          </w:rPr>
          <w:fldChar w:fldCharType="begin"/>
        </w:r>
        <w:r>
          <w:rPr>
            <w:rFonts w:ascii="Times New Roman" w:hAnsi="Times New Roman" w:cs="Times New Roman"/>
            <w:noProof w:val="1"/>
            <w:sz w:val="24"/>
            <w:szCs w:val="24"/>
          </w:rPr>
          <w:instrText xml:space="preserve"> PAGEREF _Toc217422096 \h </w:instrText>
        </w:r>
        <w:r>
          <w:rPr>
            <w:rFonts w:ascii="Times New Roman" w:hAnsi="Times New Roman" w:cs="Times New Roman"/>
            <w:noProof w:val="1"/>
            <w:sz w:val="24"/>
            <w:szCs w:val="24"/>
          </w:rPr>
          <w:fldChar w:fldCharType="separate"/>
        </w:r>
        <w:r>
          <w:rPr>
            <w:rFonts w:ascii="Times New Roman" w:hAnsi="Times New Roman" w:cs="Times New Roman"/>
            <w:noProof w:val="1"/>
            <w:sz w:val="24"/>
            <w:szCs w:val="24"/>
          </w:rPr>
          <w:t>41</w:t>
        </w:r>
        <w:r>
          <w:rPr>
            <w:rFonts w:ascii="Times New Roman" w:hAnsi="Times New Roman" w:cs="Times New Roman"/>
            <w:noProof w:val="1"/>
            <w:sz w:val="24"/>
            <w:szCs w:val="24"/>
          </w:rPr>
          <w:fldChar w:fldCharType="end"/>
        </w:r>
      </w:hyperlink>
    </w:p>
    <w:p>
      <w:pPr>
        <w:pStyle w:val="P14"/>
        <w:tabs>
          <w:tab w:val="right" w:pos="9680" w:leader="dot"/>
        </w:tabs>
        <w:spacing w:lineRule="auto" w:line="360" w:after="0" w:beforeAutospacing="0" w:afterAutospacing="0"/>
        <w:jc w:val="both"/>
        <w:rPr>
          <w:rFonts w:ascii="Times New Roman" w:hAnsi="Times New Roman" w:cs="Times New Roman" w:eastAsiaTheme="minorEastAsia"/>
          <w:noProof w:val="1"/>
          <w:sz w:val="24"/>
          <w:szCs w:val="24"/>
          <w:kern w:val="2"/>
          <w:lang w:eastAsia="en-IN"/>
        </w:rPr>
      </w:pPr>
      <w:hyperlink w:anchor="_Toc217422097">
        <w:r>
          <w:rPr>
            <w:rStyle w:val="C2"/>
            <w:rFonts w:ascii="Times New Roman" w:hAnsi="Times New Roman" w:cs="Times New Roman"/>
            <w:noProof w:val="1"/>
            <w:sz w:val="24"/>
            <w:szCs w:val="24"/>
          </w:rPr>
          <w:t>Chapter 4: Results and Discussion</w:t>
        </w:r>
        <w:r>
          <w:rPr>
            <w:rFonts w:ascii="Times New Roman" w:hAnsi="Times New Roman" w:cs="Times New Roman"/>
            <w:noProof w:val="1"/>
            <w:sz w:val="24"/>
            <w:szCs w:val="24"/>
          </w:rPr>
          <w:tab/>
        </w:r>
        <w:r>
          <w:rPr>
            <w:rFonts w:ascii="Times New Roman" w:hAnsi="Times New Roman" w:cs="Times New Roman"/>
            <w:noProof w:val="1"/>
            <w:sz w:val="24"/>
            <w:szCs w:val="24"/>
          </w:rPr>
          <w:fldChar w:fldCharType="begin"/>
        </w:r>
        <w:r>
          <w:rPr>
            <w:rFonts w:ascii="Times New Roman" w:hAnsi="Times New Roman" w:cs="Times New Roman"/>
            <w:noProof w:val="1"/>
            <w:sz w:val="24"/>
            <w:szCs w:val="24"/>
          </w:rPr>
          <w:instrText xml:space="preserve"> PAGEREF _Toc217422097 \h </w:instrText>
        </w:r>
        <w:r>
          <w:rPr>
            <w:rFonts w:ascii="Times New Roman" w:hAnsi="Times New Roman" w:cs="Times New Roman"/>
            <w:noProof w:val="1"/>
            <w:sz w:val="24"/>
            <w:szCs w:val="24"/>
          </w:rPr>
          <w:fldChar w:fldCharType="separate"/>
        </w:r>
        <w:r>
          <w:rPr>
            <w:rFonts w:ascii="Times New Roman" w:hAnsi="Times New Roman" w:cs="Times New Roman"/>
            <w:noProof w:val="1"/>
            <w:sz w:val="24"/>
            <w:szCs w:val="24"/>
          </w:rPr>
          <w:t>42</w:t>
        </w:r>
        <w:r>
          <w:rPr>
            <w:rFonts w:ascii="Times New Roman" w:hAnsi="Times New Roman" w:cs="Times New Roman"/>
            <w:noProof w:val="1"/>
            <w:sz w:val="24"/>
            <w:szCs w:val="24"/>
          </w:rPr>
          <w:fldChar w:fldCharType="end"/>
        </w:r>
      </w:hyperlink>
    </w:p>
    <w:p>
      <w:pPr>
        <w:pStyle w:val="P15"/>
        <w:tabs>
          <w:tab w:val="right" w:pos="9680" w:leader="dot"/>
        </w:tabs>
        <w:spacing w:lineRule="auto" w:line="360" w:after="0" w:beforeAutospacing="0" w:afterAutospacing="0"/>
        <w:jc w:val="both"/>
        <w:rPr>
          <w:rFonts w:ascii="Times New Roman" w:hAnsi="Times New Roman" w:cs="Times New Roman" w:eastAsiaTheme="minorEastAsia"/>
          <w:noProof w:val="1"/>
          <w:sz w:val="24"/>
          <w:szCs w:val="24"/>
          <w:kern w:val="2"/>
          <w:lang w:eastAsia="en-IN"/>
        </w:rPr>
      </w:pPr>
      <w:hyperlink w:anchor="_Toc217422098">
        <w:r>
          <w:rPr>
            <w:rStyle w:val="C2"/>
            <w:rFonts w:ascii="Times New Roman" w:hAnsi="Times New Roman" w:cs="Times New Roman"/>
            <w:noProof w:val="1"/>
            <w:sz w:val="24"/>
            <w:szCs w:val="24"/>
          </w:rPr>
          <w:t>4.1 Introduction</w:t>
        </w:r>
        <w:r>
          <w:rPr>
            <w:rFonts w:ascii="Times New Roman" w:hAnsi="Times New Roman" w:cs="Times New Roman"/>
            <w:noProof w:val="1"/>
            <w:sz w:val="24"/>
            <w:szCs w:val="24"/>
          </w:rPr>
          <w:tab/>
        </w:r>
        <w:r>
          <w:rPr>
            <w:rFonts w:ascii="Times New Roman" w:hAnsi="Times New Roman" w:cs="Times New Roman"/>
            <w:noProof w:val="1"/>
            <w:sz w:val="24"/>
            <w:szCs w:val="24"/>
          </w:rPr>
          <w:fldChar w:fldCharType="begin"/>
        </w:r>
        <w:r>
          <w:rPr>
            <w:rFonts w:ascii="Times New Roman" w:hAnsi="Times New Roman" w:cs="Times New Roman"/>
            <w:noProof w:val="1"/>
            <w:sz w:val="24"/>
            <w:szCs w:val="24"/>
          </w:rPr>
          <w:instrText xml:space="preserve"> PAGEREF _Toc217422098 \h </w:instrText>
        </w:r>
        <w:r>
          <w:rPr>
            <w:rFonts w:ascii="Times New Roman" w:hAnsi="Times New Roman" w:cs="Times New Roman"/>
            <w:noProof w:val="1"/>
            <w:sz w:val="24"/>
            <w:szCs w:val="24"/>
          </w:rPr>
          <w:fldChar w:fldCharType="separate"/>
        </w:r>
        <w:r>
          <w:rPr>
            <w:rFonts w:ascii="Times New Roman" w:hAnsi="Times New Roman" w:cs="Times New Roman"/>
            <w:noProof w:val="1"/>
            <w:sz w:val="24"/>
            <w:szCs w:val="24"/>
          </w:rPr>
          <w:t>42</w:t>
        </w:r>
        <w:r>
          <w:rPr>
            <w:rFonts w:ascii="Times New Roman" w:hAnsi="Times New Roman" w:cs="Times New Roman"/>
            <w:noProof w:val="1"/>
            <w:sz w:val="24"/>
            <w:szCs w:val="24"/>
          </w:rPr>
          <w:fldChar w:fldCharType="end"/>
        </w:r>
      </w:hyperlink>
    </w:p>
    <w:p>
      <w:pPr>
        <w:pStyle w:val="P15"/>
        <w:tabs>
          <w:tab w:val="right" w:pos="9680" w:leader="dot"/>
        </w:tabs>
        <w:spacing w:lineRule="auto" w:line="360" w:after="0" w:beforeAutospacing="0" w:afterAutospacing="0"/>
        <w:jc w:val="both"/>
        <w:rPr>
          <w:rFonts w:ascii="Times New Roman" w:hAnsi="Times New Roman" w:cs="Times New Roman" w:eastAsiaTheme="minorEastAsia"/>
          <w:noProof w:val="1"/>
          <w:sz w:val="24"/>
          <w:szCs w:val="24"/>
          <w:kern w:val="2"/>
          <w:lang w:eastAsia="en-IN"/>
        </w:rPr>
      </w:pPr>
      <w:hyperlink w:anchor="_Toc217422099">
        <w:r>
          <w:rPr>
            <w:rStyle w:val="C2"/>
            <w:rFonts w:ascii="Times New Roman" w:hAnsi="Times New Roman" w:cs="Times New Roman"/>
            <w:noProof w:val="1"/>
            <w:sz w:val="24"/>
            <w:szCs w:val="24"/>
          </w:rPr>
          <w:t>4.2 Sectoral Inflation Results (2020–2024)</w:t>
        </w:r>
        <w:r>
          <w:rPr>
            <w:rFonts w:ascii="Times New Roman" w:hAnsi="Times New Roman" w:cs="Times New Roman"/>
            <w:noProof w:val="1"/>
            <w:sz w:val="24"/>
            <w:szCs w:val="24"/>
          </w:rPr>
          <w:tab/>
        </w:r>
        <w:r>
          <w:rPr>
            <w:rFonts w:ascii="Times New Roman" w:hAnsi="Times New Roman" w:cs="Times New Roman"/>
            <w:noProof w:val="1"/>
            <w:sz w:val="24"/>
            <w:szCs w:val="24"/>
          </w:rPr>
          <w:fldChar w:fldCharType="begin"/>
        </w:r>
        <w:r>
          <w:rPr>
            <w:rFonts w:ascii="Times New Roman" w:hAnsi="Times New Roman" w:cs="Times New Roman"/>
            <w:noProof w:val="1"/>
            <w:sz w:val="24"/>
            <w:szCs w:val="24"/>
          </w:rPr>
          <w:instrText xml:space="preserve"> PAGEREF _Toc217422099 \h </w:instrText>
        </w:r>
        <w:r>
          <w:rPr>
            <w:rFonts w:ascii="Times New Roman" w:hAnsi="Times New Roman" w:cs="Times New Roman"/>
            <w:noProof w:val="1"/>
            <w:sz w:val="24"/>
            <w:szCs w:val="24"/>
          </w:rPr>
          <w:fldChar w:fldCharType="separate"/>
        </w:r>
        <w:r>
          <w:rPr>
            <w:rFonts w:ascii="Times New Roman" w:hAnsi="Times New Roman" w:cs="Times New Roman"/>
            <w:noProof w:val="1"/>
            <w:sz w:val="24"/>
            <w:szCs w:val="24"/>
          </w:rPr>
          <w:t>43</w:t>
        </w:r>
        <w:r>
          <w:rPr>
            <w:rFonts w:ascii="Times New Roman" w:hAnsi="Times New Roman" w:cs="Times New Roman"/>
            <w:noProof w:val="1"/>
            <w:sz w:val="24"/>
            <w:szCs w:val="24"/>
          </w:rPr>
          <w:fldChar w:fldCharType="end"/>
        </w:r>
      </w:hyperlink>
    </w:p>
    <w:p>
      <w:pPr>
        <w:pStyle w:val="P15"/>
        <w:tabs>
          <w:tab w:val="right" w:pos="9680" w:leader="dot"/>
        </w:tabs>
        <w:spacing w:lineRule="auto" w:line="360" w:after="0" w:beforeAutospacing="0" w:afterAutospacing="0"/>
        <w:jc w:val="both"/>
        <w:rPr>
          <w:rFonts w:ascii="Times New Roman" w:hAnsi="Times New Roman" w:cs="Times New Roman" w:eastAsiaTheme="minorEastAsia"/>
          <w:noProof w:val="1"/>
          <w:sz w:val="24"/>
          <w:szCs w:val="24"/>
          <w:kern w:val="2"/>
          <w:lang w:eastAsia="en-IN"/>
        </w:rPr>
      </w:pPr>
      <w:hyperlink w:anchor="_Toc217422100">
        <w:r>
          <w:rPr>
            <w:rStyle w:val="C2"/>
            <w:rFonts w:ascii="Times New Roman" w:hAnsi="Times New Roman" w:cs="Times New Roman"/>
            <w:noProof w:val="1"/>
            <w:sz w:val="24"/>
            <w:szCs w:val="24"/>
          </w:rPr>
          <w:t>4.3 Urban vs Rural Inflation Results</w:t>
        </w:r>
        <w:r>
          <w:rPr>
            <w:rFonts w:ascii="Times New Roman" w:hAnsi="Times New Roman" w:cs="Times New Roman"/>
            <w:noProof w:val="1"/>
            <w:sz w:val="24"/>
            <w:szCs w:val="24"/>
          </w:rPr>
          <w:tab/>
        </w:r>
        <w:r>
          <w:rPr>
            <w:rFonts w:ascii="Times New Roman" w:hAnsi="Times New Roman" w:cs="Times New Roman"/>
            <w:noProof w:val="1"/>
            <w:sz w:val="24"/>
            <w:szCs w:val="24"/>
          </w:rPr>
          <w:fldChar w:fldCharType="begin"/>
        </w:r>
        <w:r>
          <w:rPr>
            <w:rFonts w:ascii="Times New Roman" w:hAnsi="Times New Roman" w:cs="Times New Roman"/>
            <w:noProof w:val="1"/>
            <w:sz w:val="24"/>
            <w:szCs w:val="24"/>
          </w:rPr>
          <w:instrText xml:space="preserve"> PAGEREF _Toc217422100 \h </w:instrText>
        </w:r>
        <w:r>
          <w:rPr>
            <w:rFonts w:ascii="Times New Roman" w:hAnsi="Times New Roman" w:cs="Times New Roman"/>
            <w:noProof w:val="1"/>
            <w:sz w:val="24"/>
            <w:szCs w:val="24"/>
          </w:rPr>
          <w:fldChar w:fldCharType="separate"/>
        </w:r>
        <w:r>
          <w:rPr>
            <w:rFonts w:ascii="Times New Roman" w:hAnsi="Times New Roman" w:cs="Times New Roman"/>
            <w:noProof w:val="1"/>
            <w:sz w:val="24"/>
            <w:szCs w:val="24"/>
          </w:rPr>
          <w:t>45</w:t>
        </w:r>
        <w:r>
          <w:rPr>
            <w:rFonts w:ascii="Times New Roman" w:hAnsi="Times New Roman" w:cs="Times New Roman"/>
            <w:noProof w:val="1"/>
            <w:sz w:val="24"/>
            <w:szCs w:val="24"/>
          </w:rPr>
          <w:fldChar w:fldCharType="end"/>
        </w:r>
      </w:hyperlink>
    </w:p>
    <w:p>
      <w:pPr>
        <w:pStyle w:val="P15"/>
        <w:tabs>
          <w:tab w:val="right" w:pos="9680" w:leader="dot"/>
        </w:tabs>
        <w:spacing w:lineRule="auto" w:line="360" w:after="0" w:beforeAutospacing="0" w:afterAutospacing="0"/>
        <w:jc w:val="both"/>
        <w:rPr>
          <w:rFonts w:ascii="Times New Roman" w:hAnsi="Times New Roman" w:cs="Times New Roman" w:eastAsiaTheme="minorEastAsia"/>
          <w:noProof w:val="1"/>
          <w:sz w:val="24"/>
          <w:szCs w:val="24"/>
          <w:kern w:val="2"/>
          <w:lang w:eastAsia="en-IN"/>
        </w:rPr>
      </w:pPr>
      <w:hyperlink w:anchor="_Toc217422101">
        <w:r>
          <w:rPr>
            <w:rStyle w:val="C2"/>
            <w:rFonts w:ascii="Times New Roman" w:hAnsi="Times New Roman" w:cs="Times New Roman"/>
            <w:noProof w:val="1"/>
            <w:sz w:val="24"/>
            <w:szCs w:val="24"/>
          </w:rPr>
          <w:t>4.4 Forecasting Results and Model Comparison</w:t>
        </w:r>
        <w:r>
          <w:rPr>
            <w:rFonts w:ascii="Times New Roman" w:hAnsi="Times New Roman" w:cs="Times New Roman"/>
            <w:noProof w:val="1"/>
            <w:sz w:val="24"/>
            <w:szCs w:val="24"/>
          </w:rPr>
          <w:tab/>
        </w:r>
        <w:r>
          <w:rPr>
            <w:rFonts w:ascii="Times New Roman" w:hAnsi="Times New Roman" w:cs="Times New Roman"/>
            <w:noProof w:val="1"/>
            <w:sz w:val="24"/>
            <w:szCs w:val="24"/>
          </w:rPr>
          <w:fldChar w:fldCharType="begin"/>
        </w:r>
        <w:r>
          <w:rPr>
            <w:rFonts w:ascii="Times New Roman" w:hAnsi="Times New Roman" w:cs="Times New Roman"/>
            <w:noProof w:val="1"/>
            <w:sz w:val="24"/>
            <w:szCs w:val="24"/>
          </w:rPr>
          <w:instrText xml:space="preserve"> PAGEREF _Toc217422101 \h </w:instrText>
        </w:r>
        <w:r>
          <w:rPr>
            <w:rFonts w:ascii="Times New Roman" w:hAnsi="Times New Roman" w:cs="Times New Roman"/>
            <w:noProof w:val="1"/>
            <w:sz w:val="24"/>
            <w:szCs w:val="24"/>
          </w:rPr>
          <w:fldChar w:fldCharType="separate"/>
        </w:r>
        <w:r>
          <w:rPr>
            <w:rFonts w:ascii="Times New Roman" w:hAnsi="Times New Roman" w:cs="Times New Roman"/>
            <w:noProof w:val="1"/>
            <w:sz w:val="24"/>
            <w:szCs w:val="24"/>
          </w:rPr>
          <w:t>47</w:t>
        </w:r>
        <w:r>
          <w:rPr>
            <w:rFonts w:ascii="Times New Roman" w:hAnsi="Times New Roman" w:cs="Times New Roman"/>
            <w:noProof w:val="1"/>
            <w:sz w:val="24"/>
            <w:szCs w:val="24"/>
          </w:rPr>
          <w:fldChar w:fldCharType="end"/>
        </w:r>
      </w:hyperlink>
    </w:p>
    <w:p>
      <w:pPr>
        <w:pStyle w:val="P15"/>
        <w:tabs>
          <w:tab w:val="right" w:pos="9680" w:leader="dot"/>
        </w:tabs>
        <w:spacing w:lineRule="auto" w:line="360" w:after="0" w:beforeAutospacing="0" w:afterAutospacing="0"/>
        <w:jc w:val="both"/>
        <w:rPr>
          <w:rFonts w:ascii="Times New Roman" w:hAnsi="Times New Roman" w:cs="Times New Roman" w:eastAsiaTheme="minorEastAsia"/>
          <w:noProof w:val="1"/>
          <w:sz w:val="24"/>
          <w:szCs w:val="24"/>
          <w:kern w:val="2"/>
          <w:lang w:eastAsia="en-IN"/>
        </w:rPr>
      </w:pPr>
      <w:hyperlink w:anchor="_Toc217422102">
        <w:r>
          <w:rPr>
            <w:rStyle w:val="C2"/>
            <w:rFonts w:ascii="Times New Roman" w:hAnsi="Times New Roman" w:cs="Times New Roman"/>
            <w:noProof w:val="1"/>
            <w:sz w:val="24"/>
            <w:szCs w:val="24"/>
          </w:rPr>
          <w:t>4.5 Discussion: Impacts on Irish Households</w:t>
        </w:r>
        <w:r>
          <w:rPr>
            <w:rFonts w:ascii="Times New Roman" w:hAnsi="Times New Roman" w:cs="Times New Roman"/>
            <w:noProof w:val="1"/>
            <w:sz w:val="24"/>
            <w:szCs w:val="24"/>
          </w:rPr>
          <w:tab/>
        </w:r>
        <w:r>
          <w:rPr>
            <w:rFonts w:ascii="Times New Roman" w:hAnsi="Times New Roman" w:cs="Times New Roman"/>
            <w:noProof w:val="1"/>
            <w:sz w:val="24"/>
            <w:szCs w:val="24"/>
          </w:rPr>
          <w:fldChar w:fldCharType="begin"/>
        </w:r>
        <w:r>
          <w:rPr>
            <w:rFonts w:ascii="Times New Roman" w:hAnsi="Times New Roman" w:cs="Times New Roman"/>
            <w:noProof w:val="1"/>
            <w:sz w:val="24"/>
            <w:szCs w:val="24"/>
          </w:rPr>
          <w:instrText xml:space="preserve"> PAGEREF _Toc217422102 \h </w:instrText>
        </w:r>
        <w:r>
          <w:rPr>
            <w:rFonts w:ascii="Times New Roman" w:hAnsi="Times New Roman" w:cs="Times New Roman"/>
            <w:noProof w:val="1"/>
            <w:sz w:val="24"/>
            <w:szCs w:val="24"/>
          </w:rPr>
          <w:fldChar w:fldCharType="separate"/>
        </w:r>
        <w:r>
          <w:rPr>
            <w:rFonts w:ascii="Times New Roman" w:hAnsi="Times New Roman" w:cs="Times New Roman"/>
            <w:noProof w:val="1"/>
            <w:sz w:val="24"/>
            <w:szCs w:val="24"/>
          </w:rPr>
          <w:t>49</w:t>
        </w:r>
        <w:r>
          <w:rPr>
            <w:rFonts w:ascii="Times New Roman" w:hAnsi="Times New Roman" w:cs="Times New Roman"/>
            <w:noProof w:val="1"/>
            <w:sz w:val="24"/>
            <w:szCs w:val="24"/>
          </w:rPr>
          <w:fldChar w:fldCharType="end"/>
        </w:r>
      </w:hyperlink>
    </w:p>
    <w:p>
      <w:pPr>
        <w:pStyle w:val="P15"/>
        <w:tabs>
          <w:tab w:val="right" w:pos="9680" w:leader="dot"/>
        </w:tabs>
        <w:spacing w:lineRule="auto" w:line="360" w:after="0" w:beforeAutospacing="0" w:afterAutospacing="0"/>
        <w:jc w:val="both"/>
        <w:rPr>
          <w:rFonts w:ascii="Times New Roman" w:hAnsi="Times New Roman" w:cs="Times New Roman" w:eastAsiaTheme="minorEastAsia"/>
          <w:noProof w:val="1"/>
          <w:sz w:val="24"/>
          <w:szCs w:val="24"/>
          <w:kern w:val="2"/>
          <w:lang w:eastAsia="en-IN"/>
        </w:rPr>
      </w:pPr>
      <w:hyperlink w:anchor="_Toc217422103">
        <w:r>
          <w:rPr>
            <w:rStyle w:val="C2"/>
            <w:rFonts w:ascii="Times New Roman" w:hAnsi="Times New Roman" w:cs="Times New Roman"/>
            <w:noProof w:val="1"/>
            <w:sz w:val="24"/>
            <w:szCs w:val="24"/>
          </w:rPr>
          <w:t>4.6 Summary</w:t>
        </w:r>
        <w:r>
          <w:rPr>
            <w:rFonts w:ascii="Times New Roman" w:hAnsi="Times New Roman" w:cs="Times New Roman"/>
            <w:noProof w:val="1"/>
            <w:sz w:val="24"/>
            <w:szCs w:val="24"/>
          </w:rPr>
          <w:tab/>
        </w:r>
        <w:r>
          <w:rPr>
            <w:rFonts w:ascii="Times New Roman" w:hAnsi="Times New Roman" w:cs="Times New Roman"/>
            <w:noProof w:val="1"/>
            <w:sz w:val="24"/>
            <w:szCs w:val="24"/>
          </w:rPr>
          <w:fldChar w:fldCharType="begin"/>
        </w:r>
        <w:r>
          <w:rPr>
            <w:rFonts w:ascii="Times New Roman" w:hAnsi="Times New Roman" w:cs="Times New Roman"/>
            <w:noProof w:val="1"/>
            <w:sz w:val="24"/>
            <w:szCs w:val="24"/>
          </w:rPr>
          <w:instrText xml:space="preserve"> PAGEREF _Toc217422103 \h </w:instrText>
        </w:r>
        <w:r>
          <w:rPr>
            <w:rFonts w:ascii="Times New Roman" w:hAnsi="Times New Roman" w:cs="Times New Roman"/>
            <w:noProof w:val="1"/>
            <w:sz w:val="24"/>
            <w:szCs w:val="24"/>
          </w:rPr>
          <w:fldChar w:fldCharType="separate"/>
        </w:r>
        <w:r>
          <w:rPr>
            <w:rFonts w:ascii="Times New Roman" w:hAnsi="Times New Roman" w:cs="Times New Roman"/>
            <w:noProof w:val="1"/>
            <w:sz w:val="24"/>
            <w:szCs w:val="24"/>
          </w:rPr>
          <w:t>50</w:t>
        </w:r>
        <w:r>
          <w:rPr>
            <w:rFonts w:ascii="Times New Roman" w:hAnsi="Times New Roman" w:cs="Times New Roman"/>
            <w:noProof w:val="1"/>
            <w:sz w:val="24"/>
            <w:szCs w:val="24"/>
          </w:rPr>
          <w:fldChar w:fldCharType="end"/>
        </w:r>
      </w:hyperlink>
    </w:p>
    <w:p>
      <w:pPr>
        <w:pStyle w:val="P14"/>
        <w:tabs>
          <w:tab w:val="right" w:pos="9680" w:leader="dot"/>
        </w:tabs>
        <w:spacing w:lineRule="auto" w:line="360" w:after="0" w:beforeAutospacing="0" w:afterAutospacing="0"/>
        <w:jc w:val="both"/>
        <w:rPr>
          <w:rFonts w:ascii="Times New Roman" w:hAnsi="Times New Roman" w:cs="Times New Roman" w:eastAsiaTheme="minorEastAsia"/>
          <w:noProof w:val="1"/>
          <w:sz w:val="24"/>
          <w:szCs w:val="24"/>
          <w:kern w:val="2"/>
          <w:lang w:eastAsia="en-IN"/>
        </w:rPr>
      </w:pPr>
      <w:hyperlink w:anchor="_Toc217422104">
        <w:r>
          <w:rPr>
            <w:rStyle w:val="C2"/>
            <w:rFonts w:ascii="Times New Roman" w:hAnsi="Times New Roman" w:cs="Times New Roman"/>
            <w:noProof w:val="1"/>
            <w:sz w:val="24"/>
            <w:szCs w:val="24"/>
          </w:rPr>
          <w:t>Chapter 5: Conclusion and Recommendations</w:t>
        </w:r>
        <w:r>
          <w:rPr>
            <w:rFonts w:ascii="Times New Roman" w:hAnsi="Times New Roman" w:cs="Times New Roman"/>
            <w:noProof w:val="1"/>
            <w:sz w:val="24"/>
            <w:szCs w:val="24"/>
          </w:rPr>
          <w:tab/>
        </w:r>
        <w:r>
          <w:rPr>
            <w:rFonts w:ascii="Times New Roman" w:hAnsi="Times New Roman" w:cs="Times New Roman"/>
            <w:noProof w:val="1"/>
            <w:sz w:val="24"/>
            <w:szCs w:val="24"/>
          </w:rPr>
          <w:fldChar w:fldCharType="begin"/>
        </w:r>
        <w:r>
          <w:rPr>
            <w:rFonts w:ascii="Times New Roman" w:hAnsi="Times New Roman" w:cs="Times New Roman"/>
            <w:noProof w:val="1"/>
            <w:sz w:val="24"/>
            <w:szCs w:val="24"/>
          </w:rPr>
          <w:instrText xml:space="preserve"> PAGEREF _Toc217422104 \h </w:instrText>
        </w:r>
        <w:r>
          <w:rPr>
            <w:rFonts w:ascii="Times New Roman" w:hAnsi="Times New Roman" w:cs="Times New Roman"/>
            <w:noProof w:val="1"/>
            <w:sz w:val="24"/>
            <w:szCs w:val="24"/>
          </w:rPr>
          <w:fldChar w:fldCharType="separate"/>
        </w:r>
        <w:r>
          <w:rPr>
            <w:rFonts w:ascii="Times New Roman" w:hAnsi="Times New Roman" w:cs="Times New Roman"/>
            <w:noProof w:val="1"/>
            <w:sz w:val="24"/>
            <w:szCs w:val="24"/>
          </w:rPr>
          <w:t>51</w:t>
        </w:r>
        <w:r>
          <w:rPr>
            <w:rFonts w:ascii="Times New Roman" w:hAnsi="Times New Roman" w:cs="Times New Roman"/>
            <w:noProof w:val="1"/>
            <w:sz w:val="24"/>
            <w:szCs w:val="24"/>
          </w:rPr>
          <w:fldChar w:fldCharType="end"/>
        </w:r>
      </w:hyperlink>
    </w:p>
    <w:p>
      <w:pPr>
        <w:pStyle w:val="P15"/>
        <w:tabs>
          <w:tab w:val="right" w:pos="9680" w:leader="dot"/>
        </w:tabs>
        <w:spacing w:lineRule="auto" w:line="360" w:after="0" w:beforeAutospacing="0" w:afterAutospacing="0"/>
        <w:jc w:val="both"/>
        <w:rPr>
          <w:rFonts w:ascii="Times New Roman" w:hAnsi="Times New Roman" w:cs="Times New Roman" w:eastAsiaTheme="minorEastAsia"/>
          <w:noProof w:val="1"/>
          <w:sz w:val="24"/>
          <w:szCs w:val="24"/>
          <w:kern w:val="2"/>
          <w:lang w:eastAsia="en-IN"/>
        </w:rPr>
      </w:pPr>
      <w:hyperlink w:anchor="_Toc217422105">
        <w:r>
          <w:rPr>
            <w:rStyle w:val="C2"/>
            <w:rFonts w:ascii="Times New Roman" w:hAnsi="Times New Roman" w:cs="Times New Roman"/>
            <w:noProof w:val="1"/>
            <w:sz w:val="24"/>
            <w:szCs w:val="24"/>
          </w:rPr>
          <w:t>5.1 Introduction</w:t>
        </w:r>
        <w:r>
          <w:rPr>
            <w:rFonts w:ascii="Times New Roman" w:hAnsi="Times New Roman" w:cs="Times New Roman"/>
            <w:noProof w:val="1"/>
            <w:sz w:val="24"/>
            <w:szCs w:val="24"/>
          </w:rPr>
          <w:tab/>
        </w:r>
        <w:r>
          <w:rPr>
            <w:rFonts w:ascii="Times New Roman" w:hAnsi="Times New Roman" w:cs="Times New Roman"/>
            <w:noProof w:val="1"/>
            <w:sz w:val="24"/>
            <w:szCs w:val="24"/>
          </w:rPr>
          <w:fldChar w:fldCharType="begin"/>
        </w:r>
        <w:r>
          <w:rPr>
            <w:rFonts w:ascii="Times New Roman" w:hAnsi="Times New Roman" w:cs="Times New Roman"/>
            <w:noProof w:val="1"/>
            <w:sz w:val="24"/>
            <w:szCs w:val="24"/>
          </w:rPr>
          <w:instrText xml:space="preserve"> PAGEREF _Toc217422105 \h </w:instrText>
        </w:r>
        <w:r>
          <w:rPr>
            <w:rFonts w:ascii="Times New Roman" w:hAnsi="Times New Roman" w:cs="Times New Roman"/>
            <w:noProof w:val="1"/>
            <w:sz w:val="24"/>
            <w:szCs w:val="24"/>
          </w:rPr>
          <w:fldChar w:fldCharType="separate"/>
        </w:r>
        <w:r>
          <w:rPr>
            <w:rFonts w:ascii="Times New Roman" w:hAnsi="Times New Roman" w:cs="Times New Roman"/>
            <w:noProof w:val="1"/>
            <w:sz w:val="24"/>
            <w:szCs w:val="24"/>
          </w:rPr>
          <w:t>51</w:t>
        </w:r>
        <w:r>
          <w:rPr>
            <w:rFonts w:ascii="Times New Roman" w:hAnsi="Times New Roman" w:cs="Times New Roman"/>
            <w:noProof w:val="1"/>
            <w:sz w:val="24"/>
            <w:szCs w:val="24"/>
          </w:rPr>
          <w:fldChar w:fldCharType="end"/>
        </w:r>
      </w:hyperlink>
    </w:p>
    <w:p>
      <w:pPr>
        <w:pStyle w:val="P15"/>
        <w:tabs>
          <w:tab w:val="right" w:pos="9680" w:leader="dot"/>
        </w:tabs>
        <w:spacing w:lineRule="auto" w:line="360" w:after="0" w:beforeAutospacing="0" w:afterAutospacing="0"/>
        <w:jc w:val="both"/>
        <w:rPr>
          <w:rFonts w:ascii="Times New Roman" w:hAnsi="Times New Roman" w:cs="Times New Roman" w:eastAsiaTheme="minorEastAsia"/>
          <w:noProof w:val="1"/>
          <w:sz w:val="24"/>
          <w:szCs w:val="24"/>
          <w:kern w:val="2"/>
          <w:lang w:eastAsia="en-IN"/>
        </w:rPr>
      </w:pPr>
      <w:hyperlink w:anchor="_Toc217422106">
        <w:r>
          <w:rPr>
            <w:rStyle w:val="C2"/>
            <w:rFonts w:ascii="Times New Roman" w:hAnsi="Times New Roman" w:cs="Times New Roman"/>
            <w:noProof w:val="1"/>
            <w:sz w:val="24"/>
            <w:szCs w:val="24"/>
          </w:rPr>
          <w:t>5.2 Linking Findings to Objectives and Research Questions</w:t>
        </w:r>
        <w:r>
          <w:rPr>
            <w:rFonts w:ascii="Times New Roman" w:hAnsi="Times New Roman" w:cs="Times New Roman"/>
            <w:noProof w:val="1"/>
            <w:sz w:val="24"/>
            <w:szCs w:val="24"/>
          </w:rPr>
          <w:tab/>
        </w:r>
        <w:r>
          <w:rPr>
            <w:rFonts w:ascii="Times New Roman" w:hAnsi="Times New Roman" w:cs="Times New Roman"/>
            <w:noProof w:val="1"/>
            <w:sz w:val="24"/>
            <w:szCs w:val="24"/>
          </w:rPr>
          <w:fldChar w:fldCharType="begin"/>
        </w:r>
        <w:r>
          <w:rPr>
            <w:rFonts w:ascii="Times New Roman" w:hAnsi="Times New Roman" w:cs="Times New Roman"/>
            <w:noProof w:val="1"/>
            <w:sz w:val="24"/>
            <w:szCs w:val="24"/>
          </w:rPr>
          <w:instrText xml:space="preserve"> PAGEREF _Toc217422106 \h </w:instrText>
        </w:r>
        <w:r>
          <w:rPr>
            <w:rFonts w:ascii="Times New Roman" w:hAnsi="Times New Roman" w:cs="Times New Roman"/>
            <w:noProof w:val="1"/>
            <w:sz w:val="24"/>
            <w:szCs w:val="24"/>
          </w:rPr>
          <w:fldChar w:fldCharType="separate"/>
        </w:r>
        <w:r>
          <w:rPr>
            <w:rFonts w:ascii="Times New Roman" w:hAnsi="Times New Roman" w:cs="Times New Roman"/>
            <w:noProof w:val="1"/>
            <w:sz w:val="24"/>
            <w:szCs w:val="24"/>
          </w:rPr>
          <w:t>52</w:t>
        </w:r>
        <w:r>
          <w:rPr>
            <w:rFonts w:ascii="Times New Roman" w:hAnsi="Times New Roman" w:cs="Times New Roman"/>
            <w:noProof w:val="1"/>
            <w:sz w:val="24"/>
            <w:szCs w:val="24"/>
          </w:rPr>
          <w:fldChar w:fldCharType="end"/>
        </w:r>
      </w:hyperlink>
    </w:p>
    <w:p>
      <w:pPr>
        <w:pStyle w:val="P15"/>
        <w:tabs>
          <w:tab w:val="right" w:pos="9680" w:leader="dot"/>
        </w:tabs>
        <w:spacing w:lineRule="auto" w:line="360" w:after="0" w:beforeAutospacing="0" w:afterAutospacing="0"/>
        <w:jc w:val="both"/>
        <w:rPr>
          <w:rFonts w:ascii="Times New Roman" w:hAnsi="Times New Roman" w:cs="Times New Roman" w:eastAsiaTheme="minorEastAsia"/>
          <w:noProof w:val="1"/>
          <w:sz w:val="24"/>
          <w:szCs w:val="24"/>
          <w:kern w:val="2"/>
          <w:lang w:eastAsia="en-IN"/>
        </w:rPr>
      </w:pPr>
      <w:hyperlink w:anchor="_Toc217422107">
        <w:r>
          <w:rPr>
            <w:rStyle w:val="C2"/>
            <w:rFonts w:ascii="Times New Roman" w:hAnsi="Times New Roman" w:cs="Times New Roman"/>
            <w:noProof w:val="1"/>
            <w:sz w:val="24"/>
            <w:szCs w:val="24"/>
          </w:rPr>
          <w:t>5.3 Policy and Practical Recommendations</w:t>
        </w:r>
        <w:r>
          <w:rPr>
            <w:rFonts w:ascii="Times New Roman" w:hAnsi="Times New Roman" w:cs="Times New Roman"/>
            <w:noProof w:val="1"/>
            <w:sz w:val="24"/>
            <w:szCs w:val="24"/>
          </w:rPr>
          <w:tab/>
        </w:r>
        <w:r>
          <w:rPr>
            <w:rFonts w:ascii="Times New Roman" w:hAnsi="Times New Roman" w:cs="Times New Roman"/>
            <w:noProof w:val="1"/>
            <w:sz w:val="24"/>
            <w:szCs w:val="24"/>
          </w:rPr>
          <w:fldChar w:fldCharType="begin"/>
        </w:r>
        <w:r>
          <w:rPr>
            <w:rFonts w:ascii="Times New Roman" w:hAnsi="Times New Roman" w:cs="Times New Roman"/>
            <w:noProof w:val="1"/>
            <w:sz w:val="24"/>
            <w:szCs w:val="24"/>
          </w:rPr>
          <w:instrText xml:space="preserve"> PAGEREF _Toc217422107 \h </w:instrText>
        </w:r>
        <w:r>
          <w:rPr>
            <w:rFonts w:ascii="Times New Roman" w:hAnsi="Times New Roman" w:cs="Times New Roman"/>
            <w:noProof w:val="1"/>
            <w:sz w:val="24"/>
            <w:szCs w:val="24"/>
          </w:rPr>
          <w:fldChar w:fldCharType="separate"/>
        </w:r>
        <w:r>
          <w:rPr>
            <w:rFonts w:ascii="Times New Roman" w:hAnsi="Times New Roman" w:cs="Times New Roman"/>
            <w:noProof w:val="1"/>
            <w:sz w:val="24"/>
            <w:szCs w:val="24"/>
          </w:rPr>
          <w:t>54</w:t>
        </w:r>
        <w:r>
          <w:rPr>
            <w:rFonts w:ascii="Times New Roman" w:hAnsi="Times New Roman" w:cs="Times New Roman"/>
            <w:noProof w:val="1"/>
            <w:sz w:val="24"/>
            <w:szCs w:val="24"/>
          </w:rPr>
          <w:fldChar w:fldCharType="end"/>
        </w:r>
      </w:hyperlink>
    </w:p>
    <w:p>
      <w:pPr>
        <w:pStyle w:val="P15"/>
        <w:tabs>
          <w:tab w:val="right" w:pos="9680" w:leader="dot"/>
        </w:tabs>
        <w:spacing w:lineRule="auto" w:line="360" w:after="0" w:beforeAutospacing="0" w:afterAutospacing="0"/>
        <w:jc w:val="both"/>
        <w:rPr>
          <w:rFonts w:ascii="Times New Roman" w:hAnsi="Times New Roman" w:cs="Times New Roman" w:eastAsiaTheme="minorEastAsia"/>
          <w:noProof w:val="1"/>
          <w:sz w:val="24"/>
          <w:szCs w:val="24"/>
          <w:kern w:val="2"/>
          <w:lang w:eastAsia="en-IN"/>
        </w:rPr>
      </w:pPr>
      <w:hyperlink w:anchor="_Toc217422108">
        <w:r>
          <w:rPr>
            <w:rStyle w:val="C2"/>
            <w:rFonts w:ascii="Times New Roman" w:hAnsi="Times New Roman" w:cs="Times New Roman"/>
            <w:noProof w:val="1"/>
            <w:sz w:val="24"/>
            <w:szCs w:val="24"/>
          </w:rPr>
          <w:t>5.4 Limitations and Suggestions for Future Research</w:t>
        </w:r>
        <w:r>
          <w:rPr>
            <w:rFonts w:ascii="Times New Roman" w:hAnsi="Times New Roman" w:cs="Times New Roman"/>
            <w:noProof w:val="1"/>
            <w:sz w:val="24"/>
            <w:szCs w:val="24"/>
          </w:rPr>
          <w:tab/>
        </w:r>
        <w:r>
          <w:rPr>
            <w:rFonts w:ascii="Times New Roman" w:hAnsi="Times New Roman" w:cs="Times New Roman"/>
            <w:noProof w:val="1"/>
            <w:sz w:val="24"/>
            <w:szCs w:val="24"/>
          </w:rPr>
          <w:fldChar w:fldCharType="begin"/>
        </w:r>
        <w:r>
          <w:rPr>
            <w:rFonts w:ascii="Times New Roman" w:hAnsi="Times New Roman" w:cs="Times New Roman"/>
            <w:noProof w:val="1"/>
            <w:sz w:val="24"/>
            <w:szCs w:val="24"/>
          </w:rPr>
          <w:instrText xml:space="preserve"> PAGEREF _Toc217422108 \h </w:instrText>
        </w:r>
        <w:r>
          <w:rPr>
            <w:rFonts w:ascii="Times New Roman" w:hAnsi="Times New Roman" w:cs="Times New Roman"/>
            <w:noProof w:val="1"/>
            <w:sz w:val="24"/>
            <w:szCs w:val="24"/>
          </w:rPr>
          <w:fldChar w:fldCharType="separate"/>
        </w:r>
        <w:r>
          <w:rPr>
            <w:rFonts w:ascii="Times New Roman" w:hAnsi="Times New Roman" w:cs="Times New Roman"/>
            <w:noProof w:val="1"/>
            <w:sz w:val="24"/>
            <w:szCs w:val="24"/>
          </w:rPr>
          <w:t>56</w:t>
        </w:r>
        <w:r>
          <w:rPr>
            <w:rFonts w:ascii="Times New Roman" w:hAnsi="Times New Roman" w:cs="Times New Roman"/>
            <w:noProof w:val="1"/>
            <w:sz w:val="24"/>
            <w:szCs w:val="24"/>
          </w:rPr>
          <w:fldChar w:fldCharType="end"/>
        </w:r>
      </w:hyperlink>
    </w:p>
    <w:p>
      <w:pPr>
        <w:pStyle w:val="P15"/>
        <w:tabs>
          <w:tab w:val="right" w:pos="9680" w:leader="dot"/>
        </w:tabs>
        <w:spacing w:lineRule="auto" w:line="360" w:after="0" w:beforeAutospacing="0" w:afterAutospacing="0"/>
        <w:jc w:val="both"/>
        <w:rPr>
          <w:rFonts w:ascii="Times New Roman" w:hAnsi="Times New Roman" w:cs="Times New Roman" w:eastAsiaTheme="minorEastAsia"/>
          <w:noProof w:val="1"/>
          <w:sz w:val="24"/>
          <w:szCs w:val="24"/>
          <w:kern w:val="2"/>
          <w:lang w:eastAsia="en-IN"/>
        </w:rPr>
      </w:pPr>
      <w:hyperlink w:anchor="_Toc217422109">
        <w:r>
          <w:rPr>
            <w:rStyle w:val="C2"/>
            <w:rFonts w:ascii="Times New Roman" w:hAnsi="Times New Roman" w:cs="Times New Roman"/>
            <w:noProof w:val="1"/>
            <w:sz w:val="24"/>
            <w:szCs w:val="24"/>
          </w:rPr>
          <w:t>5.5 Conclusion</w:t>
        </w:r>
        <w:r>
          <w:rPr>
            <w:rFonts w:ascii="Times New Roman" w:hAnsi="Times New Roman" w:cs="Times New Roman"/>
            <w:noProof w:val="1"/>
            <w:sz w:val="24"/>
            <w:szCs w:val="24"/>
          </w:rPr>
          <w:tab/>
        </w:r>
        <w:r>
          <w:rPr>
            <w:rFonts w:ascii="Times New Roman" w:hAnsi="Times New Roman" w:cs="Times New Roman"/>
            <w:noProof w:val="1"/>
            <w:sz w:val="24"/>
            <w:szCs w:val="24"/>
          </w:rPr>
          <w:fldChar w:fldCharType="begin"/>
        </w:r>
        <w:r>
          <w:rPr>
            <w:rFonts w:ascii="Times New Roman" w:hAnsi="Times New Roman" w:cs="Times New Roman"/>
            <w:noProof w:val="1"/>
            <w:sz w:val="24"/>
            <w:szCs w:val="24"/>
          </w:rPr>
          <w:instrText xml:space="preserve"> PAGEREF _Toc217422109 \h </w:instrText>
        </w:r>
        <w:r>
          <w:rPr>
            <w:rFonts w:ascii="Times New Roman" w:hAnsi="Times New Roman" w:cs="Times New Roman"/>
            <w:noProof w:val="1"/>
            <w:sz w:val="24"/>
            <w:szCs w:val="24"/>
          </w:rPr>
          <w:fldChar w:fldCharType="separate"/>
        </w:r>
        <w:r>
          <w:rPr>
            <w:rFonts w:ascii="Times New Roman" w:hAnsi="Times New Roman" w:cs="Times New Roman"/>
            <w:noProof w:val="1"/>
            <w:sz w:val="24"/>
            <w:szCs w:val="24"/>
          </w:rPr>
          <w:t>57</w:t>
        </w:r>
        <w:r>
          <w:rPr>
            <w:rFonts w:ascii="Times New Roman" w:hAnsi="Times New Roman" w:cs="Times New Roman"/>
            <w:noProof w:val="1"/>
            <w:sz w:val="24"/>
            <w:szCs w:val="24"/>
          </w:rPr>
          <w:fldChar w:fldCharType="end"/>
        </w:r>
      </w:hyperlink>
    </w:p>
    <w:p>
      <w:pPr>
        <w:pStyle w:val="P14"/>
        <w:tabs>
          <w:tab w:val="right" w:pos="9680" w:leader="dot"/>
        </w:tabs>
        <w:spacing w:lineRule="auto" w:line="360" w:after="0" w:beforeAutospacing="0" w:afterAutospacing="0"/>
        <w:jc w:val="both"/>
        <w:rPr>
          <w:rFonts w:ascii="Times New Roman" w:hAnsi="Times New Roman" w:cs="Times New Roman" w:eastAsiaTheme="minorEastAsia"/>
          <w:noProof w:val="1"/>
          <w:sz w:val="24"/>
          <w:szCs w:val="24"/>
          <w:kern w:val="2"/>
          <w:lang w:eastAsia="en-IN"/>
        </w:rPr>
      </w:pPr>
      <w:hyperlink w:anchor="_Toc217422110">
        <w:r>
          <w:rPr>
            <w:rStyle w:val="C2"/>
            <w:rFonts w:ascii="Times New Roman" w:hAnsi="Times New Roman" w:cs="Times New Roman"/>
            <w:noProof w:val="1"/>
            <w:sz w:val="24"/>
            <w:szCs w:val="24"/>
          </w:rPr>
          <w:t>References</w:t>
        </w:r>
        <w:r>
          <w:rPr>
            <w:rFonts w:ascii="Times New Roman" w:hAnsi="Times New Roman" w:cs="Times New Roman"/>
            <w:noProof w:val="1"/>
            <w:sz w:val="24"/>
            <w:szCs w:val="24"/>
          </w:rPr>
          <w:tab/>
        </w:r>
        <w:r>
          <w:rPr>
            <w:rFonts w:ascii="Times New Roman" w:hAnsi="Times New Roman" w:cs="Times New Roman"/>
            <w:noProof w:val="1"/>
            <w:sz w:val="24"/>
            <w:szCs w:val="24"/>
          </w:rPr>
          <w:fldChar w:fldCharType="begin"/>
        </w:r>
        <w:r>
          <w:rPr>
            <w:rFonts w:ascii="Times New Roman" w:hAnsi="Times New Roman" w:cs="Times New Roman"/>
            <w:noProof w:val="1"/>
            <w:sz w:val="24"/>
            <w:szCs w:val="24"/>
          </w:rPr>
          <w:instrText xml:space="preserve"> PAGEREF _Toc217422110 \h </w:instrText>
        </w:r>
        <w:r>
          <w:rPr>
            <w:rFonts w:ascii="Times New Roman" w:hAnsi="Times New Roman" w:cs="Times New Roman"/>
            <w:noProof w:val="1"/>
            <w:sz w:val="24"/>
            <w:szCs w:val="24"/>
          </w:rPr>
          <w:fldChar w:fldCharType="separate"/>
        </w:r>
        <w:r>
          <w:rPr>
            <w:rFonts w:ascii="Times New Roman" w:hAnsi="Times New Roman" w:cs="Times New Roman"/>
            <w:noProof w:val="1"/>
            <w:sz w:val="24"/>
            <w:szCs w:val="24"/>
          </w:rPr>
          <w:t>60</w:t>
        </w:r>
        <w:r>
          <w:rPr>
            <w:rFonts w:ascii="Times New Roman" w:hAnsi="Times New Roman" w:cs="Times New Roman"/>
            <w:noProof w:val="1"/>
            <w:sz w:val="24"/>
            <w:szCs w:val="24"/>
          </w:rPr>
          <w:fldChar w:fldCharType="end"/>
        </w:r>
      </w:hyperlink>
    </w:p>
    <w:p>
      <w:pPr>
        <w:spacing w:lineRule="auto" w:line="360" w:before="240" w:beforeAutospacing="0" w:afterAutospacing="0"/>
        <w:jc w:val="both"/>
        <w:rPr>
          <w:rFonts w:ascii="Times New Roman" w:hAnsi="Times New Roman" w:cs="Times New Roman"/>
          <w:color w:val="000000" w:themeColor="text1"/>
        </w:rPr>
      </w:pPr>
      <w:r>
        <w:rPr>
          <w:rFonts w:ascii="Times New Roman" w:hAnsi="Times New Roman" w:cs="Times New Roman"/>
          <w:color w:val="000000" w:themeColor="text1"/>
          <w:sz w:val="24"/>
          <w:szCs w:val="24"/>
        </w:rPr>
        <w:fldChar w:fldCharType="end"/>
      </w:r>
    </w:p>
    <w:p>
      <w:pPr>
        <w:spacing w:lineRule="auto" w:line="360" w:before="240" w:after="240" w:beforeAutospacing="0" w:afterAutospacing="0"/>
        <w:rPr>
          <w:rFonts w:ascii="Times New Roman" w:hAnsi="Times New Roman" w:cs="Times New Roman" w:eastAsia="Times New Roman"/>
          <w:color w:val="000000" w:themeColor="text1"/>
          <w:sz w:val="19"/>
          <w:szCs w:val="19"/>
        </w:rPr>
      </w:pPr>
    </w:p>
    <w:p>
      <w:pPr>
        <w:spacing w:lineRule="auto" w:line="360" w:before="240" w:after="240" w:beforeAutospacing="0" w:afterAutospacing="0"/>
        <w:jc w:val="both"/>
        <w:rPr>
          <w:rFonts w:ascii="Times New Roman" w:hAnsi="Times New Roman" w:cs="Times New Roman" w:eastAsia="Times New Roman"/>
          <w:color w:val="000000" w:themeColor="text1"/>
          <w:sz w:val="19"/>
          <w:szCs w:val="19"/>
        </w:rPr>
      </w:pPr>
    </w:p>
    <w:p>
      <w:pPr>
        <w:spacing w:lineRule="auto" w:line="360" w:before="240" w:after="240" w:beforeAutospacing="0" w:afterAutospacing="0"/>
        <w:jc w:val="both"/>
        <w:rPr>
          <w:rFonts w:ascii="Times New Roman" w:hAnsi="Times New Roman" w:cs="Times New Roman" w:eastAsia="Times New Roman"/>
          <w:color w:val="000000" w:themeColor="text1"/>
          <w:sz w:val="19"/>
          <w:szCs w:val="19"/>
        </w:rPr>
      </w:pPr>
    </w:p>
    <w:p>
      <w:pPr>
        <w:spacing w:lineRule="auto" w:line="360" w:before="240" w:after="240" w:beforeAutospacing="0" w:afterAutospacing="0"/>
        <w:jc w:val="both"/>
        <w:rPr>
          <w:rFonts w:ascii="Times New Roman" w:hAnsi="Times New Roman" w:cs="Times New Roman" w:eastAsia="Times New Roman"/>
          <w:color w:val="000000" w:themeColor="text1"/>
          <w:sz w:val="19"/>
          <w:szCs w:val="19"/>
        </w:rPr>
      </w:pPr>
    </w:p>
    <w:p>
      <w:pPr>
        <w:spacing w:lineRule="auto" w:line="360" w:before="240" w:after="240" w:beforeAutospacing="0" w:afterAutospacing="0"/>
        <w:jc w:val="both"/>
        <w:rPr>
          <w:rFonts w:ascii="Times New Roman" w:hAnsi="Times New Roman" w:cs="Times New Roman" w:eastAsia="Times New Roman"/>
          <w:color w:val="000000" w:themeColor="text1"/>
          <w:sz w:val="19"/>
          <w:szCs w:val="19"/>
        </w:rPr>
      </w:pPr>
    </w:p>
    <w:p>
      <w:pPr>
        <w:spacing w:lineRule="auto" w:line="360" w:before="240" w:after="240" w:beforeAutospacing="0" w:afterAutospacing="0"/>
        <w:jc w:val="both"/>
        <w:rPr>
          <w:rFonts w:ascii="Times New Roman" w:hAnsi="Times New Roman" w:cs="Times New Roman" w:eastAsia="Times New Roman"/>
          <w:color w:val="000000" w:themeColor="text1"/>
          <w:sz w:val="19"/>
          <w:szCs w:val="19"/>
        </w:rPr>
      </w:pPr>
    </w:p>
    <w:p>
      <w:pPr>
        <w:spacing w:lineRule="auto" w:line="360" w:before="240" w:after="240" w:beforeAutospacing="0" w:afterAutospacing="0"/>
        <w:jc w:val="both"/>
        <w:rPr>
          <w:rFonts w:ascii="Times New Roman" w:hAnsi="Times New Roman" w:cs="Times New Roman" w:eastAsia="Times New Roman"/>
          <w:color w:val="000000" w:themeColor="text1"/>
          <w:sz w:val="19"/>
          <w:szCs w:val="19"/>
        </w:rPr>
      </w:pPr>
    </w:p>
    <w:p>
      <w:pPr>
        <w:spacing w:lineRule="auto" w:line="360" w:before="240" w:after="240" w:beforeAutospacing="0" w:afterAutospacing="0"/>
        <w:jc w:val="both"/>
        <w:rPr>
          <w:rFonts w:ascii="Times New Roman" w:hAnsi="Times New Roman" w:cs="Times New Roman" w:eastAsia="Times New Roman"/>
          <w:color w:val="000000" w:themeColor="text1"/>
          <w:sz w:val="19"/>
          <w:szCs w:val="19"/>
        </w:rPr>
      </w:pPr>
    </w:p>
    <w:p>
      <w:pPr>
        <w:spacing w:lineRule="auto" w:line="360" w:before="240" w:after="240" w:beforeAutospacing="0" w:afterAutospacing="0"/>
        <w:jc w:val="both"/>
        <w:rPr>
          <w:rFonts w:ascii="Times New Roman" w:hAnsi="Times New Roman" w:cs="Times New Roman" w:eastAsia="Times New Roman"/>
          <w:color w:val="000000" w:themeColor="text1"/>
          <w:sz w:val="19"/>
          <w:szCs w:val="19"/>
        </w:rPr>
      </w:pPr>
    </w:p>
    <w:p>
      <w:pPr>
        <w:spacing w:lineRule="auto" w:line="360" w:before="240" w:after="240" w:beforeAutospacing="0" w:afterAutospacing="0"/>
        <w:jc w:val="both"/>
        <w:rPr>
          <w:rFonts w:ascii="Times New Roman" w:hAnsi="Times New Roman" w:cs="Times New Roman" w:eastAsia="Times New Roman"/>
          <w:color w:val="000000" w:themeColor="text1"/>
          <w:sz w:val="19"/>
          <w:szCs w:val="19"/>
        </w:rPr>
      </w:pPr>
    </w:p>
    <w:p>
      <w:pPr>
        <w:spacing w:lineRule="auto" w:line="360" w:before="240" w:after="240" w:beforeAutospacing="0" w:afterAutospacing="0"/>
        <w:jc w:val="both"/>
        <w:rPr>
          <w:rFonts w:ascii="Times New Roman" w:hAnsi="Times New Roman" w:cs="Times New Roman" w:eastAsia="Times New Roman"/>
          <w:color w:val="000000" w:themeColor="text1"/>
          <w:sz w:val="19"/>
          <w:szCs w:val="19"/>
        </w:rPr>
      </w:pPr>
    </w:p>
    <w:p>
      <w:pPr>
        <w:spacing w:lineRule="auto" w:line="360" w:before="240" w:after="240" w:beforeAutospacing="0" w:afterAutospacing="0"/>
        <w:jc w:val="both"/>
        <w:rPr>
          <w:rFonts w:ascii="Times New Roman" w:hAnsi="Times New Roman" w:cs="Times New Roman" w:eastAsia="Times New Roman"/>
          <w:color w:val="000000" w:themeColor="text1"/>
          <w:sz w:val="19"/>
          <w:szCs w:val="19"/>
        </w:rPr>
      </w:pPr>
    </w:p>
    <w:p>
      <w:pPr>
        <w:spacing w:lineRule="auto" w:line="360" w:before="240" w:after="240" w:beforeAutospacing="0" w:afterAutospacing="0"/>
        <w:jc w:val="both"/>
        <w:rPr>
          <w:rFonts w:ascii="Times New Roman" w:hAnsi="Times New Roman" w:cs="Times New Roman" w:eastAsia="Times New Roman"/>
          <w:color w:val="000000" w:themeColor="text1"/>
          <w:sz w:val="19"/>
          <w:szCs w:val="19"/>
        </w:rPr>
      </w:pPr>
    </w:p>
    <w:p>
      <w:pPr>
        <w:spacing w:lineRule="auto" w:line="360" w:before="240" w:after="240" w:beforeAutospacing="0" w:afterAutospacing="0"/>
        <w:jc w:val="both"/>
        <w:rPr>
          <w:rFonts w:ascii="Times New Roman" w:hAnsi="Times New Roman" w:cs="Times New Roman" w:eastAsia="Times New Roman"/>
          <w:color w:val="000000" w:themeColor="text1"/>
          <w:sz w:val="19"/>
          <w:szCs w:val="19"/>
        </w:rPr>
      </w:pPr>
    </w:p>
    <w:p>
      <w:pPr>
        <w:spacing w:lineRule="auto" w:line="360" w:before="240" w:after="240" w:beforeAutospacing="0" w:afterAutospacing="0"/>
        <w:jc w:val="both"/>
        <w:rPr>
          <w:rFonts w:ascii="Times New Roman" w:hAnsi="Times New Roman" w:cs="Times New Roman" w:eastAsia="Times New Roman"/>
          <w:color w:val="000000" w:themeColor="text1"/>
          <w:sz w:val="19"/>
          <w:szCs w:val="19"/>
        </w:rPr>
      </w:pPr>
    </w:p>
    <w:p>
      <w:pPr>
        <w:spacing w:lineRule="auto" w:line="360" w:before="240" w:after="240" w:beforeAutospacing="0" w:afterAutospacing="0"/>
        <w:jc w:val="both"/>
        <w:rPr>
          <w:rFonts w:ascii="Times New Roman" w:hAnsi="Times New Roman" w:cs="Times New Roman" w:eastAsia="Times New Roman"/>
          <w:color w:val="000000" w:themeColor="text1"/>
          <w:sz w:val="19"/>
          <w:szCs w:val="19"/>
        </w:rPr>
      </w:pPr>
    </w:p>
    <w:p>
      <w:pPr>
        <w:spacing w:lineRule="auto" w:line="360" w:before="240" w:after="240" w:beforeAutospacing="0" w:afterAutospacing="0"/>
        <w:jc w:val="both"/>
        <w:rPr>
          <w:rFonts w:ascii="Times New Roman" w:hAnsi="Times New Roman" w:cs="Times New Roman" w:eastAsia="Times New Roman"/>
          <w:color w:val="000000" w:themeColor="text1"/>
          <w:sz w:val="19"/>
          <w:szCs w:val="19"/>
        </w:rPr>
      </w:pPr>
    </w:p>
    <w:p>
      <w:pPr>
        <w:spacing w:lineRule="auto" w:line="360" w:before="240" w:after="240" w:beforeAutospacing="0" w:afterAutospacing="0"/>
        <w:jc w:val="both"/>
        <w:rPr>
          <w:rFonts w:ascii="Times New Roman" w:hAnsi="Times New Roman" w:cs="Times New Roman" w:eastAsia="Times New Roman"/>
          <w:color w:val="000000" w:themeColor="text1"/>
          <w:sz w:val="19"/>
          <w:szCs w:val="19"/>
        </w:rPr>
      </w:pPr>
    </w:p>
    <w:p>
      <w:pPr>
        <w:spacing w:lineRule="auto" w:line="360" w:before="240" w:after="240" w:beforeAutospacing="0" w:afterAutospacing="0"/>
        <w:jc w:val="both"/>
        <w:rPr>
          <w:rFonts w:ascii="Times New Roman" w:hAnsi="Times New Roman" w:cs="Times New Roman" w:eastAsia="Times New Roman"/>
          <w:color w:val="000000" w:themeColor="text1"/>
          <w:sz w:val="19"/>
          <w:szCs w:val="19"/>
        </w:rPr>
      </w:pPr>
    </w:p>
    <w:p>
      <w:pPr>
        <w:spacing w:lineRule="auto" w:line="360" w:before="240" w:after="240" w:beforeAutospacing="0" w:afterAutospacing="0"/>
        <w:jc w:val="both"/>
        <w:rPr>
          <w:rFonts w:ascii="Times New Roman" w:hAnsi="Times New Roman" w:cs="Times New Roman" w:eastAsia="Times New Roman"/>
          <w:color w:val="000000" w:themeColor="text1"/>
          <w:sz w:val="19"/>
          <w:szCs w:val="19"/>
        </w:rPr>
      </w:pPr>
    </w:p>
    <w:p>
      <w:pPr>
        <w:spacing w:lineRule="auto" w:line="360" w:before="240" w:after="240" w:beforeAutospacing="0" w:afterAutospacing="0"/>
        <w:jc w:val="both"/>
        <w:rPr>
          <w:rFonts w:ascii="Times New Roman" w:hAnsi="Times New Roman" w:cs="Times New Roman" w:eastAsia="Times New Roman"/>
          <w:color w:val="000000" w:themeColor="text1"/>
          <w:sz w:val="19"/>
          <w:szCs w:val="19"/>
        </w:rPr>
      </w:pPr>
    </w:p>
    <w:p>
      <w:pPr>
        <w:spacing w:lineRule="auto" w:line="360" w:before="240" w:after="240" w:beforeAutospacing="0" w:afterAutospacing="0"/>
        <w:jc w:val="center"/>
        <w:rPr>
          <w:rFonts w:ascii="Times New Roman" w:hAnsi="Times New Roman" w:cs="Times New Roman" w:eastAsia="Times New Roman"/>
          <w:b w:val="1"/>
          <w:bCs w:val="1"/>
          <w:color w:val="000000" w:themeColor="text1"/>
          <w:sz w:val="28"/>
          <w:szCs w:val="28"/>
        </w:rPr>
      </w:pPr>
      <w:r>
        <w:rPr>
          <w:rFonts w:ascii="Times New Roman" w:hAnsi="Times New Roman" w:cs="Times New Roman" w:eastAsia="Times New Roman"/>
          <w:b w:val="1"/>
          <w:bCs w:val="1"/>
          <w:color w:val="000000" w:themeColor="text1"/>
          <w:sz w:val="28"/>
          <w:szCs w:val="28"/>
        </w:rPr>
        <w:t>Acknowledgement</w:t>
      </w:r>
    </w:p>
    <w:p>
      <w:pPr>
        <w:spacing w:lineRule="auto" w:line="360" w:before="240" w:after="240" w:beforeAutospacing="0" w:afterAutospacing="0"/>
        <w:jc w:val="both"/>
        <w:rPr>
          <w:rFonts w:ascii="Times New Roman" w:hAnsi="Times New Roman" w:cs="Times New Roman" w:eastAsia="Times New Roman"/>
          <w:color w:val="000000" w:themeColor="text1"/>
          <w:sz w:val="19"/>
          <w:szCs w:val="19"/>
        </w:rPr>
      </w:pPr>
    </w:p>
    <w:p>
      <w:pPr>
        <w:spacing w:lineRule="auto" w:line="360" w:before="240" w:after="24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themeColor="text1"/>
          <w:sz w:val="24"/>
          <w:szCs w:val="24"/>
        </w:rPr>
        <w:t>I would also like to thank my supervisor as he has been very helpful in guiding me and advising me during my research and giving me positive feedbacks. I also owe a great debt to my professors whose academic support and input in the programme was very helpful. I will be happy to note the reliance on the publicly available data sources that played a crucial role in the realisation of this study. Lastly, I would like to give some credit to my family and friends who have provided constant support and encouragement.</w:t>
      </w:r>
    </w:p>
    <w:p>
      <w:pPr>
        <w:spacing w:lineRule="auto" w:line="360" w:before="240" w:after="240" w:beforeAutospacing="0" w:afterAutospacing="0"/>
        <w:jc w:val="both"/>
        <w:rPr>
          <w:rFonts w:ascii="Times New Roman" w:hAnsi="Times New Roman" w:cs="Times New Roman" w:eastAsia="Times New Roman"/>
          <w:color w:val="000000" w:themeColor="text1"/>
          <w:sz w:val="24"/>
          <w:szCs w:val="24"/>
        </w:rPr>
      </w:pPr>
    </w:p>
    <w:p>
      <w:pPr>
        <w:spacing w:lineRule="auto" w:line="360" w:before="240" w:after="240" w:beforeAutospacing="0" w:afterAutospacing="0"/>
        <w:jc w:val="both"/>
        <w:rPr>
          <w:rFonts w:ascii="Times New Roman" w:hAnsi="Times New Roman" w:cs="Times New Roman" w:eastAsia="Times New Roman"/>
          <w:color w:val="000000" w:themeColor="text1"/>
          <w:sz w:val="24"/>
          <w:szCs w:val="24"/>
        </w:rPr>
      </w:pPr>
    </w:p>
    <w:p>
      <w:pPr>
        <w:pStyle w:val="P1"/>
        <w:spacing w:lineRule="auto" w:line="360" w:before="240" w:after="240" w:beforeAutospacing="0" w:afterAutospacing="0"/>
        <w:ind w:left="0" w:right="23"/>
        <w:jc w:val="both"/>
        <w:rPr>
          <w:color w:val="000000" w:themeColor="text1"/>
        </w:rPr>
      </w:pPr>
    </w:p>
    <w:p/>
    <w:p/>
    <w:p/>
    <w:p/>
    <w:p/>
    <w:p>
      <w:pPr>
        <w:pStyle w:val="P1"/>
        <w:spacing w:lineRule="auto" w:line="360" w:before="240" w:after="240" w:beforeAutospacing="0" w:afterAutospacing="0"/>
        <w:ind w:left="0" w:right="23"/>
        <w:jc w:val="both"/>
        <w:rPr>
          <w:color w:val="000000" w:themeColor="text1"/>
        </w:rPr>
      </w:pPr>
      <w:bookmarkStart w:id="3" w:name="_Toc217116135"/>
      <w:bookmarkStart w:id="4" w:name="_Toc217422064"/>
      <w:r>
        <w:rPr>
          <w:color w:val="000000" w:themeColor="text1"/>
        </w:rPr>
        <w:t>List of Figures</w:t>
      </w:r>
      <w:bookmarkEnd w:id="3"/>
      <w:bookmarkEnd w:id="4"/>
    </w:p>
    <w:p>
      <w:pPr>
        <w:pStyle w:val="P11"/>
        <w:tabs>
          <w:tab w:val="right" w:pos="9680" w:leader="dot"/>
        </w:tabs>
        <w:spacing w:lineRule="auto" w:line="360" w:before="240" w:after="240" w:beforeAutospacing="0" w:afterAutospacing="0"/>
        <w:rPr>
          <w:rFonts w:cs="Times New Roman" w:eastAsiaTheme="minorEastAsia"/>
          <w:noProof w:val="1"/>
          <w:color w:val="000000" w:themeColor="text1"/>
          <w:szCs w:val="24"/>
          <w:kern w:val="2"/>
          <w:lang w:eastAsia="en-IN"/>
        </w:rPr>
      </w:pPr>
      <w:r>
        <w:rPr>
          <w:rFonts w:cs="Times New Roman"/>
          <w:color w:val="000000" w:themeColor="text1"/>
        </w:rPr>
        <w:fldChar w:fldCharType="begin"/>
      </w:r>
      <w:r>
        <w:rPr>
          <w:rFonts w:cs="Times New Roman"/>
          <w:color w:val="000000" w:themeColor="text1"/>
        </w:rPr>
        <w:instrText xml:space="preserve"> TOC \f F \h \z \t "Heading 4" \c "Figure" </w:instrText>
      </w:r>
      <w:r>
        <w:rPr>
          <w:rFonts w:cs="Times New Roman"/>
          <w:color w:val="000000" w:themeColor="text1"/>
        </w:rPr>
        <w:fldChar w:fldCharType="separate"/>
      </w:r>
      <w:hyperlink w:anchor="_Toc217071765">
        <w:r>
          <w:rPr>
            <w:rStyle w:val="C2"/>
            <w:rFonts w:cs="Times New Roman"/>
            <w:noProof w:val="1"/>
            <w:color w:val="000000" w:themeColor="text1"/>
          </w:rPr>
          <w:t>Figure 1.1: Structure of Report</w:t>
        </w:r>
        <w:r>
          <w:rPr>
            <w:rFonts w:cs="Times New Roman"/>
            <w:noProof w:val="1"/>
            <w:color w:val="000000" w:themeColor="text1"/>
          </w:rPr>
          <w:tab/>
        </w:r>
        <w:r>
          <w:rPr>
            <w:rFonts w:cs="Times New Roman"/>
            <w:noProof w:val="1"/>
            <w:color w:val="000000" w:themeColor="text1"/>
          </w:rPr>
          <w:fldChar w:fldCharType="begin"/>
        </w:r>
        <w:r>
          <w:rPr>
            <w:rFonts w:cs="Times New Roman"/>
            <w:noProof w:val="1"/>
            <w:color w:val="000000" w:themeColor="text1"/>
          </w:rPr>
          <w:instrText xml:space="preserve"> PAGEREF _Toc217071765 \h </w:instrText>
        </w:r>
        <w:r>
          <w:rPr>
            <w:rFonts w:cs="Times New Roman"/>
            <w:noProof w:val="1"/>
            <w:color w:val="000000" w:themeColor="text1"/>
          </w:rPr>
          <w:fldChar w:fldCharType="separate"/>
        </w:r>
        <w:r>
          <w:rPr>
            <w:rFonts w:cs="Times New Roman"/>
            <w:noProof w:val="1"/>
            <w:color w:val="000000" w:themeColor="text1"/>
          </w:rPr>
          <w:t>12</w:t>
        </w:r>
        <w:r>
          <w:rPr>
            <w:rFonts w:cs="Times New Roman"/>
            <w:noProof w:val="1"/>
            <w:color w:val="000000" w:themeColor="text1"/>
          </w:rPr>
          <w:fldChar w:fldCharType="end"/>
        </w:r>
      </w:hyperlink>
    </w:p>
    <w:p>
      <w:pPr>
        <w:pStyle w:val="P11"/>
        <w:tabs>
          <w:tab w:val="right" w:pos="9680" w:leader="dot"/>
        </w:tabs>
        <w:spacing w:lineRule="auto" w:line="360" w:before="240" w:after="240" w:beforeAutospacing="0" w:afterAutospacing="0"/>
        <w:rPr>
          <w:rFonts w:cs="Times New Roman" w:eastAsiaTheme="minorEastAsia"/>
          <w:noProof w:val="1"/>
          <w:color w:val="000000" w:themeColor="text1"/>
          <w:szCs w:val="24"/>
          <w:kern w:val="2"/>
          <w:lang w:eastAsia="en-IN"/>
        </w:rPr>
      </w:pPr>
      <w:hyperlink w:anchor="_Toc217071766">
        <w:r>
          <w:rPr>
            <w:rStyle w:val="C2"/>
            <w:rFonts w:cs="Times New Roman"/>
            <w:noProof w:val="1"/>
            <w:color w:val="000000" w:themeColor="text1"/>
          </w:rPr>
          <w:t>Figure 2.1: CPI and Sectoral Inflation Structure</w:t>
        </w:r>
        <w:r>
          <w:rPr>
            <w:rFonts w:cs="Times New Roman"/>
            <w:noProof w:val="1"/>
            <w:color w:val="000000" w:themeColor="text1"/>
          </w:rPr>
          <w:tab/>
        </w:r>
        <w:r>
          <w:rPr>
            <w:rFonts w:cs="Times New Roman"/>
            <w:noProof w:val="1"/>
            <w:color w:val="000000" w:themeColor="text1"/>
          </w:rPr>
          <w:fldChar w:fldCharType="begin"/>
        </w:r>
        <w:r>
          <w:rPr>
            <w:rFonts w:cs="Times New Roman"/>
            <w:noProof w:val="1"/>
            <w:color w:val="000000" w:themeColor="text1"/>
          </w:rPr>
          <w:instrText xml:space="preserve"> PAGEREF _Toc217071766 \h </w:instrText>
        </w:r>
        <w:r>
          <w:rPr>
            <w:rFonts w:cs="Times New Roman"/>
            <w:noProof w:val="1"/>
            <w:color w:val="000000" w:themeColor="text1"/>
          </w:rPr>
          <w:fldChar w:fldCharType="separate"/>
        </w:r>
        <w:r>
          <w:rPr>
            <w:rFonts w:cs="Times New Roman"/>
            <w:noProof w:val="1"/>
            <w:color w:val="000000" w:themeColor="text1"/>
          </w:rPr>
          <w:t>14</w:t>
        </w:r>
        <w:r>
          <w:rPr>
            <w:rFonts w:cs="Times New Roman"/>
            <w:noProof w:val="1"/>
            <w:color w:val="000000" w:themeColor="text1"/>
          </w:rPr>
          <w:fldChar w:fldCharType="end"/>
        </w:r>
      </w:hyperlink>
    </w:p>
    <w:p>
      <w:pPr>
        <w:pStyle w:val="P11"/>
        <w:tabs>
          <w:tab w:val="right" w:pos="9680" w:leader="dot"/>
        </w:tabs>
        <w:spacing w:lineRule="auto" w:line="360" w:before="240" w:after="240" w:beforeAutospacing="0" w:afterAutospacing="0"/>
        <w:rPr>
          <w:rFonts w:cs="Times New Roman" w:eastAsiaTheme="minorEastAsia"/>
          <w:noProof w:val="1"/>
          <w:color w:val="000000" w:themeColor="text1"/>
          <w:szCs w:val="24"/>
          <w:kern w:val="2"/>
          <w:lang w:eastAsia="en-IN"/>
        </w:rPr>
      </w:pPr>
      <w:hyperlink w:anchor="_Toc217071767">
        <w:r>
          <w:rPr>
            <w:rStyle w:val="C2"/>
            <w:rFonts w:cs="Times New Roman"/>
            <w:noProof w:val="1"/>
            <w:color w:val="000000" w:themeColor="text1"/>
          </w:rPr>
          <w:t>Figure 2.2.1: CPI Change Since 2020, Urban vs Rural</w:t>
        </w:r>
        <w:r>
          <w:rPr>
            <w:rFonts w:cs="Times New Roman"/>
            <w:noProof w:val="1"/>
            <w:color w:val="000000" w:themeColor="text1"/>
          </w:rPr>
          <w:tab/>
        </w:r>
        <w:r>
          <w:rPr>
            <w:rFonts w:cs="Times New Roman"/>
            <w:noProof w:val="1"/>
            <w:color w:val="000000" w:themeColor="text1"/>
          </w:rPr>
          <w:fldChar w:fldCharType="begin"/>
        </w:r>
        <w:r>
          <w:rPr>
            <w:rFonts w:cs="Times New Roman"/>
            <w:noProof w:val="1"/>
            <w:color w:val="000000" w:themeColor="text1"/>
          </w:rPr>
          <w:instrText xml:space="preserve"> PAGEREF _Toc217071767 \h </w:instrText>
        </w:r>
        <w:r>
          <w:rPr>
            <w:rFonts w:cs="Times New Roman"/>
            <w:noProof w:val="1"/>
            <w:color w:val="000000" w:themeColor="text1"/>
          </w:rPr>
          <w:fldChar w:fldCharType="separate"/>
        </w:r>
        <w:r>
          <w:rPr>
            <w:rFonts w:cs="Times New Roman"/>
            <w:noProof w:val="1"/>
            <w:color w:val="000000" w:themeColor="text1"/>
          </w:rPr>
          <w:t>17</w:t>
        </w:r>
        <w:r>
          <w:rPr>
            <w:rFonts w:cs="Times New Roman"/>
            <w:noProof w:val="1"/>
            <w:color w:val="000000" w:themeColor="text1"/>
          </w:rPr>
          <w:fldChar w:fldCharType="end"/>
        </w:r>
      </w:hyperlink>
    </w:p>
    <w:p>
      <w:pPr>
        <w:pStyle w:val="P11"/>
        <w:tabs>
          <w:tab w:val="right" w:pos="9680" w:leader="dot"/>
        </w:tabs>
        <w:spacing w:lineRule="auto" w:line="360" w:before="240" w:after="240" w:beforeAutospacing="0" w:afterAutospacing="0"/>
        <w:rPr>
          <w:rFonts w:cs="Times New Roman" w:eastAsiaTheme="minorEastAsia"/>
          <w:noProof w:val="1"/>
          <w:color w:val="000000" w:themeColor="text1"/>
          <w:szCs w:val="24"/>
          <w:kern w:val="2"/>
          <w:lang w:eastAsia="en-IN"/>
        </w:rPr>
      </w:pPr>
      <w:hyperlink w:anchor="_Toc217071768">
        <w:r>
          <w:rPr>
            <w:rStyle w:val="C2"/>
            <w:rFonts w:cs="Times New Roman"/>
            <w:noProof w:val="1"/>
            <w:color w:val="000000" w:themeColor="text1"/>
          </w:rPr>
          <w:t>Figure 2.4: Forecasting Irish CPI with ARIMA and Machine-Learning Models</w:t>
        </w:r>
        <w:r>
          <w:rPr>
            <w:rFonts w:cs="Times New Roman"/>
            <w:noProof w:val="1"/>
            <w:color w:val="000000" w:themeColor="text1"/>
          </w:rPr>
          <w:tab/>
        </w:r>
        <w:r>
          <w:rPr>
            <w:rFonts w:cs="Times New Roman"/>
            <w:noProof w:val="1"/>
            <w:color w:val="000000" w:themeColor="text1"/>
          </w:rPr>
          <w:fldChar w:fldCharType="begin"/>
        </w:r>
        <w:r>
          <w:rPr>
            <w:rFonts w:cs="Times New Roman"/>
            <w:noProof w:val="1"/>
            <w:color w:val="000000" w:themeColor="text1"/>
          </w:rPr>
          <w:instrText xml:space="preserve"> PAGEREF _Toc217071768 \h </w:instrText>
        </w:r>
        <w:r>
          <w:rPr>
            <w:rFonts w:cs="Times New Roman"/>
            <w:noProof w:val="1"/>
            <w:color w:val="000000" w:themeColor="text1"/>
          </w:rPr>
          <w:fldChar w:fldCharType="separate"/>
        </w:r>
        <w:r>
          <w:rPr>
            <w:rFonts w:cs="Times New Roman"/>
            <w:noProof w:val="1"/>
            <w:color w:val="000000" w:themeColor="text1"/>
          </w:rPr>
          <w:t>21</w:t>
        </w:r>
        <w:r>
          <w:rPr>
            <w:rFonts w:cs="Times New Roman"/>
            <w:noProof w:val="1"/>
            <w:color w:val="000000" w:themeColor="text1"/>
          </w:rPr>
          <w:fldChar w:fldCharType="end"/>
        </w:r>
      </w:hyperlink>
    </w:p>
    <w:p>
      <w:pPr>
        <w:pStyle w:val="P11"/>
        <w:tabs>
          <w:tab w:val="right" w:pos="9680" w:leader="dot"/>
        </w:tabs>
        <w:spacing w:lineRule="auto" w:line="360" w:before="240" w:after="240" w:beforeAutospacing="0" w:afterAutospacing="0"/>
        <w:rPr>
          <w:rFonts w:cs="Times New Roman" w:eastAsiaTheme="minorEastAsia"/>
          <w:noProof w:val="1"/>
          <w:color w:val="000000" w:themeColor="text1"/>
          <w:szCs w:val="24"/>
          <w:kern w:val="2"/>
          <w:lang w:eastAsia="en-IN"/>
        </w:rPr>
      </w:pPr>
      <w:hyperlink w:anchor="_Toc217071769">
        <w:r>
          <w:rPr>
            <w:rStyle w:val="C2"/>
            <w:rFonts w:cs="Times New Roman"/>
            <w:noProof w:val="1"/>
            <w:color w:val="000000" w:themeColor="text1"/>
          </w:rPr>
          <w:t>Figure 2.4.1: Conceptual Framework</w:t>
        </w:r>
        <w:r>
          <w:rPr>
            <w:rFonts w:cs="Times New Roman"/>
            <w:noProof w:val="1"/>
            <w:color w:val="000000" w:themeColor="text1"/>
          </w:rPr>
          <w:tab/>
        </w:r>
        <w:r>
          <w:rPr>
            <w:rFonts w:cs="Times New Roman"/>
            <w:noProof w:val="1"/>
            <w:color w:val="000000" w:themeColor="text1"/>
          </w:rPr>
          <w:fldChar w:fldCharType="begin"/>
        </w:r>
        <w:r>
          <w:rPr>
            <w:rFonts w:cs="Times New Roman"/>
            <w:noProof w:val="1"/>
            <w:color w:val="000000" w:themeColor="text1"/>
          </w:rPr>
          <w:instrText xml:space="preserve"> PAGEREF _Toc217071769 \h </w:instrText>
        </w:r>
        <w:r>
          <w:rPr>
            <w:rFonts w:cs="Times New Roman"/>
            <w:noProof w:val="1"/>
            <w:color w:val="000000" w:themeColor="text1"/>
          </w:rPr>
          <w:fldChar w:fldCharType="separate"/>
        </w:r>
        <w:r>
          <w:rPr>
            <w:rFonts w:cs="Times New Roman"/>
            <w:noProof w:val="1"/>
            <w:color w:val="000000" w:themeColor="text1"/>
          </w:rPr>
          <w:t>23</w:t>
        </w:r>
        <w:r>
          <w:rPr>
            <w:rFonts w:cs="Times New Roman"/>
            <w:noProof w:val="1"/>
            <w:color w:val="000000" w:themeColor="text1"/>
          </w:rPr>
          <w:fldChar w:fldCharType="end"/>
        </w:r>
      </w:hyperlink>
    </w:p>
    <w:p>
      <w:pPr>
        <w:pStyle w:val="P11"/>
        <w:tabs>
          <w:tab w:val="right" w:pos="9680" w:leader="dot"/>
        </w:tabs>
        <w:spacing w:lineRule="auto" w:line="360" w:before="240" w:after="240" w:beforeAutospacing="0" w:afterAutospacing="0"/>
        <w:rPr>
          <w:rFonts w:cs="Times New Roman" w:eastAsiaTheme="minorEastAsia"/>
          <w:noProof w:val="1"/>
          <w:color w:val="000000" w:themeColor="text1"/>
          <w:szCs w:val="24"/>
          <w:kern w:val="2"/>
          <w:lang w:eastAsia="en-IN"/>
        </w:rPr>
      </w:pPr>
      <w:hyperlink w:anchor="_Toc217071770">
        <w:r>
          <w:rPr>
            <w:rStyle w:val="C2"/>
            <w:rFonts w:cs="Times New Roman"/>
            <w:noProof w:val="1"/>
            <w:color w:val="000000" w:themeColor="text1"/>
          </w:rPr>
          <w:t>Figure 4.21: Sectoral CPI indices for Ireland, 2020–2024</w:t>
        </w:r>
        <w:r>
          <w:rPr>
            <w:rFonts w:cs="Times New Roman"/>
            <w:noProof w:val="1"/>
            <w:color w:val="000000" w:themeColor="text1"/>
          </w:rPr>
          <w:tab/>
        </w:r>
        <w:r>
          <w:rPr>
            <w:rFonts w:cs="Times New Roman"/>
            <w:noProof w:val="1"/>
            <w:color w:val="000000" w:themeColor="text1"/>
          </w:rPr>
          <w:fldChar w:fldCharType="begin"/>
        </w:r>
        <w:r>
          <w:rPr>
            <w:rFonts w:cs="Times New Roman"/>
            <w:noProof w:val="1"/>
            <w:color w:val="000000" w:themeColor="text1"/>
          </w:rPr>
          <w:instrText xml:space="preserve"> PAGEREF _Toc217071770 \h </w:instrText>
        </w:r>
        <w:r>
          <w:rPr>
            <w:rFonts w:cs="Times New Roman"/>
            <w:noProof w:val="1"/>
            <w:color w:val="000000" w:themeColor="text1"/>
          </w:rPr>
          <w:fldChar w:fldCharType="separate"/>
        </w:r>
        <w:r>
          <w:rPr>
            <w:rFonts w:cs="Times New Roman"/>
            <w:noProof w:val="1"/>
            <w:color w:val="000000" w:themeColor="text1"/>
          </w:rPr>
          <w:t>37</w:t>
        </w:r>
        <w:r>
          <w:rPr>
            <w:rFonts w:cs="Times New Roman"/>
            <w:noProof w:val="1"/>
            <w:color w:val="000000" w:themeColor="text1"/>
          </w:rPr>
          <w:fldChar w:fldCharType="end"/>
        </w:r>
      </w:hyperlink>
    </w:p>
    <w:p>
      <w:pPr>
        <w:pStyle w:val="P11"/>
        <w:tabs>
          <w:tab w:val="right" w:pos="9680" w:leader="dot"/>
        </w:tabs>
        <w:spacing w:lineRule="auto" w:line="360" w:before="240" w:after="240" w:beforeAutospacing="0" w:afterAutospacing="0"/>
        <w:rPr>
          <w:rFonts w:cs="Times New Roman" w:eastAsiaTheme="minorEastAsia"/>
          <w:noProof w:val="1"/>
          <w:color w:val="000000" w:themeColor="text1"/>
          <w:szCs w:val="24"/>
          <w:kern w:val="2"/>
          <w:lang w:eastAsia="en-IN"/>
        </w:rPr>
      </w:pPr>
      <w:hyperlink w:anchor="_Toc217071771">
        <w:r>
          <w:rPr>
            <w:rStyle w:val="C2"/>
            <w:rFonts w:cs="Times New Roman"/>
            <w:noProof w:val="1"/>
            <w:color w:val="000000" w:themeColor="text1"/>
          </w:rPr>
          <w:t>Figure 4.31: Urban and rural CPI trends in Ireland, 2020–2024</w:t>
        </w:r>
        <w:r>
          <w:rPr>
            <w:rFonts w:cs="Times New Roman"/>
            <w:noProof w:val="1"/>
            <w:color w:val="000000" w:themeColor="text1"/>
          </w:rPr>
          <w:tab/>
        </w:r>
        <w:r>
          <w:rPr>
            <w:rFonts w:cs="Times New Roman"/>
            <w:noProof w:val="1"/>
            <w:color w:val="000000" w:themeColor="text1"/>
          </w:rPr>
          <w:fldChar w:fldCharType="begin"/>
        </w:r>
        <w:r>
          <w:rPr>
            <w:rFonts w:cs="Times New Roman"/>
            <w:noProof w:val="1"/>
            <w:color w:val="000000" w:themeColor="text1"/>
          </w:rPr>
          <w:instrText xml:space="preserve"> PAGEREF _Toc217071771 \h </w:instrText>
        </w:r>
        <w:r>
          <w:rPr>
            <w:rFonts w:cs="Times New Roman"/>
            <w:noProof w:val="1"/>
            <w:color w:val="000000" w:themeColor="text1"/>
          </w:rPr>
          <w:fldChar w:fldCharType="separate"/>
        </w:r>
        <w:r>
          <w:rPr>
            <w:rFonts w:cs="Times New Roman"/>
            <w:noProof w:val="1"/>
            <w:color w:val="000000" w:themeColor="text1"/>
          </w:rPr>
          <w:t>38</w:t>
        </w:r>
        <w:r>
          <w:rPr>
            <w:rFonts w:cs="Times New Roman"/>
            <w:noProof w:val="1"/>
            <w:color w:val="000000" w:themeColor="text1"/>
          </w:rPr>
          <w:fldChar w:fldCharType="end"/>
        </w:r>
      </w:hyperlink>
    </w:p>
    <w:p>
      <w:pPr>
        <w:pStyle w:val="P11"/>
        <w:tabs>
          <w:tab w:val="right" w:pos="9680" w:leader="dot"/>
        </w:tabs>
        <w:spacing w:lineRule="auto" w:line="360" w:before="240" w:after="240" w:beforeAutospacing="0" w:afterAutospacing="0"/>
        <w:rPr>
          <w:rFonts w:cs="Times New Roman" w:eastAsiaTheme="minorEastAsia"/>
          <w:noProof w:val="1"/>
          <w:color w:val="000000" w:themeColor="text1"/>
          <w:szCs w:val="24"/>
          <w:kern w:val="2"/>
          <w:lang w:eastAsia="en-IN"/>
        </w:rPr>
      </w:pPr>
      <w:hyperlink w:anchor="_Toc217071772">
        <w:r>
          <w:rPr>
            <w:rStyle w:val="C2"/>
            <w:rFonts w:cs="Times New Roman"/>
            <w:noProof w:val="1"/>
            <w:color w:val="000000" w:themeColor="text1"/>
          </w:rPr>
          <w:t>Figure 4.41: Overall CPI – actual values and ARIMA forecast on train and test periods</w:t>
        </w:r>
        <w:r>
          <w:rPr>
            <w:rFonts w:cs="Times New Roman"/>
            <w:noProof w:val="1"/>
            <w:color w:val="000000" w:themeColor="text1"/>
          </w:rPr>
          <w:tab/>
        </w:r>
        <w:r>
          <w:rPr>
            <w:rFonts w:cs="Times New Roman"/>
            <w:noProof w:val="1"/>
            <w:color w:val="000000" w:themeColor="text1"/>
          </w:rPr>
          <w:fldChar w:fldCharType="begin"/>
        </w:r>
        <w:r>
          <w:rPr>
            <w:rFonts w:cs="Times New Roman"/>
            <w:noProof w:val="1"/>
            <w:color w:val="000000" w:themeColor="text1"/>
          </w:rPr>
          <w:instrText xml:space="preserve"> PAGEREF _Toc217071772 \h </w:instrText>
        </w:r>
        <w:r>
          <w:rPr>
            <w:rFonts w:cs="Times New Roman"/>
            <w:noProof w:val="1"/>
            <w:color w:val="000000" w:themeColor="text1"/>
          </w:rPr>
          <w:fldChar w:fldCharType="separate"/>
        </w:r>
        <w:r>
          <w:rPr>
            <w:rFonts w:cs="Times New Roman"/>
            <w:noProof w:val="1"/>
            <w:color w:val="000000" w:themeColor="text1"/>
          </w:rPr>
          <w:t>40</w:t>
        </w:r>
        <w:r>
          <w:rPr>
            <w:rFonts w:cs="Times New Roman"/>
            <w:noProof w:val="1"/>
            <w:color w:val="000000" w:themeColor="text1"/>
          </w:rPr>
          <w:fldChar w:fldCharType="end"/>
        </w:r>
      </w:hyperlink>
    </w:p>
    <w:p>
      <w:pPr>
        <w:pStyle w:val="P11"/>
        <w:tabs>
          <w:tab w:val="right" w:pos="9680" w:leader="dot"/>
        </w:tabs>
        <w:spacing w:lineRule="auto" w:line="360" w:before="240" w:after="240" w:beforeAutospacing="0" w:afterAutospacing="0"/>
        <w:rPr>
          <w:rFonts w:cs="Times New Roman" w:eastAsiaTheme="minorEastAsia"/>
          <w:noProof w:val="1"/>
          <w:color w:val="000000" w:themeColor="text1"/>
          <w:szCs w:val="24"/>
          <w:kern w:val="2"/>
          <w:lang w:eastAsia="en-IN"/>
        </w:rPr>
      </w:pPr>
      <w:hyperlink w:anchor="_Toc217071773">
        <w:r>
          <w:rPr>
            <w:rStyle w:val="C2"/>
            <w:rFonts w:cs="Times New Roman"/>
            <w:noProof w:val="1"/>
            <w:color w:val="000000" w:themeColor="text1"/>
          </w:rPr>
          <w:t>Figure 5.2.1: Consumer Price Index</w:t>
        </w:r>
        <w:r>
          <w:rPr>
            <w:rFonts w:cs="Times New Roman"/>
            <w:noProof w:val="1"/>
            <w:color w:val="000000" w:themeColor="text1"/>
          </w:rPr>
          <w:tab/>
        </w:r>
        <w:r>
          <w:rPr>
            <w:rFonts w:cs="Times New Roman"/>
            <w:noProof w:val="1"/>
            <w:color w:val="000000" w:themeColor="text1"/>
          </w:rPr>
          <w:fldChar w:fldCharType="begin"/>
        </w:r>
        <w:r>
          <w:rPr>
            <w:rFonts w:cs="Times New Roman"/>
            <w:noProof w:val="1"/>
            <w:color w:val="000000" w:themeColor="text1"/>
          </w:rPr>
          <w:instrText xml:space="preserve"> PAGEREF _Toc217071773 \h </w:instrText>
        </w:r>
        <w:r>
          <w:rPr>
            <w:rFonts w:cs="Times New Roman"/>
            <w:noProof w:val="1"/>
            <w:color w:val="000000" w:themeColor="text1"/>
          </w:rPr>
          <w:fldChar w:fldCharType="separate"/>
        </w:r>
        <w:r>
          <w:rPr>
            <w:rFonts w:cs="Times New Roman"/>
            <w:noProof w:val="1"/>
            <w:color w:val="000000" w:themeColor="text1"/>
          </w:rPr>
          <w:t>45</w:t>
        </w:r>
        <w:r>
          <w:rPr>
            <w:rFonts w:cs="Times New Roman"/>
            <w:noProof w:val="1"/>
            <w:color w:val="000000" w:themeColor="text1"/>
          </w:rPr>
          <w:fldChar w:fldCharType="end"/>
        </w:r>
      </w:hyperlink>
    </w:p>
    <w:p>
      <w:pPr>
        <w:spacing w:lineRule="auto" w:line="360" w:before="240" w:after="240" w:beforeAutospacing="0" w:afterAutospacing="0"/>
        <w:rPr>
          <w:rFonts w:ascii="Times New Roman" w:hAnsi="Times New Roman" w:cs="Times New Roman"/>
          <w:color w:val="000000" w:themeColor="text1"/>
        </w:rPr>
      </w:pPr>
      <w:r>
        <w:rPr>
          <w:rFonts w:ascii="Times New Roman" w:hAnsi="Times New Roman" w:cs="Times New Roman"/>
          <w:color w:val="000000" w:themeColor="text1"/>
        </w:rPr>
        <w:fldChar w:fldCharType="end"/>
      </w:r>
    </w:p>
    <w:p>
      <w:pPr>
        <w:spacing w:lineRule="auto" w:line="360" w:before="240" w:after="240" w:beforeAutospacing="0" w:afterAutospacing="0"/>
        <w:jc w:val="both"/>
        <w:rPr>
          <w:rFonts w:ascii="Times New Roman" w:hAnsi="Times New Roman" w:cs="Times New Roman" w:eastAsia="Times New Roman"/>
          <w:color w:val="000000" w:themeColor="text1"/>
          <w:sz w:val="24"/>
          <w:szCs w:val="24"/>
        </w:rPr>
      </w:pPr>
    </w:p>
    <w:p>
      <w:pPr>
        <w:spacing w:lineRule="auto" w:line="360" w:before="240" w:after="240" w:beforeAutospacing="0" w:afterAutospacing="0"/>
        <w:jc w:val="both"/>
        <w:rPr>
          <w:rFonts w:ascii="Times New Roman" w:hAnsi="Times New Roman" w:cs="Times New Roman" w:eastAsia="Times New Roman"/>
          <w:color w:val="000000" w:themeColor="text1"/>
          <w:sz w:val="24"/>
          <w:szCs w:val="24"/>
        </w:rPr>
      </w:pPr>
    </w:p>
    <w:p>
      <w:pPr>
        <w:spacing w:lineRule="auto" w:line="360" w:before="240" w:after="240" w:beforeAutospacing="0" w:afterAutospacing="0"/>
        <w:jc w:val="both"/>
        <w:rPr>
          <w:rFonts w:ascii="Times New Roman" w:hAnsi="Times New Roman" w:cs="Times New Roman" w:eastAsia="Times New Roman"/>
          <w:color w:val="000000" w:themeColor="text1"/>
          <w:sz w:val="24"/>
          <w:szCs w:val="24"/>
        </w:rPr>
      </w:pPr>
    </w:p>
    <w:p>
      <w:pPr>
        <w:spacing w:lineRule="auto" w:line="360" w:before="240" w:after="240" w:beforeAutospacing="0" w:afterAutospacing="0"/>
        <w:jc w:val="both"/>
        <w:rPr>
          <w:rFonts w:ascii="Times New Roman" w:hAnsi="Times New Roman" w:cs="Times New Roman" w:eastAsia="Times New Roman"/>
          <w:color w:val="000000" w:themeColor="text1"/>
          <w:sz w:val="24"/>
          <w:szCs w:val="24"/>
        </w:rPr>
      </w:pPr>
    </w:p>
    <w:p>
      <w:pPr>
        <w:spacing w:lineRule="auto" w:line="360" w:before="240" w:after="240" w:beforeAutospacing="0" w:afterAutospacing="0"/>
        <w:jc w:val="both"/>
        <w:rPr>
          <w:rFonts w:ascii="Times New Roman" w:hAnsi="Times New Roman" w:cs="Times New Roman" w:eastAsia="Times New Roman"/>
          <w:color w:val="000000" w:themeColor="text1"/>
          <w:sz w:val="24"/>
          <w:szCs w:val="24"/>
        </w:rPr>
      </w:pPr>
    </w:p>
    <w:p>
      <w:pPr>
        <w:spacing w:lineRule="auto" w:line="360" w:before="240" w:after="240" w:beforeAutospacing="0" w:afterAutospacing="0"/>
        <w:jc w:val="both"/>
        <w:rPr>
          <w:rFonts w:ascii="Times New Roman" w:hAnsi="Times New Roman" w:cs="Times New Roman" w:eastAsia="Times New Roman"/>
          <w:color w:val="000000" w:themeColor="text1"/>
          <w:sz w:val="24"/>
          <w:szCs w:val="24"/>
        </w:rPr>
      </w:pPr>
    </w:p>
    <w:p>
      <w:pPr>
        <w:spacing w:lineRule="auto" w:line="360" w:before="240" w:after="240" w:beforeAutospacing="0" w:afterAutospacing="0"/>
        <w:jc w:val="both"/>
        <w:rPr>
          <w:rFonts w:ascii="Times New Roman" w:hAnsi="Times New Roman" w:cs="Times New Roman" w:eastAsia="Times New Roman"/>
          <w:color w:val="000000" w:themeColor="text1"/>
          <w:sz w:val="24"/>
          <w:szCs w:val="24"/>
        </w:rPr>
      </w:pPr>
    </w:p>
    <w:p>
      <w:pPr>
        <w:spacing w:lineRule="auto" w:line="360" w:before="240" w:after="240" w:beforeAutospacing="0" w:afterAutospacing="0"/>
        <w:rPr>
          <w:rFonts w:ascii="Times New Roman" w:hAnsi="Times New Roman" w:cs="Times New Roman" w:eastAsia="Times New Roman"/>
          <w:b w:val="1"/>
          <w:bCs w:val="1"/>
          <w:color w:val="000000" w:themeColor="text1"/>
          <w:sz w:val="28"/>
          <w:szCs w:val="28"/>
        </w:rPr>
      </w:pPr>
      <w:r>
        <w:rPr>
          <w:rFonts w:ascii="Times New Roman" w:hAnsi="Times New Roman" w:cs="Times New Roman"/>
          <w:color w:val="000000" w:themeColor="text1"/>
        </w:rPr>
        <w:br w:type="page"/>
      </w:r>
    </w:p>
    <w:p>
      <w:pPr>
        <w:pStyle w:val="P1"/>
        <w:spacing w:lineRule="auto" w:line="360" w:before="240" w:after="240" w:beforeAutospacing="0" w:afterAutospacing="0"/>
        <w:ind w:firstLine="360"/>
        <w:jc w:val="center"/>
        <w:rPr>
          <w:color w:val="000000" w:themeColor="text1"/>
        </w:rPr>
      </w:pPr>
      <w:bookmarkStart w:id="5" w:name="_Toc217116136"/>
      <w:bookmarkStart w:id="6" w:name="_Toc217422065"/>
      <w:r>
        <w:rPr>
          <w:color w:val="000000" w:themeColor="text1"/>
        </w:rPr>
        <w:t>List of Abbreviations</w:t>
      </w:r>
      <w:bookmarkEnd w:id="5"/>
      <w:bookmarkEnd w:id="6"/>
    </w:p>
    <w:tbl>
      <w:tblPr>
        <w:tblW w:w="0" w:type="auto"/>
        <w:tblCellSpacing w:w="15" w:type="dxa"/>
        <w:tblCellMar>
          <w:top w:w="15" w:type="dxa"/>
          <w:left w:w="15" w:type="dxa"/>
          <w:bottom w:w="15" w:type="dxa"/>
          <w:right w:w="15" w:type="dxa"/>
        </w:tblCellMar>
        <w:tblLook w:val="04A0"/>
      </w:tblPr>
      <w:tblGrid/>
      <w:tr>
        <w:trPr>
          <w:tblHeader/>
          <w:tblCellSpacing w:w="15" w:type="dxa"/>
        </w:trPr>
        <w:tc>
          <w:tcPr>
            <w:tcW w:w="0" w:type="auto"/>
            <w:vAlign w:val="center"/>
            <w:hideMark/>
          </w:tcPr>
          <w:p>
            <w:pPr>
              <w:spacing w:lineRule="auto" w:line="360" w:before="240" w:after="240" w:beforeAutospacing="0" w:afterAutospacing="0"/>
              <w:jc w:val="both"/>
              <w:rPr>
                <w:rFonts w:ascii="Times New Roman" w:hAnsi="Times New Roman" w:cs="Times New Roman" w:eastAsia="Times New Roman"/>
                <w:b w:val="1"/>
                <w:bCs w:val="1"/>
                <w:color w:val="000000" w:themeColor="text1"/>
                <w:sz w:val="24"/>
                <w:szCs w:val="24"/>
                <w:lang w:val="en-US"/>
              </w:rPr>
            </w:pPr>
            <w:r>
              <w:rPr>
                <w:rFonts w:ascii="Times New Roman" w:hAnsi="Times New Roman" w:cs="Times New Roman" w:eastAsia="Times New Roman"/>
                <w:b w:val="1"/>
                <w:bCs w:val="1"/>
                <w:color w:val="000000" w:themeColor="text1"/>
                <w:sz w:val="24"/>
                <w:szCs w:val="24"/>
                <w:lang w:val="en-US"/>
              </w:rPr>
              <w:t>Abbreviation</w:t>
            </w:r>
          </w:p>
        </w:tc>
        <w:tc>
          <w:tcPr>
            <w:tcW w:w="0" w:type="auto"/>
            <w:vAlign w:val="center"/>
            <w:hideMark/>
          </w:tcPr>
          <w:p>
            <w:pPr>
              <w:spacing w:lineRule="auto" w:line="360" w:before="240" w:after="240" w:beforeAutospacing="0" w:afterAutospacing="0"/>
              <w:jc w:val="both"/>
              <w:rPr>
                <w:rFonts w:ascii="Times New Roman" w:hAnsi="Times New Roman" w:cs="Times New Roman" w:eastAsia="Times New Roman"/>
                <w:b w:val="1"/>
                <w:bCs w:val="1"/>
                <w:color w:val="000000" w:themeColor="text1"/>
                <w:sz w:val="24"/>
                <w:szCs w:val="24"/>
                <w:lang w:val="en-US"/>
              </w:rPr>
            </w:pPr>
            <w:r>
              <w:rPr>
                <w:rFonts w:ascii="Times New Roman" w:hAnsi="Times New Roman" w:cs="Times New Roman" w:eastAsia="Times New Roman"/>
                <w:b w:val="1"/>
                <w:bCs w:val="1"/>
                <w:color w:val="000000" w:themeColor="text1"/>
                <w:sz w:val="24"/>
                <w:szCs w:val="24"/>
                <w:lang w:val="en-US"/>
              </w:rPr>
              <w:t>Full Form</w:t>
            </w:r>
          </w:p>
        </w:tc>
      </w:tr>
      <w:tr>
        <w:trPr>
          <w:tblCellSpacing w:w="15" w:type="dxa"/>
        </w:trPr>
        <w:tc>
          <w:tcPr>
            <w:tcW w:w="0" w:type="auto"/>
            <w:vAlign w:val="center"/>
            <w:hideMark/>
          </w:tcPr>
          <w:p>
            <w:pPr>
              <w:spacing w:lineRule="auto" w:line="360" w:before="240" w:after="240" w:beforeAutospacing="0" w:afterAutospacing="0"/>
              <w:jc w:val="both"/>
              <w:rPr>
                <w:rFonts w:ascii="Times New Roman" w:hAnsi="Times New Roman" w:cs="Times New Roman" w:eastAsia="Times New Roman"/>
                <w:color w:val="000000" w:themeColor="text1"/>
                <w:sz w:val="24"/>
                <w:szCs w:val="24"/>
                <w:lang w:val="en-US"/>
              </w:rPr>
            </w:pPr>
            <w:r>
              <w:rPr>
                <w:rFonts w:ascii="Times New Roman" w:hAnsi="Times New Roman" w:cs="Times New Roman" w:eastAsia="Times New Roman"/>
                <w:color w:val="000000" w:themeColor="text1"/>
                <w:sz w:val="24"/>
                <w:szCs w:val="24"/>
                <w:lang w:val="en-US"/>
              </w:rPr>
              <w:t>CPI</w:t>
            </w:r>
          </w:p>
        </w:tc>
        <w:tc>
          <w:tcPr>
            <w:tcW w:w="0" w:type="auto"/>
            <w:vAlign w:val="center"/>
            <w:hideMark/>
          </w:tcPr>
          <w:p>
            <w:pPr>
              <w:spacing w:lineRule="auto" w:line="360" w:before="240" w:after="240" w:beforeAutospacing="0" w:afterAutospacing="0"/>
              <w:jc w:val="both"/>
              <w:rPr>
                <w:rFonts w:ascii="Times New Roman" w:hAnsi="Times New Roman" w:cs="Times New Roman" w:eastAsia="Times New Roman"/>
                <w:color w:val="000000" w:themeColor="text1"/>
                <w:sz w:val="24"/>
                <w:szCs w:val="24"/>
                <w:lang w:val="en-US"/>
              </w:rPr>
            </w:pPr>
            <w:r>
              <w:rPr>
                <w:rFonts w:ascii="Times New Roman" w:hAnsi="Times New Roman" w:cs="Times New Roman" w:eastAsia="Times New Roman"/>
                <w:color w:val="000000" w:themeColor="text1"/>
                <w:sz w:val="24"/>
                <w:szCs w:val="24"/>
                <w:lang w:val="en-US"/>
              </w:rPr>
              <w:t>Consumer Price Index</w:t>
            </w:r>
          </w:p>
        </w:tc>
      </w:tr>
      <w:tr>
        <w:trPr>
          <w:tblCellSpacing w:w="15" w:type="dxa"/>
        </w:trPr>
        <w:tc>
          <w:tcPr>
            <w:tcW w:w="0" w:type="auto"/>
            <w:vAlign w:val="center"/>
            <w:hideMark/>
          </w:tcPr>
          <w:p>
            <w:pPr>
              <w:spacing w:lineRule="auto" w:line="360" w:before="240" w:after="240" w:beforeAutospacing="0" w:afterAutospacing="0"/>
              <w:jc w:val="both"/>
              <w:rPr>
                <w:rFonts w:ascii="Times New Roman" w:hAnsi="Times New Roman" w:cs="Times New Roman" w:eastAsia="Times New Roman"/>
                <w:color w:val="000000" w:themeColor="text1"/>
                <w:sz w:val="24"/>
                <w:szCs w:val="24"/>
                <w:lang w:val="en-US"/>
              </w:rPr>
            </w:pPr>
            <w:r>
              <w:rPr>
                <w:rFonts w:ascii="Times New Roman" w:hAnsi="Times New Roman" w:cs="Times New Roman" w:eastAsia="Times New Roman"/>
                <w:color w:val="000000" w:themeColor="text1"/>
                <w:sz w:val="24"/>
                <w:szCs w:val="24"/>
                <w:lang w:val="en-US"/>
              </w:rPr>
              <w:t>ARIMA</w:t>
            </w:r>
          </w:p>
        </w:tc>
        <w:tc>
          <w:tcPr>
            <w:tcW w:w="0" w:type="auto"/>
            <w:vAlign w:val="center"/>
            <w:hideMark/>
          </w:tcPr>
          <w:p>
            <w:pPr>
              <w:spacing w:lineRule="auto" w:line="360" w:before="240" w:after="240" w:beforeAutospacing="0" w:afterAutospacing="0"/>
              <w:jc w:val="both"/>
              <w:rPr>
                <w:rFonts w:ascii="Times New Roman" w:hAnsi="Times New Roman" w:cs="Times New Roman" w:eastAsia="Times New Roman"/>
                <w:color w:val="000000" w:themeColor="text1"/>
                <w:sz w:val="24"/>
                <w:szCs w:val="24"/>
                <w:lang w:val="en-US"/>
              </w:rPr>
            </w:pPr>
            <w:r>
              <w:rPr>
                <w:rFonts w:ascii="Times New Roman" w:hAnsi="Times New Roman" w:cs="Times New Roman" w:eastAsia="Times New Roman"/>
                <w:color w:val="000000" w:themeColor="text1"/>
                <w:sz w:val="24"/>
                <w:szCs w:val="24"/>
                <w:lang w:val="en-US"/>
              </w:rPr>
              <w:t>Autoregressive Integrated Moving Average</w:t>
            </w:r>
          </w:p>
        </w:tc>
      </w:tr>
      <w:tr>
        <w:trPr>
          <w:tblCellSpacing w:w="15" w:type="dxa"/>
        </w:trPr>
        <w:tc>
          <w:tcPr>
            <w:tcW w:w="0" w:type="auto"/>
            <w:vAlign w:val="center"/>
            <w:hideMark/>
          </w:tcPr>
          <w:p>
            <w:pPr>
              <w:spacing w:lineRule="auto" w:line="360" w:before="240" w:after="240" w:beforeAutospacing="0" w:afterAutospacing="0"/>
              <w:jc w:val="both"/>
              <w:rPr>
                <w:rFonts w:ascii="Times New Roman" w:hAnsi="Times New Roman" w:cs="Times New Roman" w:eastAsia="Times New Roman"/>
                <w:color w:val="000000" w:themeColor="text1"/>
                <w:sz w:val="24"/>
                <w:szCs w:val="24"/>
                <w:lang w:val="en-US"/>
              </w:rPr>
            </w:pPr>
            <w:r>
              <w:rPr>
                <w:rFonts w:ascii="Times New Roman" w:hAnsi="Times New Roman" w:cs="Times New Roman" w:eastAsia="Times New Roman"/>
                <w:color w:val="000000" w:themeColor="text1"/>
                <w:sz w:val="24"/>
                <w:szCs w:val="24"/>
                <w:lang w:val="en-US"/>
              </w:rPr>
              <w:t>ML</w:t>
            </w:r>
          </w:p>
        </w:tc>
        <w:tc>
          <w:tcPr>
            <w:tcW w:w="0" w:type="auto"/>
            <w:vAlign w:val="center"/>
            <w:hideMark/>
          </w:tcPr>
          <w:p>
            <w:pPr>
              <w:spacing w:lineRule="auto" w:line="360" w:before="240" w:after="240" w:beforeAutospacing="0" w:afterAutospacing="0"/>
              <w:jc w:val="both"/>
              <w:rPr>
                <w:rFonts w:ascii="Times New Roman" w:hAnsi="Times New Roman" w:cs="Times New Roman" w:eastAsia="Times New Roman"/>
                <w:color w:val="000000" w:themeColor="text1"/>
                <w:sz w:val="24"/>
                <w:szCs w:val="24"/>
                <w:lang w:val="en-US"/>
              </w:rPr>
            </w:pPr>
            <w:r>
              <w:rPr>
                <w:rFonts w:ascii="Times New Roman" w:hAnsi="Times New Roman" w:cs="Times New Roman" w:eastAsia="Times New Roman"/>
                <w:color w:val="000000" w:themeColor="text1"/>
                <w:sz w:val="24"/>
                <w:szCs w:val="24"/>
                <w:lang w:val="en-US"/>
              </w:rPr>
              <w:t>Machine Learning</w:t>
            </w:r>
          </w:p>
        </w:tc>
      </w:tr>
      <w:tr>
        <w:trPr>
          <w:tblCellSpacing w:w="15" w:type="dxa"/>
        </w:trPr>
        <w:tc>
          <w:tcPr>
            <w:tcW w:w="0" w:type="auto"/>
            <w:vAlign w:val="center"/>
            <w:hideMark/>
          </w:tcPr>
          <w:p>
            <w:pPr>
              <w:spacing w:lineRule="auto" w:line="360" w:before="240" w:after="240" w:beforeAutospacing="0" w:afterAutospacing="0"/>
              <w:jc w:val="both"/>
              <w:rPr>
                <w:rFonts w:ascii="Times New Roman" w:hAnsi="Times New Roman" w:cs="Times New Roman" w:eastAsia="Times New Roman"/>
                <w:color w:val="000000" w:themeColor="text1"/>
                <w:sz w:val="24"/>
                <w:szCs w:val="24"/>
                <w:lang w:val="en-US"/>
              </w:rPr>
            </w:pPr>
            <w:r>
              <w:rPr>
                <w:rFonts w:ascii="Times New Roman" w:hAnsi="Times New Roman" w:cs="Times New Roman" w:eastAsia="Times New Roman"/>
                <w:color w:val="000000" w:themeColor="text1"/>
                <w:sz w:val="24"/>
                <w:szCs w:val="24"/>
                <w:lang w:val="en-US"/>
              </w:rPr>
              <w:t>MAE</w:t>
            </w:r>
          </w:p>
        </w:tc>
        <w:tc>
          <w:tcPr>
            <w:tcW w:w="0" w:type="auto"/>
            <w:vAlign w:val="center"/>
            <w:hideMark/>
          </w:tcPr>
          <w:p>
            <w:pPr>
              <w:spacing w:lineRule="auto" w:line="360" w:before="240" w:after="240" w:beforeAutospacing="0" w:afterAutospacing="0"/>
              <w:jc w:val="both"/>
              <w:rPr>
                <w:rFonts w:ascii="Times New Roman" w:hAnsi="Times New Roman" w:cs="Times New Roman" w:eastAsia="Times New Roman"/>
                <w:color w:val="000000" w:themeColor="text1"/>
                <w:sz w:val="24"/>
                <w:szCs w:val="24"/>
                <w:lang w:val="en-US"/>
              </w:rPr>
            </w:pPr>
            <w:r>
              <w:rPr>
                <w:rFonts w:ascii="Times New Roman" w:hAnsi="Times New Roman" w:cs="Times New Roman" w:eastAsia="Times New Roman"/>
                <w:color w:val="000000" w:themeColor="text1"/>
                <w:sz w:val="24"/>
                <w:szCs w:val="24"/>
                <w:lang w:val="en-US"/>
              </w:rPr>
              <w:t>Mean Absolute Error</w:t>
            </w:r>
          </w:p>
        </w:tc>
      </w:tr>
      <w:tr>
        <w:trPr>
          <w:tblCellSpacing w:w="15" w:type="dxa"/>
        </w:trPr>
        <w:tc>
          <w:tcPr>
            <w:tcW w:w="0" w:type="auto"/>
            <w:vAlign w:val="center"/>
            <w:hideMark/>
          </w:tcPr>
          <w:p>
            <w:pPr>
              <w:spacing w:lineRule="auto" w:line="360" w:before="240" w:after="240" w:beforeAutospacing="0" w:afterAutospacing="0"/>
              <w:jc w:val="both"/>
              <w:rPr>
                <w:rFonts w:ascii="Times New Roman" w:hAnsi="Times New Roman" w:cs="Times New Roman" w:eastAsia="Times New Roman"/>
                <w:color w:val="000000" w:themeColor="text1"/>
                <w:sz w:val="24"/>
                <w:szCs w:val="24"/>
                <w:lang w:val="en-US"/>
              </w:rPr>
            </w:pPr>
            <w:r>
              <w:rPr>
                <w:rFonts w:ascii="Times New Roman" w:hAnsi="Times New Roman" w:cs="Times New Roman" w:eastAsia="Times New Roman"/>
                <w:color w:val="000000" w:themeColor="text1"/>
                <w:sz w:val="24"/>
                <w:szCs w:val="24"/>
                <w:lang w:val="en-US"/>
              </w:rPr>
              <w:t>RMSE</w:t>
            </w:r>
          </w:p>
        </w:tc>
        <w:tc>
          <w:tcPr>
            <w:tcW w:w="0" w:type="auto"/>
            <w:vAlign w:val="center"/>
            <w:hideMark/>
          </w:tcPr>
          <w:p>
            <w:pPr>
              <w:spacing w:lineRule="auto" w:line="360" w:before="240" w:after="240" w:beforeAutospacing="0" w:afterAutospacing="0"/>
              <w:jc w:val="both"/>
              <w:rPr>
                <w:rFonts w:ascii="Times New Roman" w:hAnsi="Times New Roman" w:cs="Times New Roman" w:eastAsia="Times New Roman"/>
                <w:color w:val="000000" w:themeColor="text1"/>
                <w:sz w:val="24"/>
                <w:szCs w:val="24"/>
                <w:lang w:val="en-US"/>
              </w:rPr>
            </w:pPr>
            <w:r>
              <w:rPr>
                <w:rFonts w:ascii="Times New Roman" w:hAnsi="Times New Roman" w:cs="Times New Roman" w:eastAsia="Times New Roman"/>
                <w:color w:val="000000" w:themeColor="text1"/>
                <w:sz w:val="24"/>
                <w:szCs w:val="24"/>
                <w:lang w:val="en-US"/>
              </w:rPr>
              <w:t>Root Mean Squared Error</w:t>
            </w:r>
          </w:p>
        </w:tc>
      </w:tr>
      <w:tr>
        <w:trPr>
          <w:tblCellSpacing w:w="15" w:type="dxa"/>
        </w:trPr>
        <w:tc>
          <w:tcPr>
            <w:tcW w:w="0" w:type="auto"/>
            <w:vAlign w:val="center"/>
            <w:hideMark/>
          </w:tcPr>
          <w:p>
            <w:pPr>
              <w:spacing w:lineRule="auto" w:line="360" w:before="240" w:after="240" w:beforeAutospacing="0" w:afterAutospacing="0"/>
              <w:jc w:val="both"/>
              <w:rPr>
                <w:rFonts w:ascii="Times New Roman" w:hAnsi="Times New Roman" w:cs="Times New Roman" w:eastAsia="Times New Roman"/>
                <w:color w:val="000000" w:themeColor="text1"/>
                <w:sz w:val="24"/>
                <w:szCs w:val="24"/>
                <w:lang w:val="en-US"/>
              </w:rPr>
            </w:pPr>
            <w:r>
              <w:rPr>
                <w:rFonts w:ascii="Times New Roman" w:hAnsi="Times New Roman" w:cs="Times New Roman" w:eastAsia="Times New Roman"/>
                <w:color w:val="000000" w:themeColor="text1"/>
                <w:sz w:val="24"/>
                <w:szCs w:val="24"/>
                <w:lang w:val="en-US"/>
              </w:rPr>
              <w:t>MLP</w:t>
            </w:r>
          </w:p>
        </w:tc>
        <w:tc>
          <w:tcPr>
            <w:tcW w:w="0" w:type="auto"/>
            <w:vAlign w:val="center"/>
            <w:hideMark/>
          </w:tcPr>
          <w:p>
            <w:pPr>
              <w:spacing w:lineRule="auto" w:line="360" w:before="240" w:after="240" w:beforeAutospacing="0" w:afterAutospacing="0"/>
              <w:jc w:val="both"/>
              <w:rPr>
                <w:rFonts w:ascii="Times New Roman" w:hAnsi="Times New Roman" w:cs="Times New Roman" w:eastAsia="Times New Roman"/>
                <w:color w:val="000000" w:themeColor="text1"/>
                <w:sz w:val="24"/>
                <w:szCs w:val="24"/>
                <w:lang w:val="en-US"/>
              </w:rPr>
            </w:pPr>
            <w:r>
              <w:rPr>
                <w:rFonts w:ascii="Times New Roman" w:hAnsi="Times New Roman" w:cs="Times New Roman" w:eastAsia="Times New Roman"/>
                <w:color w:val="000000" w:themeColor="text1"/>
                <w:sz w:val="24"/>
                <w:szCs w:val="24"/>
                <w:lang w:val="en-US"/>
              </w:rPr>
              <w:t>Multilayer Perceptron</w:t>
            </w:r>
          </w:p>
        </w:tc>
      </w:tr>
      <w:tr>
        <w:trPr>
          <w:tblCellSpacing w:w="15" w:type="dxa"/>
        </w:trPr>
        <w:tc>
          <w:tcPr>
            <w:tcW w:w="0" w:type="auto"/>
            <w:vAlign w:val="center"/>
            <w:hideMark/>
          </w:tcPr>
          <w:p>
            <w:pPr>
              <w:spacing w:lineRule="auto" w:line="360" w:before="240" w:after="240" w:beforeAutospacing="0" w:afterAutospacing="0"/>
              <w:jc w:val="both"/>
              <w:rPr>
                <w:rFonts w:ascii="Times New Roman" w:hAnsi="Times New Roman" w:cs="Times New Roman" w:eastAsia="Times New Roman"/>
                <w:color w:val="000000" w:themeColor="text1"/>
                <w:sz w:val="24"/>
                <w:szCs w:val="24"/>
                <w:lang w:val="en-US"/>
              </w:rPr>
            </w:pPr>
            <w:r>
              <w:rPr>
                <w:rFonts w:ascii="Times New Roman" w:hAnsi="Times New Roman" w:cs="Times New Roman" w:eastAsia="Times New Roman"/>
                <w:color w:val="000000" w:themeColor="text1"/>
                <w:sz w:val="24"/>
                <w:szCs w:val="24"/>
                <w:lang w:val="en-US"/>
              </w:rPr>
              <w:t>LSTM</w:t>
            </w:r>
          </w:p>
        </w:tc>
        <w:tc>
          <w:tcPr>
            <w:tcW w:w="0" w:type="auto"/>
            <w:vAlign w:val="center"/>
            <w:hideMark/>
          </w:tcPr>
          <w:p>
            <w:pPr>
              <w:spacing w:lineRule="auto" w:line="360" w:before="240" w:after="240" w:beforeAutospacing="0" w:afterAutospacing="0"/>
              <w:jc w:val="both"/>
              <w:rPr>
                <w:rFonts w:ascii="Times New Roman" w:hAnsi="Times New Roman" w:cs="Times New Roman" w:eastAsia="Times New Roman"/>
                <w:color w:val="000000" w:themeColor="text1"/>
                <w:sz w:val="24"/>
                <w:szCs w:val="24"/>
                <w:lang w:val="en-US"/>
              </w:rPr>
            </w:pPr>
            <w:r>
              <w:rPr>
                <w:rFonts w:ascii="Times New Roman" w:hAnsi="Times New Roman" w:cs="Times New Roman" w:eastAsia="Times New Roman"/>
                <w:color w:val="000000" w:themeColor="text1"/>
                <w:sz w:val="24"/>
                <w:szCs w:val="24"/>
                <w:lang w:val="en-US"/>
              </w:rPr>
              <w:t>Long Short-Term Memory</w:t>
            </w:r>
          </w:p>
        </w:tc>
      </w:tr>
      <w:tr>
        <w:trPr>
          <w:tblCellSpacing w:w="15" w:type="dxa"/>
        </w:trPr>
        <w:tc>
          <w:tcPr>
            <w:tcW w:w="0" w:type="auto"/>
            <w:vAlign w:val="center"/>
            <w:hideMark/>
          </w:tcPr>
          <w:p>
            <w:pPr>
              <w:spacing w:lineRule="auto" w:line="360" w:before="240" w:after="240" w:beforeAutospacing="0" w:afterAutospacing="0"/>
              <w:jc w:val="both"/>
              <w:rPr>
                <w:rFonts w:ascii="Times New Roman" w:hAnsi="Times New Roman" w:cs="Times New Roman" w:eastAsia="Times New Roman"/>
                <w:color w:val="000000" w:themeColor="text1"/>
                <w:sz w:val="24"/>
                <w:szCs w:val="24"/>
                <w:lang w:val="en-US"/>
              </w:rPr>
            </w:pPr>
            <w:r>
              <w:rPr>
                <w:rFonts w:ascii="Times New Roman" w:hAnsi="Times New Roman" w:cs="Times New Roman" w:eastAsia="Times New Roman"/>
                <w:color w:val="000000" w:themeColor="text1"/>
                <w:sz w:val="24"/>
                <w:szCs w:val="24"/>
                <w:lang w:val="en-US"/>
              </w:rPr>
              <w:t>AIC</w:t>
            </w:r>
          </w:p>
        </w:tc>
        <w:tc>
          <w:tcPr>
            <w:tcW w:w="0" w:type="auto"/>
            <w:vAlign w:val="center"/>
            <w:hideMark/>
          </w:tcPr>
          <w:p>
            <w:pPr>
              <w:spacing w:lineRule="auto" w:line="360" w:before="240" w:after="240" w:beforeAutospacing="0" w:afterAutospacing="0"/>
              <w:jc w:val="both"/>
              <w:rPr>
                <w:rFonts w:ascii="Times New Roman" w:hAnsi="Times New Roman" w:cs="Times New Roman" w:eastAsia="Times New Roman"/>
                <w:color w:val="000000" w:themeColor="text1"/>
                <w:sz w:val="24"/>
                <w:szCs w:val="24"/>
                <w:lang w:val="en-US"/>
              </w:rPr>
            </w:pPr>
            <w:r>
              <w:rPr>
                <w:rFonts w:ascii="Times New Roman" w:hAnsi="Times New Roman" w:cs="Times New Roman" w:eastAsia="Times New Roman"/>
                <w:color w:val="000000" w:themeColor="text1"/>
                <w:sz w:val="24"/>
                <w:szCs w:val="24"/>
                <w:lang w:val="en-US"/>
              </w:rPr>
              <w:t>Akaike Information Criterion</w:t>
            </w:r>
          </w:p>
        </w:tc>
      </w:tr>
      <w:tr>
        <w:trPr>
          <w:tblCellSpacing w:w="15" w:type="dxa"/>
        </w:trPr>
        <w:tc>
          <w:tcPr>
            <w:tcW w:w="0" w:type="auto"/>
            <w:vAlign w:val="center"/>
            <w:hideMark/>
          </w:tcPr>
          <w:p>
            <w:pPr>
              <w:spacing w:lineRule="auto" w:line="360" w:before="240" w:after="240" w:beforeAutospacing="0" w:afterAutospacing="0"/>
              <w:jc w:val="both"/>
              <w:rPr>
                <w:rFonts w:ascii="Times New Roman" w:hAnsi="Times New Roman" w:cs="Times New Roman" w:eastAsia="Times New Roman"/>
                <w:color w:val="000000" w:themeColor="text1"/>
                <w:sz w:val="24"/>
                <w:szCs w:val="24"/>
                <w:lang w:val="en-US"/>
              </w:rPr>
            </w:pPr>
            <w:r>
              <w:rPr>
                <w:rFonts w:ascii="Times New Roman" w:hAnsi="Times New Roman" w:cs="Times New Roman" w:eastAsia="Times New Roman"/>
                <w:color w:val="000000" w:themeColor="text1"/>
                <w:sz w:val="24"/>
                <w:szCs w:val="24"/>
                <w:lang w:val="en-US"/>
              </w:rPr>
              <w:t>BIC</w:t>
            </w:r>
          </w:p>
        </w:tc>
        <w:tc>
          <w:tcPr>
            <w:tcW w:w="0" w:type="auto"/>
            <w:vAlign w:val="center"/>
            <w:hideMark/>
          </w:tcPr>
          <w:p>
            <w:pPr>
              <w:spacing w:lineRule="auto" w:line="360" w:before="240" w:after="240" w:beforeAutospacing="0" w:afterAutospacing="0"/>
              <w:jc w:val="both"/>
              <w:rPr>
                <w:rFonts w:ascii="Times New Roman" w:hAnsi="Times New Roman" w:cs="Times New Roman" w:eastAsia="Times New Roman"/>
                <w:color w:val="000000" w:themeColor="text1"/>
                <w:sz w:val="24"/>
                <w:szCs w:val="24"/>
                <w:lang w:val="en-US"/>
              </w:rPr>
            </w:pPr>
            <w:r>
              <w:rPr>
                <w:rFonts w:ascii="Times New Roman" w:hAnsi="Times New Roman" w:cs="Times New Roman" w:eastAsia="Times New Roman"/>
                <w:color w:val="000000" w:themeColor="text1"/>
                <w:sz w:val="24"/>
                <w:szCs w:val="24"/>
                <w:lang w:val="en-US"/>
              </w:rPr>
              <w:t>Bayesian Information Criterion</w:t>
            </w:r>
          </w:p>
        </w:tc>
      </w:tr>
      <w:tr>
        <w:trPr>
          <w:tblCellSpacing w:w="15" w:type="dxa"/>
        </w:trPr>
        <w:tc>
          <w:tcPr>
            <w:tcW w:w="0" w:type="auto"/>
            <w:vAlign w:val="center"/>
            <w:hideMark/>
          </w:tcPr>
          <w:p>
            <w:pPr>
              <w:spacing w:lineRule="auto" w:line="360" w:before="240" w:after="240" w:beforeAutospacing="0" w:afterAutospacing="0"/>
              <w:jc w:val="both"/>
              <w:rPr>
                <w:rFonts w:ascii="Times New Roman" w:hAnsi="Times New Roman" w:cs="Times New Roman" w:eastAsia="Times New Roman"/>
                <w:color w:val="000000" w:themeColor="text1"/>
                <w:sz w:val="24"/>
                <w:szCs w:val="24"/>
                <w:lang w:val="en-US"/>
              </w:rPr>
            </w:pPr>
            <w:r>
              <w:rPr>
                <w:rFonts w:ascii="Times New Roman" w:hAnsi="Times New Roman" w:cs="Times New Roman" w:eastAsia="Times New Roman"/>
                <w:color w:val="000000" w:themeColor="text1"/>
                <w:sz w:val="24"/>
                <w:szCs w:val="24"/>
                <w:lang w:val="en-US"/>
              </w:rPr>
              <w:t>COICOP</w:t>
            </w:r>
          </w:p>
        </w:tc>
        <w:tc>
          <w:tcPr>
            <w:tcW w:w="0" w:type="auto"/>
            <w:vAlign w:val="center"/>
            <w:hideMark/>
          </w:tcPr>
          <w:p>
            <w:pPr>
              <w:spacing w:lineRule="auto" w:line="360" w:before="240" w:after="240" w:beforeAutospacing="0" w:afterAutospacing="0"/>
              <w:jc w:val="both"/>
              <w:rPr>
                <w:rFonts w:ascii="Times New Roman" w:hAnsi="Times New Roman" w:cs="Times New Roman" w:eastAsia="Times New Roman"/>
                <w:color w:val="000000" w:themeColor="text1"/>
                <w:sz w:val="24"/>
                <w:szCs w:val="24"/>
                <w:lang w:val="en-US"/>
              </w:rPr>
            </w:pPr>
            <w:r>
              <w:rPr>
                <w:rFonts w:ascii="Times New Roman" w:hAnsi="Times New Roman" w:cs="Times New Roman" w:eastAsia="Times New Roman"/>
                <w:color w:val="000000" w:themeColor="text1"/>
                <w:sz w:val="24"/>
                <w:szCs w:val="24"/>
                <w:lang w:val="en-US"/>
              </w:rPr>
              <w:t>Classification of Individual Consumption by Purpose</w:t>
            </w:r>
          </w:p>
        </w:tc>
      </w:tr>
      <w:tr>
        <w:trPr>
          <w:tblCellSpacing w:w="15" w:type="dxa"/>
        </w:trPr>
        <w:tc>
          <w:tcPr>
            <w:tcW w:w="0" w:type="auto"/>
            <w:vAlign w:val="center"/>
            <w:hideMark/>
          </w:tcPr>
          <w:p>
            <w:pPr>
              <w:spacing w:lineRule="auto" w:line="360" w:before="240" w:after="240" w:beforeAutospacing="0" w:afterAutospacing="0"/>
              <w:jc w:val="both"/>
              <w:rPr>
                <w:rFonts w:ascii="Times New Roman" w:hAnsi="Times New Roman" w:cs="Times New Roman" w:eastAsia="Times New Roman"/>
                <w:color w:val="000000" w:themeColor="text1"/>
                <w:sz w:val="24"/>
                <w:szCs w:val="24"/>
                <w:lang w:val="en-US"/>
              </w:rPr>
            </w:pPr>
            <w:r>
              <w:rPr>
                <w:rFonts w:ascii="Times New Roman" w:hAnsi="Times New Roman" w:cs="Times New Roman" w:eastAsia="Times New Roman"/>
                <w:color w:val="000000" w:themeColor="text1"/>
                <w:sz w:val="24"/>
                <w:szCs w:val="24"/>
                <w:lang w:val="en-US"/>
              </w:rPr>
              <w:t>CSV</w:t>
            </w:r>
          </w:p>
        </w:tc>
        <w:tc>
          <w:tcPr>
            <w:tcW w:w="0" w:type="auto"/>
            <w:vAlign w:val="center"/>
            <w:hideMark/>
          </w:tcPr>
          <w:p>
            <w:pPr>
              <w:spacing w:lineRule="auto" w:line="360" w:before="240" w:after="240" w:beforeAutospacing="0" w:afterAutospacing="0"/>
              <w:jc w:val="both"/>
              <w:rPr>
                <w:rFonts w:ascii="Times New Roman" w:hAnsi="Times New Roman" w:cs="Times New Roman" w:eastAsia="Times New Roman"/>
                <w:color w:val="000000" w:themeColor="text1"/>
                <w:sz w:val="24"/>
                <w:szCs w:val="24"/>
                <w:lang w:val="en-US"/>
              </w:rPr>
            </w:pPr>
            <w:r>
              <w:rPr>
                <w:rFonts w:ascii="Times New Roman" w:hAnsi="Times New Roman" w:cs="Times New Roman" w:eastAsia="Times New Roman"/>
                <w:color w:val="000000" w:themeColor="text1"/>
                <w:sz w:val="24"/>
                <w:szCs w:val="24"/>
                <w:lang w:val="en-US"/>
              </w:rPr>
              <w:t>Comma-Separated Values</w:t>
            </w:r>
          </w:p>
        </w:tc>
      </w:tr>
      <w:tr>
        <w:trPr>
          <w:tblCellSpacing w:w="15" w:type="dxa"/>
        </w:trPr>
        <w:tc>
          <w:tcPr>
            <w:tcW w:w="0" w:type="auto"/>
            <w:vAlign w:val="center"/>
            <w:hideMark/>
          </w:tcPr>
          <w:p>
            <w:pPr>
              <w:spacing w:lineRule="auto" w:line="360" w:before="240" w:after="240" w:beforeAutospacing="0" w:afterAutospacing="0"/>
              <w:jc w:val="both"/>
              <w:rPr>
                <w:rFonts w:ascii="Times New Roman" w:hAnsi="Times New Roman" w:cs="Times New Roman" w:eastAsia="Times New Roman"/>
                <w:color w:val="000000" w:themeColor="text1"/>
                <w:sz w:val="24"/>
                <w:szCs w:val="24"/>
                <w:lang w:val="en-US"/>
              </w:rPr>
            </w:pPr>
            <w:r>
              <w:rPr>
                <w:rFonts w:ascii="Times New Roman" w:hAnsi="Times New Roman" w:cs="Times New Roman" w:eastAsia="Times New Roman"/>
                <w:color w:val="000000" w:themeColor="text1"/>
                <w:sz w:val="24"/>
                <w:szCs w:val="24"/>
                <w:lang w:val="en-US"/>
              </w:rPr>
              <w:t>MS</w:t>
            </w:r>
          </w:p>
        </w:tc>
        <w:tc>
          <w:tcPr>
            <w:tcW w:w="0" w:type="auto"/>
            <w:vAlign w:val="center"/>
            <w:hideMark/>
          </w:tcPr>
          <w:p>
            <w:pPr>
              <w:spacing w:lineRule="auto" w:line="360" w:before="240" w:after="240" w:beforeAutospacing="0" w:afterAutospacing="0"/>
              <w:jc w:val="both"/>
              <w:rPr>
                <w:rFonts w:ascii="Times New Roman" w:hAnsi="Times New Roman" w:cs="Times New Roman" w:eastAsia="Times New Roman"/>
                <w:color w:val="000000" w:themeColor="text1"/>
                <w:sz w:val="24"/>
                <w:szCs w:val="24"/>
                <w:lang w:val="en-US"/>
              </w:rPr>
            </w:pPr>
            <w:r>
              <w:rPr>
                <w:rFonts w:ascii="Times New Roman" w:hAnsi="Times New Roman" w:cs="Times New Roman" w:eastAsia="Times New Roman"/>
                <w:color w:val="000000" w:themeColor="text1"/>
                <w:sz w:val="24"/>
                <w:szCs w:val="24"/>
                <w:lang w:val="en-US"/>
              </w:rPr>
              <w:t>Monthly Start</w:t>
            </w:r>
          </w:p>
        </w:tc>
      </w:tr>
      <w:tr>
        <w:trPr>
          <w:tblCellSpacing w:w="15" w:type="dxa"/>
        </w:trPr>
        <w:tc>
          <w:tcPr>
            <w:tcW w:w="0" w:type="auto"/>
            <w:vAlign w:val="center"/>
            <w:hideMark/>
          </w:tcPr>
          <w:p>
            <w:pPr>
              <w:spacing w:lineRule="auto" w:line="360" w:before="240" w:after="240" w:beforeAutospacing="0" w:afterAutospacing="0"/>
              <w:jc w:val="both"/>
              <w:rPr>
                <w:rFonts w:ascii="Times New Roman" w:hAnsi="Times New Roman" w:cs="Times New Roman" w:eastAsia="Times New Roman"/>
                <w:color w:val="000000" w:themeColor="text1"/>
                <w:sz w:val="24"/>
                <w:szCs w:val="24"/>
                <w:lang w:val="en-US"/>
              </w:rPr>
            </w:pPr>
            <w:r>
              <w:rPr>
                <w:rFonts w:ascii="Times New Roman" w:hAnsi="Times New Roman" w:cs="Times New Roman" w:eastAsia="Times New Roman"/>
                <w:color w:val="000000" w:themeColor="text1"/>
                <w:sz w:val="24"/>
                <w:szCs w:val="24"/>
                <w:lang w:val="en-US"/>
              </w:rPr>
              <w:t>OECD</w:t>
            </w:r>
          </w:p>
        </w:tc>
        <w:tc>
          <w:tcPr>
            <w:tcW w:w="0" w:type="auto"/>
            <w:vAlign w:val="center"/>
            <w:hideMark/>
          </w:tcPr>
          <w:p>
            <w:pPr>
              <w:spacing w:lineRule="auto" w:line="360" w:before="240" w:after="240" w:beforeAutospacing="0" w:afterAutospacing="0"/>
              <w:jc w:val="both"/>
              <w:rPr>
                <w:rFonts w:ascii="Times New Roman" w:hAnsi="Times New Roman" w:cs="Times New Roman" w:eastAsia="Times New Roman"/>
                <w:color w:val="000000" w:themeColor="text1"/>
                <w:sz w:val="24"/>
                <w:szCs w:val="24"/>
                <w:lang w:val="en-US"/>
              </w:rPr>
            </w:pPr>
            <w:r>
              <w:rPr>
                <w:rFonts w:ascii="Times New Roman" w:hAnsi="Times New Roman" w:cs="Times New Roman" w:eastAsia="Times New Roman"/>
                <w:color w:val="000000" w:themeColor="text1"/>
                <w:sz w:val="24"/>
                <w:szCs w:val="24"/>
                <w:lang w:val="en-US"/>
              </w:rPr>
              <w:t>Organisation for Economic Co-operation and Development</w:t>
            </w:r>
          </w:p>
        </w:tc>
      </w:tr>
      <w:tr>
        <w:trPr>
          <w:tblCellSpacing w:w="15" w:type="dxa"/>
        </w:trPr>
        <w:tc>
          <w:tcPr>
            <w:tcW w:w="0" w:type="auto"/>
            <w:vAlign w:val="center"/>
            <w:hideMark/>
          </w:tcPr>
          <w:p>
            <w:pPr>
              <w:spacing w:lineRule="auto" w:line="360" w:before="240" w:after="240" w:beforeAutospacing="0" w:afterAutospacing="0"/>
              <w:jc w:val="both"/>
              <w:rPr>
                <w:rFonts w:ascii="Times New Roman" w:hAnsi="Times New Roman" w:cs="Times New Roman" w:eastAsia="Times New Roman"/>
                <w:color w:val="000000" w:themeColor="text1"/>
                <w:sz w:val="24"/>
                <w:szCs w:val="24"/>
                <w:lang w:val="en-US"/>
              </w:rPr>
            </w:pPr>
            <w:r>
              <w:rPr>
                <w:rFonts w:ascii="Times New Roman" w:hAnsi="Times New Roman" w:cs="Times New Roman" w:eastAsia="Times New Roman"/>
                <w:color w:val="000000" w:themeColor="text1"/>
                <w:sz w:val="24"/>
                <w:szCs w:val="24"/>
                <w:lang w:val="en-US"/>
              </w:rPr>
              <w:t>EU</w:t>
            </w:r>
          </w:p>
        </w:tc>
        <w:tc>
          <w:tcPr>
            <w:tcW w:w="0" w:type="auto"/>
            <w:vAlign w:val="center"/>
            <w:hideMark/>
          </w:tcPr>
          <w:p>
            <w:pPr>
              <w:spacing w:lineRule="auto" w:line="360" w:before="240" w:after="240" w:beforeAutospacing="0" w:afterAutospacing="0"/>
              <w:jc w:val="both"/>
              <w:rPr>
                <w:rFonts w:ascii="Times New Roman" w:hAnsi="Times New Roman" w:cs="Times New Roman" w:eastAsia="Times New Roman"/>
                <w:color w:val="000000" w:themeColor="text1"/>
                <w:sz w:val="24"/>
                <w:szCs w:val="24"/>
                <w:lang w:val="en-US"/>
              </w:rPr>
            </w:pPr>
            <w:r>
              <w:rPr>
                <w:rFonts w:ascii="Times New Roman" w:hAnsi="Times New Roman" w:cs="Times New Roman" w:eastAsia="Times New Roman"/>
                <w:color w:val="000000" w:themeColor="text1"/>
                <w:sz w:val="24"/>
                <w:szCs w:val="24"/>
                <w:lang w:val="en-US"/>
              </w:rPr>
              <w:t>European Union</w:t>
            </w:r>
          </w:p>
        </w:tc>
      </w:tr>
      <w:tr>
        <w:trPr>
          <w:tblCellSpacing w:w="15" w:type="dxa"/>
        </w:trPr>
        <w:tc>
          <w:tcPr>
            <w:tcW w:w="0" w:type="auto"/>
            <w:vAlign w:val="center"/>
            <w:hideMark/>
          </w:tcPr>
          <w:p>
            <w:pPr>
              <w:spacing w:lineRule="auto" w:line="360" w:before="240" w:after="240" w:beforeAutospacing="0" w:afterAutospacing="0"/>
              <w:jc w:val="both"/>
              <w:rPr>
                <w:rFonts w:ascii="Times New Roman" w:hAnsi="Times New Roman" w:cs="Times New Roman" w:eastAsia="Times New Roman"/>
                <w:color w:val="000000" w:themeColor="text1"/>
                <w:sz w:val="24"/>
                <w:szCs w:val="24"/>
                <w:lang w:val="en-US"/>
              </w:rPr>
            </w:pPr>
            <w:r>
              <w:rPr>
                <w:rFonts w:ascii="Times New Roman" w:hAnsi="Times New Roman" w:cs="Times New Roman" w:eastAsia="Times New Roman"/>
                <w:color w:val="000000" w:themeColor="text1"/>
                <w:sz w:val="24"/>
                <w:szCs w:val="24"/>
                <w:lang w:val="en-US"/>
              </w:rPr>
              <w:t>GDP</w:t>
            </w:r>
          </w:p>
        </w:tc>
        <w:tc>
          <w:tcPr>
            <w:tcW w:w="0" w:type="auto"/>
            <w:vAlign w:val="center"/>
            <w:hideMark/>
          </w:tcPr>
          <w:p>
            <w:pPr>
              <w:spacing w:lineRule="auto" w:line="360" w:before="240" w:after="240" w:beforeAutospacing="0" w:afterAutospacing="0"/>
              <w:jc w:val="both"/>
              <w:rPr>
                <w:rFonts w:ascii="Times New Roman" w:hAnsi="Times New Roman" w:cs="Times New Roman" w:eastAsia="Times New Roman"/>
                <w:color w:val="000000" w:themeColor="text1"/>
                <w:sz w:val="24"/>
                <w:szCs w:val="24"/>
                <w:lang w:val="en-US"/>
              </w:rPr>
            </w:pPr>
            <w:r>
              <w:rPr>
                <w:rFonts w:ascii="Times New Roman" w:hAnsi="Times New Roman" w:cs="Times New Roman" w:eastAsia="Times New Roman"/>
                <w:color w:val="000000" w:themeColor="text1"/>
                <w:sz w:val="24"/>
                <w:szCs w:val="24"/>
                <w:lang w:val="en-US"/>
              </w:rPr>
              <w:t>Gross Domestic Product</w:t>
            </w:r>
          </w:p>
        </w:tc>
      </w:tr>
      <w:tr>
        <w:trPr>
          <w:tblCellSpacing w:w="15" w:type="dxa"/>
        </w:trPr>
        <w:tc>
          <w:tcPr>
            <w:tcW w:w="0" w:type="auto"/>
            <w:vAlign w:val="center"/>
            <w:hideMark/>
          </w:tcPr>
          <w:p>
            <w:pPr>
              <w:spacing w:lineRule="auto" w:line="360" w:before="240" w:after="240" w:beforeAutospacing="0" w:afterAutospacing="0"/>
              <w:jc w:val="both"/>
              <w:rPr>
                <w:rFonts w:ascii="Times New Roman" w:hAnsi="Times New Roman" w:cs="Times New Roman" w:eastAsia="Times New Roman"/>
                <w:color w:val="000000" w:themeColor="text1"/>
                <w:sz w:val="24"/>
                <w:szCs w:val="24"/>
                <w:lang w:val="en-US"/>
              </w:rPr>
            </w:pPr>
            <w:r>
              <w:rPr>
                <w:rFonts w:ascii="Times New Roman" w:hAnsi="Times New Roman" w:cs="Times New Roman" w:eastAsia="Times New Roman"/>
                <w:color w:val="000000" w:themeColor="text1"/>
                <w:sz w:val="24"/>
                <w:szCs w:val="24"/>
                <w:lang w:val="en-US"/>
              </w:rPr>
              <w:t>CV</w:t>
            </w:r>
          </w:p>
        </w:tc>
        <w:tc>
          <w:tcPr>
            <w:tcW w:w="0" w:type="auto"/>
            <w:vAlign w:val="center"/>
            <w:hideMark/>
          </w:tcPr>
          <w:p>
            <w:pPr>
              <w:spacing w:lineRule="auto" w:line="360" w:before="240" w:after="240" w:beforeAutospacing="0" w:afterAutospacing="0"/>
              <w:jc w:val="both"/>
              <w:rPr>
                <w:rFonts w:ascii="Times New Roman" w:hAnsi="Times New Roman" w:cs="Times New Roman" w:eastAsia="Times New Roman"/>
                <w:color w:val="000000" w:themeColor="text1"/>
                <w:sz w:val="24"/>
                <w:szCs w:val="24"/>
                <w:lang w:val="en-US"/>
              </w:rPr>
            </w:pPr>
            <w:r>
              <w:rPr>
                <w:rFonts w:ascii="Times New Roman" w:hAnsi="Times New Roman" w:cs="Times New Roman" w:eastAsia="Times New Roman"/>
                <w:color w:val="000000" w:themeColor="text1"/>
                <w:sz w:val="24"/>
                <w:szCs w:val="24"/>
                <w:lang w:val="en-US"/>
              </w:rPr>
              <w:t>Cross-Validation</w:t>
            </w:r>
          </w:p>
        </w:tc>
      </w:tr>
      <w:tr>
        <w:trPr>
          <w:tblCellSpacing w:w="15" w:type="dxa"/>
        </w:trPr>
        <w:tc>
          <w:tcPr>
            <w:tcW w:w="0" w:type="auto"/>
            <w:vAlign w:val="center"/>
            <w:hideMark/>
          </w:tcPr>
          <w:p>
            <w:pPr>
              <w:spacing w:lineRule="auto" w:line="360" w:before="240" w:after="240" w:beforeAutospacing="0" w:afterAutospacing="0"/>
              <w:jc w:val="both"/>
              <w:rPr>
                <w:rFonts w:ascii="Times New Roman" w:hAnsi="Times New Roman" w:cs="Times New Roman" w:eastAsia="Times New Roman"/>
                <w:color w:val="000000" w:themeColor="text1"/>
                <w:sz w:val="24"/>
                <w:szCs w:val="24"/>
                <w:lang w:val="en-US"/>
              </w:rPr>
            </w:pPr>
            <w:r>
              <w:rPr>
                <w:rFonts w:ascii="Times New Roman" w:hAnsi="Times New Roman" w:cs="Times New Roman" w:eastAsia="Times New Roman"/>
                <w:color w:val="000000" w:themeColor="text1"/>
                <w:sz w:val="24"/>
                <w:szCs w:val="24"/>
                <w:lang w:val="en-US"/>
              </w:rPr>
              <w:t>CPI (Urban)</w:t>
            </w:r>
          </w:p>
        </w:tc>
        <w:tc>
          <w:tcPr>
            <w:tcW w:w="0" w:type="auto"/>
            <w:vAlign w:val="center"/>
            <w:hideMark/>
          </w:tcPr>
          <w:p>
            <w:pPr>
              <w:spacing w:lineRule="auto" w:line="360" w:before="240" w:after="240" w:beforeAutospacing="0" w:afterAutospacing="0"/>
              <w:jc w:val="both"/>
              <w:rPr>
                <w:rFonts w:ascii="Times New Roman" w:hAnsi="Times New Roman" w:cs="Times New Roman" w:eastAsia="Times New Roman"/>
                <w:color w:val="000000" w:themeColor="text1"/>
                <w:sz w:val="24"/>
                <w:szCs w:val="24"/>
                <w:lang w:val="en-US"/>
              </w:rPr>
            </w:pPr>
            <w:r>
              <w:rPr>
                <w:rFonts w:ascii="Times New Roman" w:hAnsi="Times New Roman" w:cs="Times New Roman" w:eastAsia="Times New Roman"/>
                <w:color w:val="000000" w:themeColor="text1"/>
                <w:sz w:val="24"/>
                <w:szCs w:val="24"/>
                <w:lang w:val="en-US"/>
              </w:rPr>
              <w:t>Consumer Price Index – Urban Areas</w:t>
            </w:r>
          </w:p>
        </w:tc>
      </w:tr>
      <w:tr>
        <w:trPr>
          <w:tblCellSpacing w:w="15" w:type="dxa"/>
        </w:trPr>
        <w:tc>
          <w:tcPr>
            <w:tcW w:w="0" w:type="auto"/>
            <w:vAlign w:val="center"/>
            <w:hideMark/>
          </w:tcPr>
          <w:p>
            <w:pPr>
              <w:spacing w:lineRule="auto" w:line="360" w:before="240" w:after="240" w:beforeAutospacing="0" w:afterAutospacing="0"/>
              <w:jc w:val="both"/>
              <w:rPr>
                <w:rFonts w:ascii="Times New Roman" w:hAnsi="Times New Roman" w:cs="Times New Roman" w:eastAsia="Times New Roman"/>
                <w:color w:val="000000" w:themeColor="text1"/>
                <w:sz w:val="24"/>
                <w:szCs w:val="24"/>
                <w:lang w:val="en-US"/>
              </w:rPr>
            </w:pPr>
            <w:r>
              <w:rPr>
                <w:rFonts w:ascii="Times New Roman" w:hAnsi="Times New Roman" w:cs="Times New Roman" w:eastAsia="Times New Roman"/>
                <w:color w:val="000000" w:themeColor="text1"/>
                <w:sz w:val="24"/>
                <w:szCs w:val="24"/>
                <w:lang w:val="en-US"/>
              </w:rPr>
              <w:t>CPI (Rural)</w:t>
            </w:r>
          </w:p>
        </w:tc>
        <w:tc>
          <w:tcPr>
            <w:tcW w:w="0" w:type="auto"/>
            <w:vAlign w:val="center"/>
            <w:hideMark/>
          </w:tcPr>
          <w:p>
            <w:pPr>
              <w:spacing w:lineRule="auto" w:line="360" w:before="240" w:after="240" w:beforeAutospacing="0" w:afterAutospacing="0"/>
              <w:jc w:val="both"/>
              <w:rPr>
                <w:rFonts w:ascii="Times New Roman" w:hAnsi="Times New Roman" w:cs="Times New Roman" w:eastAsia="Times New Roman"/>
                <w:color w:val="000000" w:themeColor="text1"/>
                <w:sz w:val="24"/>
                <w:szCs w:val="24"/>
                <w:lang w:val="en-US"/>
              </w:rPr>
            </w:pPr>
            <w:r>
              <w:rPr>
                <w:rFonts w:ascii="Times New Roman" w:hAnsi="Times New Roman" w:cs="Times New Roman" w:eastAsia="Times New Roman"/>
                <w:color w:val="000000" w:themeColor="text1"/>
                <w:sz w:val="24"/>
                <w:szCs w:val="24"/>
                <w:lang w:val="en-US"/>
              </w:rPr>
              <w:t>Consumer Price Index – Rural Areas</w:t>
            </w:r>
          </w:p>
        </w:tc>
      </w:tr>
      <w:tr>
        <w:trPr>
          <w:tblCellSpacing w:w="15" w:type="dxa"/>
        </w:trPr>
        <w:tc>
          <w:tcPr>
            <w:tcW w:w="0" w:type="auto"/>
            <w:vAlign w:val="center"/>
            <w:hideMark/>
          </w:tcPr>
          <w:p>
            <w:pPr>
              <w:spacing w:lineRule="auto" w:line="360" w:before="240" w:after="240" w:beforeAutospacing="0" w:afterAutospacing="0"/>
              <w:jc w:val="both"/>
              <w:rPr>
                <w:rFonts w:ascii="Times New Roman" w:hAnsi="Times New Roman" w:cs="Times New Roman" w:eastAsia="Times New Roman"/>
                <w:color w:val="000000" w:themeColor="text1"/>
                <w:sz w:val="24"/>
                <w:szCs w:val="24"/>
                <w:lang w:val="en-US"/>
              </w:rPr>
            </w:pPr>
            <w:r>
              <w:rPr>
                <w:rFonts w:ascii="Times New Roman" w:hAnsi="Times New Roman" w:cs="Times New Roman" w:eastAsia="Times New Roman"/>
                <w:color w:val="000000" w:themeColor="text1"/>
                <w:sz w:val="24"/>
                <w:szCs w:val="24"/>
                <w:lang w:val="en-US"/>
              </w:rPr>
              <w:t>CPI (All Items)</w:t>
            </w:r>
          </w:p>
        </w:tc>
        <w:tc>
          <w:tcPr>
            <w:tcW w:w="0" w:type="auto"/>
            <w:vAlign w:val="center"/>
            <w:hideMark/>
          </w:tcPr>
          <w:p>
            <w:pPr>
              <w:spacing w:lineRule="auto" w:line="360" w:before="240" w:after="240" w:beforeAutospacing="0" w:afterAutospacing="0"/>
              <w:jc w:val="both"/>
              <w:rPr>
                <w:rFonts w:ascii="Times New Roman" w:hAnsi="Times New Roman" w:cs="Times New Roman" w:eastAsia="Times New Roman"/>
                <w:color w:val="000000" w:themeColor="text1"/>
                <w:sz w:val="24"/>
                <w:szCs w:val="24"/>
                <w:lang w:val="en-US"/>
              </w:rPr>
            </w:pPr>
            <w:r>
              <w:rPr>
                <w:rFonts w:ascii="Times New Roman" w:hAnsi="Times New Roman" w:cs="Times New Roman" w:eastAsia="Times New Roman"/>
                <w:color w:val="000000" w:themeColor="text1"/>
                <w:sz w:val="24"/>
                <w:szCs w:val="24"/>
                <w:lang w:val="en-US"/>
              </w:rPr>
              <w:t>Consumer Price Index – All Items</w:t>
            </w:r>
          </w:p>
        </w:tc>
      </w:tr>
      <w:tr>
        <w:trPr>
          <w:tblCellSpacing w:w="15" w:type="dxa"/>
        </w:trPr>
        <w:tc>
          <w:tcPr>
            <w:tcW w:w="0" w:type="auto"/>
            <w:vAlign w:val="center"/>
            <w:hideMark/>
          </w:tcPr>
          <w:p>
            <w:pPr>
              <w:spacing w:lineRule="auto" w:line="360" w:before="240" w:after="240" w:beforeAutospacing="0" w:afterAutospacing="0"/>
              <w:jc w:val="both"/>
              <w:rPr>
                <w:rFonts w:ascii="Times New Roman" w:hAnsi="Times New Roman" w:cs="Times New Roman" w:eastAsia="Times New Roman"/>
                <w:color w:val="000000" w:themeColor="text1"/>
                <w:sz w:val="24"/>
                <w:szCs w:val="24"/>
                <w:lang w:val="en-US"/>
              </w:rPr>
            </w:pPr>
            <w:r>
              <w:rPr>
                <w:rFonts w:ascii="Times New Roman" w:hAnsi="Times New Roman" w:cs="Times New Roman" w:eastAsia="Times New Roman"/>
                <w:color w:val="000000" w:themeColor="text1"/>
                <w:sz w:val="24"/>
                <w:szCs w:val="24"/>
                <w:lang w:val="en-US"/>
              </w:rPr>
              <w:t>RF</w:t>
            </w:r>
          </w:p>
        </w:tc>
        <w:tc>
          <w:tcPr>
            <w:tcW w:w="0" w:type="auto"/>
            <w:vAlign w:val="center"/>
            <w:hideMark/>
          </w:tcPr>
          <w:p>
            <w:pPr>
              <w:spacing w:lineRule="auto" w:line="360" w:before="240" w:after="240" w:beforeAutospacing="0" w:afterAutospacing="0"/>
              <w:jc w:val="both"/>
              <w:rPr>
                <w:rFonts w:ascii="Times New Roman" w:hAnsi="Times New Roman" w:cs="Times New Roman" w:eastAsia="Times New Roman"/>
                <w:color w:val="000000" w:themeColor="text1"/>
                <w:sz w:val="24"/>
                <w:szCs w:val="24"/>
                <w:lang w:val="en-US"/>
              </w:rPr>
            </w:pPr>
            <w:r>
              <w:rPr>
                <w:rFonts w:ascii="Times New Roman" w:hAnsi="Times New Roman" w:cs="Times New Roman" w:eastAsia="Times New Roman"/>
                <w:color w:val="000000" w:themeColor="text1"/>
                <w:sz w:val="24"/>
                <w:szCs w:val="24"/>
                <w:lang w:val="en-US"/>
              </w:rPr>
              <w:t>Random Forest</w:t>
            </w:r>
          </w:p>
        </w:tc>
      </w:tr>
      <w:tr>
        <w:trPr>
          <w:tblCellSpacing w:w="15" w:type="dxa"/>
        </w:trPr>
        <w:tc>
          <w:tcPr>
            <w:tcW w:w="0" w:type="auto"/>
            <w:vAlign w:val="center"/>
            <w:hideMark/>
          </w:tcPr>
          <w:p>
            <w:pPr>
              <w:spacing w:lineRule="auto" w:line="360" w:before="240" w:after="240" w:beforeAutospacing="0" w:afterAutospacing="0"/>
              <w:jc w:val="both"/>
              <w:rPr>
                <w:rFonts w:ascii="Times New Roman" w:hAnsi="Times New Roman" w:cs="Times New Roman" w:eastAsia="Times New Roman"/>
                <w:color w:val="000000" w:themeColor="text1"/>
                <w:sz w:val="24"/>
                <w:szCs w:val="24"/>
                <w:lang w:val="en-US"/>
              </w:rPr>
            </w:pPr>
            <w:r>
              <w:rPr>
                <w:rFonts w:ascii="Times New Roman" w:hAnsi="Times New Roman" w:cs="Times New Roman" w:eastAsia="Times New Roman"/>
                <w:color w:val="000000" w:themeColor="text1"/>
                <w:sz w:val="24"/>
                <w:szCs w:val="24"/>
                <w:lang w:val="en-US"/>
              </w:rPr>
              <w:t>LR</w:t>
            </w:r>
          </w:p>
        </w:tc>
        <w:tc>
          <w:tcPr>
            <w:tcW w:w="0" w:type="auto"/>
            <w:vAlign w:val="center"/>
            <w:hideMark/>
          </w:tcPr>
          <w:p>
            <w:pPr>
              <w:spacing w:lineRule="auto" w:line="360" w:before="240" w:after="240" w:beforeAutospacing="0" w:afterAutospacing="0"/>
              <w:jc w:val="both"/>
              <w:rPr>
                <w:rFonts w:ascii="Times New Roman" w:hAnsi="Times New Roman" w:cs="Times New Roman" w:eastAsia="Times New Roman"/>
                <w:color w:val="000000" w:themeColor="text1"/>
                <w:sz w:val="24"/>
                <w:szCs w:val="24"/>
                <w:lang w:val="en-US"/>
              </w:rPr>
            </w:pPr>
            <w:r>
              <w:rPr>
                <w:rFonts w:ascii="Times New Roman" w:hAnsi="Times New Roman" w:cs="Times New Roman" w:eastAsia="Times New Roman"/>
                <w:color w:val="000000" w:themeColor="text1"/>
                <w:sz w:val="24"/>
                <w:szCs w:val="24"/>
                <w:lang w:val="en-US"/>
              </w:rPr>
              <w:t>Linear Regression</w:t>
            </w:r>
          </w:p>
        </w:tc>
      </w:tr>
    </w:tbl>
    <w:p>
      <w:pPr>
        <w:spacing w:lineRule="auto" w:line="360" w:before="240" w:after="240" w:beforeAutospacing="0" w:afterAutospacing="0"/>
        <w:jc w:val="both"/>
        <w:rPr>
          <w:rFonts w:ascii="Times New Roman" w:hAnsi="Times New Roman" w:cs="Times New Roman" w:eastAsia="Times New Roman"/>
          <w:color w:val="000000" w:themeColor="text1"/>
          <w:sz w:val="24"/>
          <w:szCs w:val="24"/>
        </w:rPr>
      </w:pPr>
    </w:p>
    <w:p>
      <w:pPr>
        <w:spacing w:lineRule="auto" w:line="360" w:before="240" w:after="240" w:beforeAutospacing="0" w:afterAutospacing="0"/>
        <w:jc w:val="both"/>
        <w:rPr>
          <w:rFonts w:ascii="Times New Roman" w:hAnsi="Times New Roman" w:cs="Times New Roman" w:eastAsia="Times New Roman"/>
          <w:color w:val="000000" w:themeColor="text1"/>
          <w:sz w:val="24"/>
          <w:szCs w:val="24"/>
        </w:rPr>
      </w:pPr>
    </w:p>
    <w:p>
      <w:pPr>
        <w:spacing w:lineRule="auto" w:line="360" w:before="240" w:after="240" w:beforeAutospacing="0" w:afterAutospacing="0"/>
        <w:jc w:val="both"/>
        <w:rPr>
          <w:rFonts w:ascii="Times New Roman" w:hAnsi="Times New Roman" w:cs="Times New Roman" w:eastAsia="Times New Roman"/>
          <w:color w:val="000000" w:themeColor="text1"/>
          <w:sz w:val="24"/>
          <w:szCs w:val="24"/>
        </w:rPr>
      </w:pPr>
    </w:p>
    <w:p>
      <w:pPr>
        <w:spacing w:lineRule="auto" w:line="360" w:before="240" w:after="240" w:beforeAutospacing="0" w:afterAutospacing="0"/>
        <w:jc w:val="both"/>
        <w:rPr>
          <w:rFonts w:ascii="Times New Roman" w:hAnsi="Times New Roman" w:cs="Times New Roman" w:eastAsia="Times New Roman"/>
          <w:color w:val="000000" w:themeColor="text1"/>
          <w:sz w:val="24"/>
          <w:szCs w:val="24"/>
        </w:rPr>
      </w:pPr>
    </w:p>
    <w:p>
      <w:pPr>
        <w:spacing w:lineRule="auto" w:line="360" w:before="240" w:after="240" w:beforeAutospacing="0" w:afterAutospacing="0"/>
        <w:jc w:val="both"/>
        <w:rPr>
          <w:rFonts w:ascii="Times New Roman" w:hAnsi="Times New Roman" w:cs="Times New Roman" w:eastAsia="Times New Roman"/>
          <w:color w:val="000000" w:themeColor="text1"/>
          <w:sz w:val="24"/>
          <w:szCs w:val="24"/>
        </w:rPr>
      </w:pPr>
    </w:p>
    <w:p>
      <w:pPr>
        <w:pStyle w:val="P1"/>
        <w:spacing w:lineRule="auto" w:line="360" w:before="240" w:after="240" w:beforeAutospacing="0" w:afterAutospacing="0"/>
        <w:ind w:left="0"/>
        <w:jc w:val="both"/>
        <w:rPr>
          <w:color w:val="000000" w:themeColor="text1"/>
        </w:rPr>
      </w:pPr>
      <w:bookmarkStart w:id="7" w:name="_eelmcm2puvqb"/>
      <w:bookmarkEnd w:id="7"/>
    </w:p>
    <w:p>
      <w:pPr>
        <w:pStyle w:val="P1"/>
        <w:spacing w:lineRule="auto" w:line="360" w:before="240" w:after="240" w:beforeAutospacing="0" w:afterAutospacing="0"/>
        <w:ind w:left="0"/>
        <w:jc w:val="both"/>
        <w:rPr>
          <w:color w:val="000000" w:themeColor="text1"/>
          <w:lang w:val="en-US"/>
        </w:rPr>
      </w:pPr>
      <w:bookmarkStart w:id="8" w:name="_p6lx8nau3ed1"/>
      <w:bookmarkEnd w:id="8"/>
      <w:bookmarkStart w:id="9" w:name="_Toc217422066"/>
      <w:r>
        <w:rPr>
          <w:color w:val="000000" w:themeColor="text1"/>
          <w:lang w:val="en-US"/>
        </w:rPr>
        <w:t>Chapter</w:t>
      </w:r>
      <w:r>
        <w:rPr>
          <w:color w:val="000000" w:themeColor="text1"/>
          <w:spacing w:val="-3"/>
          <w:lang w:val="en-US"/>
        </w:rPr>
        <w:t xml:space="preserve"> </w:t>
      </w:r>
      <w:r>
        <w:rPr>
          <w:color w:val="000000" w:themeColor="text1"/>
          <w:lang w:val="en-US"/>
        </w:rPr>
        <w:t>-1</w:t>
      </w:r>
      <w:r>
        <w:rPr>
          <w:color w:val="000000" w:themeColor="text1"/>
          <w:spacing w:val="1"/>
          <w:lang w:val="en-US"/>
        </w:rPr>
        <w:t xml:space="preserve"> </w:t>
      </w:r>
      <w:r>
        <w:rPr>
          <w:color w:val="000000" w:themeColor="text1"/>
          <w:spacing w:val="-2"/>
          <w:lang w:val="en-US"/>
        </w:rPr>
        <w:t>Introduction</w:t>
      </w:r>
      <w:bookmarkEnd w:id="9"/>
    </w:p>
    <w:p>
      <w:pPr>
        <w:pStyle w:val="P2"/>
        <w:numPr>
          <w:ilvl w:val="1"/>
          <w:numId w:val="12"/>
        </w:numPr>
        <w:tabs>
          <w:tab w:val="left" w:pos="747" w:leader="none"/>
        </w:tabs>
        <w:spacing w:lineRule="auto" w:line="360" w:before="240" w:after="240" w:beforeAutospacing="0" w:afterAutospacing="0"/>
        <w:rPr>
          <w:color w:val="000000" w:themeColor="text1"/>
          <w:spacing w:val="-2"/>
          <w:lang w:val="en-US"/>
        </w:rPr>
      </w:pPr>
      <w:bookmarkStart w:id="10" w:name="_TOC_250039"/>
      <w:bookmarkEnd w:id="10"/>
      <w:bookmarkStart w:id="11" w:name="_Toc217422067"/>
      <w:r>
        <w:rPr>
          <w:color w:val="000000" w:themeColor="text1"/>
          <w:spacing w:val="-2"/>
          <w:lang w:val="en-US"/>
        </w:rPr>
        <w:t>Background of the study</w:t>
      </w:r>
      <w:bookmarkEnd w:id="11"/>
      <w:r>
        <w:rPr>
          <w:color w:val="000000" w:themeColor="text1"/>
          <w:spacing w:val="-2"/>
          <w:lang w:val="en-US"/>
        </w:rPr>
        <w:t xml:space="preserve"> </w:t>
      </w:r>
    </w:p>
    <w:p>
      <w:pPr>
        <w:spacing w:lineRule="auto" w:line="360" w:before="240" w:after="240" w:beforeAutospacing="0" w:afterAutospacing="0"/>
        <w:jc w:val="both"/>
        <w:rPr>
          <w:rFonts w:ascii="Times New Roman" w:hAnsi="Times New Roman" w:cs="Times New Roman"/>
          <w:color w:val="FF0000"/>
          <w:sz w:val="24"/>
          <w:szCs w:val="24"/>
        </w:rPr>
      </w:pPr>
      <w:r>
        <w:rPr>
          <w:rFonts w:ascii="Times New Roman" w:hAnsi="Times New Roman" w:cs="Times New Roman"/>
          <w:color w:val="000000"/>
          <w:sz w:val="24"/>
          <w:szCs w:val="24"/>
        </w:rPr>
        <w:t xml:space="preserve">The inflation rate of household has significant impact on the eroding purchasing power of consumers, especially for the low-income group in Ireland. The overall inflation rates significantly negative impact on the overall purchasing power of consumers. It develops disproportional impact on lower-income households, rural households, and older people (Weisman-Pitts, 2025; Burke-Kennedy, 2025). The presence of several survey reports illustrates the on-going financial strain of the annual inflation rate of Ireland. </w:t>
      </w:r>
      <w:r>
        <w:rPr>
          <w:rFonts w:ascii="Times New Roman" w:hAnsi="Times New Roman" w:cs="Times New Roman"/>
          <w:color w:val="000000" w:themeColor="text1"/>
          <w:sz w:val="24"/>
          <w:szCs w:val="24"/>
        </w:rPr>
        <w:t xml:space="preserve">The consumer price has grown 2.9% in the end of 2025. This is regarded to be the highest rate since early 2024. It is further noted that the increase of inflation is attributed to elements such as transportation and housing despite the growth being limited in other sector like food or housing (Moya, 2019). Even though there are headlines that note that Consumer Price Index (CPI) proved the general condition of inflation, they fail to gather the manner in which the price change has been spread over the varied households across different locations. The analysis that is disaggregated denotes that there is scope of difference in the inflation over the characteristic of their income level, location and period. For instance, the CSO members have calculated that by March 2023, the rural household along with the homes that have limited income and those that has a specific period faced with greater level of inflation in contrast to national CPI. It is also noted that it is the energy and food components that have contributed immensely for the price rise for rural as well as lower income people (Central Statistics Office, 2023). </w:t>
      </w:r>
    </w:p>
    <w:p>
      <w:pPr>
        <w:spacing w:lineRule="auto" w:line="360" w:before="240" w:after="240" w:beforeAutospacing="0" w:afterAutospacing="0"/>
        <w:jc w:val="both"/>
        <w:rPr>
          <w:rFonts w:ascii="Times New Roman" w:hAnsi="Times New Roman" w:cs="Times New Roman"/>
          <w:color w:val="000000" w:themeColor="text1"/>
          <w:sz w:val="24"/>
          <w:szCs w:val="24"/>
        </w:rPr>
      </w:pPr>
      <w:r>
        <w:rPr>
          <w:rFonts w:ascii="Times New Roman" w:hAnsi="Times New Roman" w:cs="Times New Roman"/>
          <w:color w:val="000000"/>
          <w:sz w:val="24"/>
          <w:szCs w:val="24"/>
        </w:rPr>
        <w:t xml:space="preserve">Additionally it can stated that the selection of empirical study focused on rural along with lower income and older households group in Ireland mainly tend to get negative impacted due to the increase of price. It is </w:t>
      </w:r>
      <w:r>
        <w:rPr>
          <w:rFonts w:ascii="Times New Roman" w:hAnsi="Times New Roman" w:cs="Times New Roman"/>
          <w:color w:val="000000" w:themeColor="text1"/>
          <w:sz w:val="24"/>
          <w:szCs w:val="24"/>
        </w:rPr>
        <w:t xml:space="preserve">mainly due to their high share of expenditure that is targeted towards essential elements such as heating, transport and energy. An evaluation conducted by Central Bank stated that an estimated inflation in the rural households had crossed the levels in the urban homes in the current era. It is mainly owing to the cost of energy (Social Justice Ireland, 2022). Moreover, poor homes have the tendency to experience greater rates of inflation in contrast to the richer sect due to the increased effect of price raise on their constrained budget. It is also due to the fact that most of their income is spent on essential requirements such energy and food (Eoin Burke-Kennedy, 2022). </w:t>
      </w:r>
    </w:p>
    <w:p>
      <w:pPr>
        <w:spacing w:lineRule="auto" w:line="360" w:before="240" w:after="240" w:beforeAutospacing="0" w:afterAutospacing="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Although it is vital to comprehend the distributed as well as location-oriented impact, the rise of inflation analysis in Ireland is mainly linked to aggregate CPI figures that have limited integration of household levels like that in rural, urban and sectorial information. Additionally, there is limited research that is conducted on advancing the analytical method like that of machine learning and time series for predicting disaggregated CIP data to recognize the rising trends. It will also aid in offering predicting details.  Dealing with these spaces is vital for designing the policy as the policymakers will be in need of a comprehensive proof on the manner in which price inflation will be differed over essential spending elements and the homes in general. This will also help them to target in resolving the root cause of price inflation in an effective manner. This particular research is thus, fuelled by t</w:t>
      </w:r>
      <w:r>
        <w:rPr>
          <w:rFonts w:ascii="Times New Roman" w:hAnsi="Times New Roman" w:cs="Times New Roman"/>
          <w:color w:val="000000"/>
          <w:sz w:val="24"/>
          <w:szCs w:val="24"/>
        </w:rPr>
        <w:t>he requirement for comprehending the inflation status of Ireland over and beyond the CPI figures. The research work evaluates the impact of the prices fluctuation and it is essential impact on the several sectors such as housing, energy, food, and transportation. By employing machine learning and th</w:t>
      </w:r>
      <w:r>
        <w:rPr>
          <w:rFonts w:ascii="Times New Roman" w:hAnsi="Times New Roman" w:cs="Times New Roman"/>
          <w:color w:val="000000" w:themeColor="text1"/>
          <w:sz w:val="24"/>
          <w:szCs w:val="24"/>
        </w:rPr>
        <w:t>e techniques of time series for the purpose of disaggregating data, the study aims to create more nuanced and actionable details into the impact of distribution of the inflation in retail price on daily Irish homes.</w:t>
      </w:r>
      <w:r>
        <w:rPr>
          <w:rFonts w:ascii="Times New Roman" w:hAnsi="Times New Roman" w:cs="Times New Roman" w:eastAsia="fkGroteskNeue"/>
          <w:color w:val="000000" w:themeColor="text1"/>
          <w:sz w:val="24"/>
          <w:szCs w:val="24"/>
        </w:rPr>
        <w:t xml:space="preserve"> Taking this into consideration, it has become essential to get precise and data-driven knowledge about how this fluctuation in the prices happen in various spending patterns between rural and urban regions. Consumer Price Index (CPI) data is being used in this research in order to analyse the location-oriented and sector-level inflation trends in Ireland right from the year 2020. In addition to that the study implements machine learning models and time-series to monitor the entire CPI. Therefore, the study places its vital focus on offering a simple yet informative overview about the recent inflation dynamics. In addition to that it as well explores what these trends would lead the low-income households of Ireland. </w:t>
      </w:r>
    </w:p>
    <w:p>
      <w:pPr>
        <w:pStyle w:val="P2"/>
        <w:numPr>
          <w:ilvl w:val="1"/>
          <w:numId w:val="12"/>
        </w:numPr>
        <w:tabs>
          <w:tab w:val="left" w:pos="747" w:leader="none"/>
        </w:tabs>
        <w:spacing w:lineRule="auto" w:line="360" w:before="240" w:after="240" w:beforeAutospacing="0" w:afterAutospacing="0"/>
        <w:ind w:hanging="384" w:left="384"/>
        <w:rPr>
          <w:color w:val="000000" w:themeColor="text1"/>
          <w:spacing w:val="-2"/>
          <w:lang w:val="en-US"/>
        </w:rPr>
      </w:pPr>
      <w:bookmarkStart w:id="12" w:name="_Toc217422068"/>
      <w:r>
        <w:rPr>
          <w:color w:val="000000" w:themeColor="text1"/>
          <w:spacing w:val="-2"/>
          <w:lang w:val="en-US"/>
        </w:rPr>
        <w:t>Problem Statement</w:t>
      </w:r>
      <w:bookmarkEnd w:id="12"/>
    </w:p>
    <w:p>
      <w:pPr>
        <w:spacing w:lineRule="auto" w:line="360" w:before="240" w:after="240" w:beforeAutospacing="0" w:afterAutospacing="0"/>
        <w:jc w:val="both"/>
        <w:rPr>
          <w:rFonts w:ascii="Times New Roman" w:hAnsi="Times New Roman" w:cs="Times New Roman" w:eastAsia="fkGroteskNeue"/>
          <w:color w:val="000000" w:themeColor="text1"/>
          <w:sz w:val="24"/>
          <w:szCs w:val="24"/>
        </w:rPr>
      </w:pPr>
      <w:r>
        <w:rPr>
          <w:rFonts w:ascii="Times New Roman" w:hAnsi="Times New Roman" w:cs="Times New Roman" w:eastAsia="fkGroteskNeue"/>
          <w:color w:val="000000" w:themeColor="text1"/>
          <w:sz w:val="24"/>
          <w:szCs w:val="24"/>
        </w:rPr>
        <w:t>In recent years, Irish households have experienced sustained increases in the cost of living, specifically for the essential goods and services like energy, food, transport and housing</w:t>
      </w:r>
      <w:r>
        <w:rPr>
          <w:rFonts w:ascii="Times New Roman" w:hAnsi="Times New Roman" w:cs="Times New Roman"/>
          <w:color w:val="000000" w:themeColor="text1"/>
        </w:rPr>
        <w:t xml:space="preserve"> </w:t>
      </w:r>
      <w:r>
        <w:rPr>
          <w:rFonts w:ascii="Times New Roman" w:hAnsi="Times New Roman" w:cs="Times New Roman" w:eastAsia="fkGroteskNeue"/>
          <w:color w:val="000000" w:themeColor="text1"/>
          <w:sz w:val="24"/>
          <w:szCs w:val="24"/>
        </w:rPr>
        <w:t xml:space="preserve">(Ceallaigh </w:t>
      </w:r>
      <w:r>
        <w:rPr>
          <w:rFonts w:ascii="Times New Roman" w:hAnsi="Times New Roman" w:cs="Times New Roman" w:eastAsia="fkGroteskNeue"/>
          <w:i w:val="1"/>
          <w:iCs w:val="1"/>
          <w:color w:val="000000" w:themeColor="text1"/>
          <w:sz w:val="24"/>
          <w:szCs w:val="24"/>
        </w:rPr>
        <w:t>et al.,</w:t>
      </w:r>
      <w:r>
        <w:rPr>
          <w:rFonts w:ascii="Times New Roman" w:hAnsi="Times New Roman" w:cs="Times New Roman" w:eastAsia="fkGroteskNeue"/>
          <w:color w:val="000000" w:themeColor="text1"/>
          <w:sz w:val="24"/>
          <w:szCs w:val="24"/>
        </w:rPr>
        <w:t xml:space="preserve"> 2024). However, national inflation figures</w:t>
      </w:r>
      <w:r>
        <w:rPr>
          <w:rFonts w:ascii="Times New Roman" w:hAnsi="Times New Roman" w:cs="Times New Roman"/>
          <w:color w:val="000000" w:themeColor="text1"/>
        </w:rPr>
        <w:t xml:space="preserve"> </w:t>
      </w:r>
      <w:r>
        <w:rPr>
          <w:rFonts w:ascii="Times New Roman" w:hAnsi="Times New Roman" w:cs="Times New Roman" w:eastAsia="fkGroteskNeue"/>
          <w:color w:val="000000" w:themeColor="text1"/>
          <w:sz w:val="24"/>
          <w:szCs w:val="24"/>
        </w:rPr>
        <w:t>including headline Consumer Price Index (CPI) figures, indicate overall price growth</w:t>
      </w:r>
      <w:r>
        <w:rPr>
          <w:rFonts w:ascii="Times New Roman" w:hAnsi="Times New Roman" w:cs="Times New Roman"/>
          <w:color w:val="000000" w:themeColor="text1"/>
        </w:rPr>
        <w:t xml:space="preserve"> </w:t>
      </w:r>
      <w:r>
        <w:rPr>
          <w:rFonts w:ascii="Times New Roman" w:hAnsi="Times New Roman" w:cs="Times New Roman" w:eastAsia="fkGroteskNeue"/>
          <w:color w:val="000000" w:themeColor="text1"/>
          <w:sz w:val="24"/>
          <w:szCs w:val="24"/>
        </w:rPr>
        <w:t xml:space="preserve">(Central Statistics Office, 2020; Globalen LLC, 2025), they provide limited insight into which industries have crucially increased, how the variation in price would be between rural and urban areas, or the most affected groups.  Hence, policymakers find it complicated to gain a clear understanding about where inflation is placing the biggest stress on household budgets. This is particularly in case of people with low-income households who spend their maximum portion of their money on basic necessities and requirements.  Furthermore, existing empirical research remains limited in the context of location-oriented and sectoral CPI data combined with latest forecasting techniques like machine learning and time-series modelling (Gausden and Hasan, 2024). By doing so, it has been possible to offer practical and simple explanation about these trends</w:t>
      </w:r>
      <w:r>
        <w:rPr>
          <w:rFonts w:ascii="Times New Roman" w:hAnsi="Times New Roman" w:cs="Times New Roman" w:eastAsia="fkGroteskNeue"/>
          <w:color w:val="000000"/>
          <w:sz w:val="24"/>
          <w:szCs w:val="24"/>
        </w:rPr>
        <w:t xml:space="preserve">. This study intends to resolve this issue by conducting rural/urban CPI data and machine learning and time-series models across key essential spending categories and comparing inflation trends between urban and rural areas in Ireland. The aim of the researcher is  providing clearer, data-driven insights into how rising prices are affecting everyday households. Therefore improper use of analytical data and relevant research journals act as the research gap that makes barriers for the overall research evaluation. </w:t>
      </w:r>
      <w:r>
        <w:rPr>
          <w:rFonts w:ascii="Times New Roman" w:hAnsi="Times New Roman" w:cs="Times New Roman" w:eastAsia="fkGroteskNeue"/>
          <w:color w:val="FF0000"/>
          <w:sz w:val="24"/>
          <w:szCs w:val="24"/>
        </w:rPr>
        <w:t xml:space="preserve">  </w:t>
      </w:r>
    </w:p>
    <w:p>
      <w:pPr>
        <w:pStyle w:val="P2"/>
        <w:numPr>
          <w:ilvl w:val="1"/>
          <w:numId w:val="12"/>
        </w:numPr>
        <w:tabs>
          <w:tab w:val="left" w:pos="747" w:leader="none"/>
        </w:tabs>
        <w:spacing w:lineRule="auto" w:line="360" w:before="240" w:after="240" w:beforeAutospacing="0" w:afterAutospacing="0"/>
        <w:rPr>
          <w:color w:val="000000" w:themeColor="text1"/>
          <w:spacing w:val="-2"/>
          <w:lang w:val="en-US"/>
        </w:rPr>
      </w:pPr>
      <w:bookmarkStart w:id="13" w:name="_Toc217422069"/>
      <w:r>
        <w:rPr>
          <w:color w:val="000000" w:themeColor="text1"/>
          <w:spacing w:val="-2"/>
          <w:lang w:val="en-US"/>
        </w:rPr>
        <w:t>Research Aim and Objectives</w:t>
      </w:r>
      <w:bookmarkEnd w:id="13"/>
    </w:p>
    <w:p>
      <w:pPr>
        <w:spacing w:lineRule="auto" w:line="360" w:before="240" w:after="240" w:beforeAutospacing="0" w:afterAutospacing="0"/>
        <w:jc w:val="both"/>
        <w:rPr>
          <w:rFonts w:ascii="Times New Roman" w:hAnsi="Times New Roman" w:cs="Times New Roman"/>
          <w:color w:val="000000" w:themeColor="text1"/>
          <w:sz w:val="24"/>
          <w:szCs w:val="24"/>
          <w:spacing w:val="-2"/>
          <w:lang w:val="en-US"/>
        </w:rPr>
      </w:pPr>
      <w:r>
        <w:rPr>
          <w:rFonts w:ascii="Times New Roman" w:hAnsi="Times New Roman" w:cs="Times New Roman"/>
          <w:color w:val="000000" w:themeColor="text1"/>
          <w:sz w:val="24"/>
          <w:szCs w:val="24"/>
          <w:spacing w:val="-2"/>
          <w:lang w:val="en-US"/>
        </w:rPr>
        <w:t>Having a clear analysis about how the Irish inflation has developed in the recent times is the predominant goal of this research. Furthermore, it also includes how influential it is to the households that too people with low-income background. This is done through examining rural/urban price changes and sector level price changes by employing simple forecasting approaches and models. The research has the below mentioned goals to accomplish this specific target:</w:t>
      </w:r>
    </w:p>
    <w:p>
      <w:pPr>
        <w:numPr>
          <w:ilvl w:val="0"/>
          <w:numId w:val="11"/>
        </w:numPr>
        <w:spacing w:lineRule="auto" w:line="360" w:before="240" w:after="240" w:beforeAutospacing="0" w:afterAutospacing="0"/>
        <w:ind w:left="1134"/>
        <w:jc w:val="both"/>
        <w:rPr>
          <w:rFonts w:ascii="Times New Roman" w:hAnsi="Times New Roman" w:cs="Times New Roman" w:eastAsia="fkGroteskNeue"/>
          <w:color w:val="000000"/>
          <w:sz w:val="24"/>
          <w:szCs w:val="24"/>
        </w:rPr>
      </w:pPr>
      <w:r>
        <w:rPr>
          <w:rFonts w:ascii="Times New Roman" w:hAnsi="Times New Roman" w:cs="Times New Roman" w:eastAsia="fkGroteskNeue"/>
          <w:color w:val="000000"/>
          <w:sz w:val="24"/>
          <w:szCs w:val="24"/>
        </w:rPr>
        <w:t>To analyse sector-level CPI data for Ireland from 2020 onwards to identify expenditure categories with the highest inflation rates.</w:t>
      </w:r>
    </w:p>
    <w:p>
      <w:pPr>
        <w:numPr>
          <w:ilvl w:val="0"/>
          <w:numId w:val="11"/>
        </w:numPr>
        <w:spacing w:lineRule="auto" w:line="360" w:before="240" w:after="240" w:beforeAutospacing="0" w:afterAutospacing="0"/>
        <w:ind w:left="1134"/>
        <w:jc w:val="both"/>
        <w:rPr>
          <w:rFonts w:ascii="Times New Roman" w:hAnsi="Times New Roman" w:cs="Times New Roman" w:eastAsia="fkGroteskNeue"/>
          <w:color w:val="000000"/>
          <w:sz w:val="24"/>
          <w:szCs w:val="24"/>
        </w:rPr>
      </w:pPr>
      <w:r>
        <w:rPr>
          <w:rFonts w:ascii="Times New Roman" w:hAnsi="Times New Roman" w:cs="Times New Roman" w:eastAsia="fkGroteskNeue"/>
          <w:color w:val="000000"/>
          <w:sz w:val="24"/>
          <w:szCs w:val="24"/>
        </w:rPr>
        <w:t>To statistically compare urban and rural CPI trends over the study period and quantify differences in inflation rates.</w:t>
      </w:r>
    </w:p>
    <w:p>
      <w:pPr>
        <w:numPr>
          <w:ilvl w:val="0"/>
          <w:numId w:val="11"/>
        </w:numPr>
        <w:spacing w:lineRule="auto" w:line="360" w:before="240" w:after="240" w:beforeAutospacing="0" w:afterAutospacing="0"/>
        <w:ind w:left="1134"/>
        <w:jc w:val="both"/>
        <w:rPr>
          <w:rFonts w:ascii="Times New Roman" w:hAnsi="Times New Roman" w:cs="Times New Roman" w:eastAsia="fkGroteskNeue"/>
          <w:color w:val="000000"/>
          <w:sz w:val="24"/>
          <w:szCs w:val="24"/>
        </w:rPr>
      </w:pPr>
      <w:r>
        <w:rPr>
          <w:rFonts w:ascii="Times New Roman" w:hAnsi="Times New Roman" w:cs="Times New Roman" w:eastAsia="fkGroteskNeue"/>
          <w:color w:val="000000"/>
          <w:sz w:val="24"/>
          <w:szCs w:val="24"/>
        </w:rPr>
        <w:t>To develop, train, and evaluate ARIMA, Linear Regression, Random Forest, and neural network models to forecast overall CPI inflation, using MAE and RMSE as performance metrics.</w:t>
      </w:r>
    </w:p>
    <w:p>
      <w:pPr>
        <w:numPr>
          <w:ilvl w:val="0"/>
          <w:numId w:val="11"/>
        </w:numPr>
        <w:spacing w:lineRule="auto" w:line="360" w:before="240" w:after="240" w:beforeAutospacing="0" w:afterAutospacing="0"/>
        <w:ind w:left="1134"/>
        <w:jc w:val="both"/>
        <w:rPr>
          <w:rFonts w:ascii="Times New Roman" w:hAnsi="Times New Roman" w:cs="Times New Roman" w:eastAsia="fkGroteskNeue"/>
          <w:color w:val="000000"/>
          <w:sz w:val="24"/>
          <w:szCs w:val="24"/>
        </w:rPr>
      </w:pPr>
      <w:r>
        <w:rPr>
          <w:rFonts w:ascii="Times New Roman" w:hAnsi="Times New Roman" w:cs="Times New Roman" w:eastAsia="fkGroteskNeue"/>
          <w:color w:val="000000"/>
          <w:sz w:val="24"/>
          <w:szCs w:val="24"/>
        </w:rPr>
        <w:t>To interpret model outputs and inflation trends to assess their implications for household budgets, with a specific focus on low-income households.</w:t>
      </w:r>
    </w:p>
    <w:p>
      <w:pPr>
        <w:pStyle w:val="P2"/>
        <w:numPr>
          <w:ilvl w:val="1"/>
          <w:numId w:val="12"/>
        </w:numPr>
        <w:tabs>
          <w:tab w:val="left" w:pos="747" w:leader="none"/>
        </w:tabs>
        <w:spacing w:lineRule="auto" w:line="360" w:before="240" w:after="240" w:beforeAutospacing="0" w:afterAutospacing="0"/>
        <w:ind w:hanging="384" w:left="384"/>
        <w:rPr>
          <w:color w:val="000000" w:themeColor="text1"/>
          <w:spacing w:val="-2"/>
          <w:lang w:val="en-US"/>
        </w:rPr>
      </w:pPr>
      <w:bookmarkStart w:id="14" w:name="_Toc217422070"/>
      <w:r>
        <w:rPr>
          <w:color w:val="000000" w:themeColor="text1"/>
          <w:spacing w:val="-2"/>
          <w:lang w:val="en-US"/>
        </w:rPr>
        <w:t>Research Questions</w:t>
      </w:r>
      <w:bookmarkEnd w:id="14"/>
    </w:p>
    <w:p>
      <w:pPr>
        <w:pStyle w:val="P12"/>
        <w:numPr>
          <w:ilvl w:val="0"/>
          <w:numId w:val="13"/>
        </w:numPr>
        <w:spacing w:lineRule="auto" w:line="360" w:before="240" w:after="240" w:beforeAutospacing="0" w:afterAutospacing="0"/>
        <w:ind w:hanging="386" w:left="1276"/>
        <w:contextualSpacing w:val="0"/>
        <w:jc w:val="both"/>
        <w:rPr>
          <w:rFonts w:ascii="Times New Roman" w:hAnsi="Times New Roman" w:cs="Times New Roman"/>
          <w:color w:val="000000" w:themeColor="text1"/>
          <w:sz w:val="24"/>
          <w:szCs w:val="24"/>
          <w:lang w:val="en-US" w:eastAsia="en-US"/>
        </w:rPr>
      </w:pPr>
      <w:r>
        <w:rPr>
          <w:rFonts w:ascii="Times New Roman" w:hAnsi="Times New Roman" w:cs="Times New Roman"/>
          <w:color w:val="000000" w:themeColor="text1"/>
          <w:sz w:val="24"/>
          <w:szCs w:val="24"/>
          <w:lang w:val="en-US" w:eastAsia="en-US"/>
        </w:rPr>
        <w:t>Which CPI expenditure categories in Ireland have experienced the largest price increases since 2020?</w:t>
      </w:r>
    </w:p>
    <w:p>
      <w:pPr>
        <w:pStyle w:val="P12"/>
        <w:numPr>
          <w:ilvl w:val="0"/>
          <w:numId w:val="13"/>
        </w:numPr>
        <w:spacing w:lineRule="auto" w:line="360" w:before="240" w:after="240" w:beforeAutospacing="0" w:afterAutospacing="0"/>
        <w:ind w:hanging="386" w:left="1276"/>
        <w:contextualSpacing w:val="0"/>
        <w:jc w:val="both"/>
        <w:rPr>
          <w:rFonts w:ascii="Times New Roman" w:hAnsi="Times New Roman" w:cs="Times New Roman"/>
          <w:color w:val="000000" w:themeColor="text1"/>
          <w:sz w:val="24"/>
          <w:szCs w:val="24"/>
          <w:lang w:val="en-US" w:eastAsia="en-US"/>
        </w:rPr>
      </w:pPr>
      <w:r>
        <w:rPr>
          <w:rFonts w:ascii="Times New Roman" w:hAnsi="Times New Roman" w:cs="Times New Roman"/>
          <w:color w:val="000000" w:themeColor="text1"/>
          <w:sz w:val="24"/>
          <w:szCs w:val="24"/>
          <w:lang w:val="en-US" w:eastAsia="en-US"/>
        </w:rPr>
        <w:t>Are there significant differences in CPI inflation trends between urban and rural areas in Ireland?</w:t>
      </w:r>
    </w:p>
    <w:p>
      <w:pPr>
        <w:pStyle w:val="P12"/>
        <w:numPr>
          <w:ilvl w:val="0"/>
          <w:numId w:val="13"/>
        </w:numPr>
        <w:spacing w:lineRule="auto" w:line="360" w:before="240" w:after="240" w:beforeAutospacing="0" w:afterAutospacing="0"/>
        <w:ind w:hanging="386" w:left="1276"/>
        <w:contextualSpacing w:val="0"/>
        <w:jc w:val="both"/>
        <w:rPr>
          <w:rFonts w:ascii="Times New Roman" w:hAnsi="Times New Roman" w:cs="Times New Roman"/>
          <w:color w:val="000000" w:themeColor="text1"/>
          <w:sz w:val="24"/>
          <w:szCs w:val="24"/>
          <w:lang w:val="en-US" w:eastAsia="en-US"/>
        </w:rPr>
      </w:pPr>
      <w:r>
        <w:rPr>
          <w:rFonts w:ascii="Times New Roman" w:hAnsi="Times New Roman" w:cs="Times New Roman"/>
          <w:color w:val="000000" w:themeColor="text1"/>
          <w:sz w:val="24"/>
          <w:szCs w:val="24"/>
          <w:lang w:val="en-US" w:eastAsia="en-US"/>
        </w:rPr>
        <w:t>How accurately can time-series and machine learning models forecast overall CPI inflation in Ireland?</w:t>
      </w:r>
    </w:p>
    <w:p>
      <w:pPr>
        <w:pStyle w:val="P12"/>
        <w:numPr>
          <w:ilvl w:val="0"/>
          <w:numId w:val="13"/>
        </w:numPr>
        <w:spacing w:lineRule="auto" w:line="360" w:before="240" w:after="240" w:beforeAutospacing="0" w:afterAutospacing="0"/>
        <w:ind w:hanging="386" w:left="1276"/>
        <w:contextualSpacing w:val="0"/>
        <w:jc w:val="both"/>
        <w:rPr>
          <w:rFonts w:ascii="Times New Roman" w:hAnsi="Times New Roman" w:cs="Times New Roman"/>
          <w:color w:val="000000" w:themeColor="text1"/>
          <w:sz w:val="24"/>
          <w:szCs w:val="24"/>
          <w:lang w:val="en-US" w:eastAsia="en-US"/>
        </w:rPr>
      </w:pPr>
      <w:r>
        <w:rPr>
          <w:rFonts w:ascii="Times New Roman" w:hAnsi="Times New Roman" w:cs="Times New Roman"/>
          <w:color w:val="000000" w:themeColor="text1"/>
          <w:sz w:val="24"/>
          <w:szCs w:val="24"/>
          <w:lang w:val="en-US" w:eastAsia="en-US"/>
        </w:rPr>
        <w:t>What are the implications of observed inflation patterns for Irish households, particularly low-income households?</w:t>
      </w:r>
    </w:p>
    <w:p>
      <w:pPr>
        <w:spacing w:lineRule="auto" w:line="360" w:before="240" w:after="240" w:beforeAutospacing="0" w:afterAutospacing="0"/>
        <w:rPr>
          <w:rFonts w:ascii="Times New Roman" w:hAnsi="Times New Roman" w:cs="Times New Roman" w:eastAsia="Times New Roman"/>
          <w:b w:val="1"/>
          <w:bCs w:val="1"/>
          <w:color w:val="000000" w:themeColor="text1"/>
          <w:sz w:val="26"/>
          <w:szCs w:val="26"/>
          <w:spacing w:val="-2"/>
          <w:lang w:val="en-US"/>
        </w:rPr>
      </w:pPr>
      <w:r>
        <w:rPr>
          <w:rFonts w:ascii="Times New Roman" w:hAnsi="Times New Roman" w:cs="Times New Roman"/>
          <w:color w:val="000000" w:themeColor="text1"/>
          <w:spacing w:val="-2"/>
          <w:lang w:val="en-US"/>
        </w:rPr>
        <w:br w:type="page"/>
      </w:r>
    </w:p>
    <w:p>
      <w:pPr>
        <w:pStyle w:val="P2"/>
        <w:numPr>
          <w:ilvl w:val="1"/>
          <w:numId w:val="12"/>
        </w:numPr>
        <w:tabs>
          <w:tab w:val="left" w:pos="747" w:leader="none"/>
        </w:tabs>
        <w:spacing w:lineRule="auto" w:line="360" w:before="240" w:after="240" w:beforeAutospacing="0" w:afterAutospacing="0"/>
        <w:rPr>
          <w:color w:val="000000" w:themeColor="text1"/>
          <w:spacing w:val="-2"/>
          <w:lang w:val="en-US"/>
        </w:rPr>
      </w:pPr>
      <w:bookmarkStart w:id="15" w:name="_Toc217422071"/>
      <w:r>
        <w:rPr>
          <w:color w:val="000000" w:themeColor="text1"/>
          <w:spacing w:val="-2"/>
          <w:lang w:val="en-US"/>
        </w:rPr>
        <w:t>Research Methodology</w:t>
      </w:r>
      <w:bookmarkEnd w:id="15"/>
    </w:p>
    <w:p>
      <w:pPr>
        <w:spacing w:lineRule="auto" w:line="360" w:before="240" w:after="240" w:beforeAutospacing="0" w:afterAutospacing="0"/>
        <w:jc w:val="both"/>
        <w:rPr>
          <w:rFonts w:ascii="Times New Roman" w:hAnsi="Times New Roman" w:cs="Times New Roman"/>
          <w:color w:val="000000" w:themeColor="text1"/>
          <w:sz w:val="24"/>
          <w:szCs w:val="24"/>
          <w:spacing w:val="-2"/>
          <w:lang w:val="en-US"/>
        </w:rPr>
      </w:pPr>
      <w:r>
        <w:rPr>
          <w:rFonts w:ascii="Times New Roman" w:hAnsi="Times New Roman" w:cs="Times New Roman"/>
          <w:color w:val="000000" w:themeColor="text1"/>
          <w:sz w:val="24"/>
          <w:szCs w:val="24"/>
          <w:spacing w:val="-2"/>
        </w:rPr>
        <w:t>Quantitative project has been used here which subsequently resulted in the creation of machine learning and time series models to forecast and explore the Irish customer price inflation and observe what does it means t</w:t>
      </w:r>
      <w:r>
        <w:rPr>
          <w:rFonts w:ascii="Times New Roman" w:hAnsi="Times New Roman" w:cs="Times New Roman"/>
          <w:color w:val="000000"/>
          <w:sz w:val="24"/>
          <w:szCs w:val="24"/>
          <w:spacing w:val="-2"/>
        </w:rPr>
        <w:t>o the public. The overall CPI value is modelled in this study for around 30 days via ARIMA approach. Aside from this, the research work supervised learning algorithms are trained like Random Forest, Linear Regression along with complete illustration of MLP via lagged values of CPI to forecast inflation from the previous results. As the data are collected from public rather than a single organization, the efficacy of the process is clearly measured along with its level of reliability and accuracy. The study explains the patterns of inflations in the current intervals and collectively recognizes the risks for the households of Ireland and its impact on the cost reduction towards the lower-income households and rural households.</w:t>
      </w:r>
    </w:p>
    <w:p>
      <w:pPr>
        <w:pStyle w:val="P2"/>
        <w:numPr>
          <w:ilvl w:val="1"/>
          <w:numId w:val="12"/>
        </w:numPr>
        <w:tabs>
          <w:tab w:val="left" w:pos="747" w:leader="none"/>
        </w:tabs>
        <w:spacing w:lineRule="auto" w:line="360" w:before="240" w:after="240" w:beforeAutospacing="0" w:afterAutospacing="0"/>
        <w:rPr>
          <w:color w:val="000000" w:themeColor="text1"/>
          <w:spacing w:val="-2"/>
          <w:lang w:val="en-US"/>
        </w:rPr>
      </w:pPr>
      <w:bookmarkStart w:id="16" w:name="_Toc217422072"/>
      <w:r>
        <w:rPr>
          <w:color w:val="000000" w:themeColor="text1"/>
          <w:spacing w:val="-2"/>
        </w:rPr>
        <w:t>Significance of the Study</w:t>
      </w:r>
      <w:bookmarkEnd w:id="16"/>
    </w:p>
    <w:p>
      <w:pPr>
        <w:spacing w:lineRule="auto" w:line="360" w:before="240" w:after="240" w:beforeAutospacing="0" w:afterAutospacing="0"/>
        <w:jc w:val="both"/>
        <w:rPr>
          <w:rFonts w:ascii="Times New Roman" w:hAnsi="Times New Roman" w:cs="Times New Roman"/>
          <w:color w:val="000000" w:themeColor="text1"/>
          <w:sz w:val="24"/>
          <w:szCs w:val="24"/>
          <w:spacing w:val="-2"/>
          <w:lang w:val="en-US"/>
        </w:rPr>
      </w:pPr>
      <w:r>
        <w:rPr>
          <w:rFonts w:ascii="Times New Roman" w:hAnsi="Times New Roman" w:cs="Times New Roman"/>
          <w:color w:val="000000" w:themeColor="text1"/>
          <w:sz w:val="24"/>
          <w:szCs w:val="24"/>
          <w:spacing w:val="-2"/>
        </w:rPr>
        <w:t>This research is quite essential because it precisely represents the usage of machine-learning models a</w:t>
      </w:r>
      <w:r>
        <w:rPr>
          <w:rFonts w:ascii="Times New Roman" w:hAnsi="Times New Roman" w:cs="Times New Roman"/>
          <w:color w:val="000000"/>
          <w:sz w:val="24"/>
          <w:szCs w:val="24"/>
          <w:spacing w:val="-2"/>
        </w:rPr>
        <w:t xml:space="preserve">nd time-series models that will in turn help in identifying and examining Irish inflation. Aside from this, the study focused on the impact of prise inflations that influences overall society along with the policymakers and households. The main objective is to enhance the level of accuracy of short-term inflation forecasts and this is achieved by integrating the blend of supervised learning approach. Random </w:t>
      </w:r>
      <w:r>
        <w:rPr>
          <w:rFonts w:ascii="Times New Roman" w:hAnsi="Times New Roman" w:cs="Times New Roman"/>
          <w:color w:val="000000" w:themeColor="text1"/>
          <w:sz w:val="24"/>
          <w:szCs w:val="24"/>
          <w:spacing w:val="-2"/>
        </w:rPr>
        <w:t xml:space="preserve">Forest, Linear Regression and ARIMA. In addition, a special attention has been placed on the CPI and vital areas like food, transport, and housing, energy in rural and urban places. </w:t>
      </w:r>
      <w:r>
        <w:rPr>
          <w:rFonts w:ascii="Times New Roman" w:hAnsi="Times New Roman" w:cs="Times New Roman"/>
          <w:color w:val="000000" w:themeColor="text1"/>
          <w:sz w:val="24"/>
          <w:szCs w:val="24"/>
          <w:spacing w:val="-2"/>
          <w:lang w:val="en-US"/>
        </w:rPr>
        <w:t xml:space="preserve">Offering a clear picture and data-driven proof on where the impact of inflation is largely on is the ultimate goal of the research. By achieving it, people can get good idea about budget planning and will be eventually benefitted out of that. In addition to that policymakers can as well acquire better and productive outcomes and responses. It can be stated as a growing body of literature employed using machine learning and secondary statistical data that can significantly bridge the gap between recent data-based methods and traditional economic analysis. </w:t>
      </w:r>
    </w:p>
    <w:p>
      <w:pPr>
        <w:pStyle w:val="P2"/>
        <w:numPr>
          <w:ilvl w:val="1"/>
          <w:numId w:val="12"/>
        </w:numPr>
        <w:tabs>
          <w:tab w:val="left" w:pos="747" w:leader="none"/>
        </w:tabs>
        <w:spacing w:lineRule="auto" w:line="360" w:before="240" w:after="240" w:beforeAutospacing="0" w:afterAutospacing="0"/>
        <w:ind w:hanging="384" w:left="384"/>
        <w:rPr>
          <w:color w:val="000000" w:themeColor="text1"/>
          <w:spacing w:val="-2"/>
          <w:lang w:val="en-US"/>
        </w:rPr>
      </w:pPr>
      <w:bookmarkStart w:id="17" w:name="_Toc217422073"/>
      <w:r>
        <w:rPr>
          <w:color w:val="000000" w:themeColor="text1"/>
          <w:spacing w:val="-2"/>
        </w:rPr>
        <w:t>Structure of the Report</w:t>
      </w:r>
      <w:bookmarkEnd w:id="17"/>
    </w:p>
    <w:p>
      <w:pPr>
        <w:spacing w:lineRule="auto" w:line="360" w:before="240" w:after="240" w:beforeAutospacing="0" w:afterAutospacing="0"/>
        <w:jc w:val="both"/>
        <w:rPr>
          <w:rFonts w:ascii="Times New Roman" w:hAnsi="Times New Roman" w:cs="Times New Roman"/>
          <w:color w:val="000000" w:themeColor="text1"/>
          <w:sz w:val="24"/>
          <w:szCs w:val="24"/>
          <w:lang w:val="en-US"/>
        </w:rPr>
      </w:pPr>
      <w:r>
        <w:rPr>
          <w:rFonts w:ascii="Times New Roman" w:hAnsi="Times New Roman" w:cs="Times New Roman" w:eastAsia="fkGroteskNeue"/>
          <w:color w:val="000000" w:themeColor="text1"/>
          <w:sz w:val="24"/>
          <w:szCs w:val="24"/>
        </w:rPr>
        <w:t xml:space="preserve">The report has been split into five chapters. Chapter 1 involves the introduction part about the Irish background on inflation, the research questions, research objectives and problem statement. Chapter 2 includes the literature review part along with the present analysis about CPI and its policy reports. Furthermore, the variations in inflation amidst rural and urban regions are well explained in the chapter along with machine learning forecasting techniques and ARIMA. At the end the research gap is significantly identified and also the project issue is as well addressed. </w:t>
      </w:r>
      <w:r>
        <w:rPr>
          <w:rFonts w:ascii="Times New Roman" w:hAnsi="Times New Roman" w:cs="Times New Roman"/>
          <w:color w:val="000000" w:themeColor="text1"/>
          <w:sz w:val="24"/>
          <w:szCs w:val="24"/>
          <w:lang w:val="en-US"/>
        </w:rPr>
        <w:t xml:space="preserve">On the basis of ARIMA and supervised learning models (MLP, Linear Regression and Random Forest) and RMSE and MAE evaluated, the methodology in chapter 3 precisely explains the usage of secondary CPI data, sectoral indices and development of overall indices along with the indices of rural and urban areas. Discussion and Results will be given in Chapter 4 of the research. This includes detailed empirical outcomes and their interpretation with regards to the research questions like recent trends of CPI, location and sector differences and short-term predictions of CPI. At last, the final chapter 5 involves recommendations and conclusion along with the summary about the research, its limitation and few practical suggestions for the upcoming research. It doesn’t stop there as it also includes possible realistic applications to monitor future progress of the technique. </w:t>
      </w:r>
    </w:p>
    <w:p>
      <w:pPr>
        <w:spacing w:lineRule="auto" w:line="360" w:before="240" w:after="240" w:beforeAutospacing="0" w:afterAutospacing="0"/>
        <w:rPr>
          <w:rFonts w:ascii="Times New Roman" w:hAnsi="Times New Roman" w:cs="Times New Roman"/>
          <w:color w:val="000000" w:themeColor="text1"/>
          <w:sz w:val="24"/>
          <w:szCs w:val="24"/>
          <w:lang w:val="en-US"/>
        </w:rPr>
      </w:pPr>
    </w:p>
    <w:p>
      <w:pPr>
        <w:spacing w:lineRule="auto" w:line="360" w:before="240" w:after="240" w:beforeAutospacing="0" w:afterAutospacing="0"/>
        <w:jc w:val="center"/>
        <w:rPr>
          <w:rFonts w:ascii="Times New Roman" w:hAnsi="Times New Roman" w:cs="Times New Roman"/>
          <w:color w:val="000000" w:themeColor="text1"/>
          <w:sz w:val="24"/>
          <w:szCs w:val="24"/>
          <w:lang w:val="en-US"/>
        </w:rPr>
      </w:pPr>
      <w:bookmarkStart w:id="18" w:name="_Hlk215959047"/>
      <w:r>
        <w:rPr>
          <w:rFonts w:ascii="Times New Roman" w:hAnsi="Times New Roman" w:cs="Times New Roman"/>
          <w:noProof w:val="1"/>
          <w:color w:val="000000" w:themeColor="text1"/>
          <w:sz w:val="24"/>
          <w:szCs w:val="24"/>
          <w:lang w:eastAsia="en-IN"/>
        </w:rPr>
        <w:drawing>
          <wp:inline xmlns:wp="http://schemas.openxmlformats.org/drawingml/2006/wordprocessingDrawing" distT="0" distB="0" distL="0" distR="0">
            <wp:extent cx="2057400" cy="3693795"/>
            <wp:effectExtent l="19050" t="19050" r="19050" b="20955"/>
            <wp:docPr id="17776712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671279" name="Picture 1777671279"/>
                    <pic:cNvPicPr/>
                  </pic:nvPicPr>
                  <pic:blipFill dpi="0">
                    <a:blip xmlns:r="http://schemas.openxmlformats.org/officeDocument/2006/relationships" r:embed="Relimage2"/>
                    <a:srcRect/>
                    <a:stretch>
                      <a:fillRect/>
                    </a:stretch>
                  </pic:blipFill>
                  <pic:spPr>
                    <a:xfrm>
                      <a:off x="0" y="0"/>
                      <a:ext cx="2066703" cy="3711013"/>
                    </a:xfrm>
                    <a:prstGeom prst="rect"/>
                    <a:ln>
                      <a:solidFill>
                        <a:schemeClr val="tx1"/>
                      </a:solidFill>
                    </a:ln>
                  </pic:spPr>
                </pic:pic>
              </a:graphicData>
            </a:graphic>
          </wp:inline>
        </w:drawing>
      </w:r>
    </w:p>
    <w:p>
      <w:pPr>
        <w:spacing w:lineRule="auto" w:line="360" w:before="240" w:after="240" w:beforeAutospacing="0" w:afterAutospacing="0"/>
        <w:jc w:val="center"/>
        <w:rPr>
          <w:rFonts w:ascii="Times New Roman" w:hAnsi="Times New Roman" w:cs="Times New Roman"/>
          <w:b w:val="1"/>
          <w:color w:val="000000" w:themeColor="text1"/>
          <w:sz w:val="24"/>
          <w:szCs w:val="24"/>
        </w:rPr>
      </w:pPr>
      <w:r>
        <w:rPr>
          <w:rFonts w:ascii="Times New Roman" w:hAnsi="Times New Roman" w:cs="Times New Roman"/>
          <w:b w:val="1"/>
          <w:color w:val="000000" w:themeColor="text1"/>
          <w:sz w:val="24"/>
          <w:szCs w:val="24"/>
        </w:rPr>
        <w:t>Figure 1.1: Structure of Report</w:t>
      </w:r>
    </w:p>
    <w:p>
      <w:pPr>
        <w:spacing w:lineRule="auto" w:line="360" w:before="240" w:after="240" w:beforeAutospacing="0" w:afterAutospacing="0"/>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rPr>
        <w:t>(Source: SmartArt)</w:t>
      </w:r>
      <w:bookmarkEnd w:id="18"/>
    </w:p>
    <w:p>
      <w:pPr>
        <w:pStyle w:val="P2"/>
        <w:numPr>
          <w:ilvl w:val="1"/>
          <w:numId w:val="12"/>
        </w:numPr>
        <w:tabs>
          <w:tab w:val="left" w:pos="747" w:leader="none"/>
        </w:tabs>
        <w:spacing w:lineRule="auto" w:line="360" w:before="240" w:after="240" w:beforeAutospacing="0" w:afterAutospacing="0"/>
        <w:ind w:hanging="384" w:left="384"/>
        <w:rPr>
          <w:color w:val="000000" w:themeColor="text1"/>
          <w:spacing w:val="-2"/>
          <w:lang w:val="en-US"/>
        </w:rPr>
      </w:pPr>
      <w:bookmarkStart w:id="19" w:name="_Toc217422074"/>
      <w:r>
        <w:rPr>
          <w:color w:val="000000" w:themeColor="text1"/>
          <w:spacing w:val="-2"/>
          <w:lang w:val="en-US"/>
        </w:rPr>
        <w:t>Summary</w:t>
      </w:r>
      <w:bookmarkEnd w:id="19"/>
      <w:r>
        <w:rPr>
          <w:color w:val="000000" w:themeColor="text1"/>
          <w:spacing w:val="-2"/>
          <w:lang w:val="en-US"/>
        </w:rPr>
        <w:t xml:space="preserve"> </w:t>
      </w:r>
    </w:p>
    <w:p>
      <w:pPr>
        <w:spacing w:lineRule="auto" w:line="360" w:before="240" w:after="240" w:beforeAutospacing="0" w:afterAutospacing="0"/>
        <w:jc w:val="both"/>
        <w:rPr>
          <w:rFonts w:ascii="Times New Roman" w:hAnsi="Times New Roman" w:cs="Times New Roman"/>
          <w:bCs w:val="1"/>
          <w:color w:val="000000" w:themeColor="text1"/>
          <w:sz w:val="24"/>
          <w:szCs w:val="24"/>
          <w:lang w:val="en-US"/>
        </w:rPr>
      </w:pPr>
      <w:r>
        <w:rPr>
          <w:rFonts w:ascii="Times New Roman" w:hAnsi="Times New Roman" w:cs="Times New Roman"/>
          <w:color w:val="000000" w:themeColor="text1"/>
          <w:sz w:val="24"/>
          <w:szCs w:val="24"/>
          <w:lang w:val="en-US"/>
        </w:rPr>
        <w:t xml:space="preserve">This chapter is considered as nothing but a summary of the overall study including the detailed explanation about the aim, goals, and issue and research questions about the problem created by CPI inflation to the Irish households. It is indeed important to have machine learning supervised models and ARIMA and this is clearly explained in this specific research to examine the CPI trends of recent times. The methodology section exhibits the utilization of these models for the sectoral, urban-rural and total CPI indices coupled with RMSE and MAE for the evaluation criteria. </w:t>
      </w:r>
      <w:r>
        <w:rPr>
          <w:rFonts w:ascii="Times New Roman" w:hAnsi="Times New Roman" w:cs="Times New Roman"/>
          <w:bCs w:val="1"/>
          <w:color w:val="000000" w:themeColor="text1"/>
          <w:sz w:val="24"/>
          <w:szCs w:val="24"/>
          <w:lang w:val="en-US"/>
        </w:rPr>
        <w:t>This chapter as well offers report mapping that clearly represents how the following chapters will add insights and literature, empirical findings, vital conclusions and data and modeling approach. On the whole it is possible to get a precise picture about the research purpose, background and the untold risks of inflation for the households of people in Ireland.</w:t>
      </w:r>
    </w:p>
    <w:p>
      <w:pPr>
        <w:spacing w:lineRule="auto" w:line="360" w:before="240" w:after="240" w:beforeAutospacing="0" w:afterAutospacing="0"/>
        <w:rPr>
          <w:rFonts w:ascii="Times New Roman" w:hAnsi="Times New Roman" w:cs="Times New Roman" w:eastAsia="Times New Roman"/>
          <w:b w:val="1"/>
          <w:bCs w:val="1"/>
          <w:color w:val="000000" w:themeColor="text1"/>
          <w:sz w:val="28"/>
          <w:szCs w:val="28"/>
        </w:rPr>
      </w:pPr>
      <w:r>
        <w:rPr>
          <w:rFonts w:ascii="Times New Roman" w:hAnsi="Times New Roman" w:cs="Times New Roman"/>
          <w:color w:val="000000" w:themeColor="text1"/>
          <w:sz w:val="28"/>
          <w:szCs w:val="28"/>
        </w:rPr>
        <w:br w:type="page"/>
      </w:r>
    </w:p>
    <w:p>
      <w:pPr>
        <w:pStyle w:val="P1"/>
        <w:spacing w:lineRule="auto" w:line="360" w:before="240" w:after="240" w:beforeAutospacing="0" w:afterAutospacing="0"/>
        <w:ind w:left="0"/>
        <w:rPr>
          <w:color w:val="000000" w:themeColor="text1"/>
        </w:rPr>
      </w:pPr>
      <w:bookmarkStart w:id="20" w:name="_Toc217422075"/>
      <w:r>
        <w:rPr>
          <w:color w:val="000000" w:themeColor="text1"/>
        </w:rPr>
        <w:t>Chapter 2: Literature Review</w:t>
      </w:r>
      <w:bookmarkEnd w:id="20"/>
      <w:r>
        <w:rPr>
          <w:color w:val="000000" w:themeColor="text1"/>
        </w:rPr>
        <w:t xml:space="preserve"> </w:t>
      </w:r>
    </w:p>
    <w:p>
      <w:pPr>
        <w:pStyle w:val="P2"/>
        <w:spacing w:after="240" w:beforeAutospacing="0" w:afterAutospacing="0"/>
        <w:ind w:firstLine="0" w:left="0"/>
        <w:rPr>
          <w:color w:val="000000" w:themeColor="text1"/>
        </w:rPr>
      </w:pPr>
      <w:bookmarkStart w:id="21" w:name="_Toc217422076"/>
      <w:r>
        <w:rPr>
          <w:color w:val="000000" w:themeColor="text1"/>
        </w:rPr>
        <w:t>2.1 Introduction</w:t>
      </w:r>
      <w:bookmarkEnd w:id="21"/>
    </w:p>
    <w:p>
      <w:pPr>
        <w:spacing w:lineRule="auto" w:line="360" w:after="240" w:beforeAutospacing="0" w:afterAutospacing="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modern economic situation has</w:t>
      </w:r>
      <w:r>
        <w:rPr>
          <w:rFonts w:ascii="Times New Roman" w:hAnsi="Times New Roman" w:cs="Times New Roman"/>
          <w:color w:val="000000"/>
          <w:sz w:val="24"/>
          <w:szCs w:val="24"/>
        </w:rPr>
        <w:t xml:space="preserve"> realized the importance of sound inflation evaluation as it aids in understanding the effect of rising rate of household goods. It is also a detrimental factor in terms of finalizing the responses to a policy. One of the major disadvantages of the CPI is that its index miscarries achieve overall increase or decrease of the data in varied sectors that are impacted owing to inflation (Spyromitros, and Panagiotidis, 2022). Therefore, the presence of effective public governance take a essential place for developing promoting social welfare and sustainable development, encouraging people to contribute in public decision-making aggressively, and enhancing the strength of society. </w:t>
      </w:r>
      <w:r>
        <w:rPr>
          <w:rFonts w:ascii="Times New Roman" w:hAnsi="Times New Roman" w:cs="Times New Roman"/>
          <w:color w:val="000000" w:themeColor="text1"/>
          <w:sz w:val="24"/>
          <w:szCs w:val="24"/>
        </w:rPr>
        <w:t xml:space="preserve">This indeed reduce the focus on a particular sector of the society that experience higher inflationary pressure. </w:t>
      </w:r>
    </w:p>
    <w:p>
      <w:pPr>
        <w:spacing w:lineRule="auto" w:line="360" w:beforeAutospacing="0" w:afterAutospacing="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Due to a rise in the type of price rating and computing tools, the complete scope of latest modelling method comprehended that methods of machine learning and time series in researching a sector and the urban rural rise of price pattern denotes a vital scope for study. This review of literature has detailed regarding the junction of inflation pattern alongside CPI measurement and predictions made using data. The process starts with a review regarding the CPI research as an indicator of the cost of living along with the sector level, location oriented and work that denotes the manner in which the price of housing has increased alongside energy, food and transportation. It is also predicted that it can overhaul certain households in an average. </w:t>
      </w:r>
    </w:p>
    <w:p>
      <w:pPr>
        <w:spacing w:lineRule="auto" w:line="360" w:beforeAutospacing="0" w:afterAutospacing="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It progresses to deal with the models like that of ARIMA and supervised learning algorithms that have been employed to determine inflation and also deal wi</w:t>
      </w:r>
      <w:r>
        <w:rPr>
          <w:rFonts w:ascii="Times New Roman" w:hAnsi="Times New Roman" w:cs="Times New Roman"/>
          <w:color w:val="000000"/>
          <w:sz w:val="24"/>
          <w:szCs w:val="24"/>
        </w:rPr>
        <w:t>th the manner in which those methods are used to collect a detailed manner of pricing in contrast to other past practices. Additionally, Dong</w:t>
      </w:r>
      <w:r>
        <w:rPr>
          <w:rFonts w:ascii="Times New Roman" w:hAnsi="Times New Roman" w:cs="Times New Roman"/>
          <w:i w:val="1"/>
          <w:color w:val="000000"/>
          <w:sz w:val="24"/>
          <w:szCs w:val="24"/>
        </w:rPr>
        <w:t xml:space="preserve"> et al</w:t>
      </w:r>
      <w:r>
        <w:rPr>
          <w:rFonts w:ascii="Times New Roman" w:hAnsi="Times New Roman" w:cs="Times New Roman"/>
          <w:color w:val="000000"/>
          <w:sz w:val="24"/>
          <w:szCs w:val="24"/>
        </w:rPr>
        <w:t xml:space="preserve">., (2024) suggested that the application of ARTMA assist in the identification of financial distress prediction. This adoption of model allows generating effective analysis on the inflation in Ireland within the selected group. Hence, the use of ARIMA the use of the study on inflation making concentrated on secondary statistics is discussed to demonstrate evidences that are oriented on timely decision regarding consumers and the government. </w:t>
      </w:r>
      <w:r>
        <w:rPr>
          <w:rFonts w:ascii="Times New Roman" w:hAnsi="Times New Roman" w:cs="Times New Roman"/>
          <w:color w:val="000000" w:themeColor="text1"/>
          <w:sz w:val="24"/>
          <w:szCs w:val="24"/>
        </w:rPr>
        <w:t>By blending current research to the field, this chapter denotes the gaps and spaces in the current information regarding short period inflation at the household level and the manner in which it denotes how to make use of CPI prediction for handling the gap effectively.</w:t>
      </w:r>
    </w:p>
    <w:p>
      <w:pPr>
        <w:spacing w:lineRule="auto" w:line="360" w:beforeAutospacing="0" w:afterAutospacing="0"/>
        <w:rPr>
          <w:rFonts w:ascii="Times New Roman" w:hAnsi="Times New Roman" w:cs="Times New Roman" w:eastAsia="Times New Roman"/>
          <w:b w:val="1"/>
          <w:bCs w:val="1"/>
          <w:color w:val="000000" w:themeColor="text1"/>
          <w:sz w:val="26"/>
          <w:szCs w:val="26"/>
        </w:rPr>
      </w:pPr>
      <w:r>
        <w:rPr>
          <w:color w:val="000000" w:themeColor="text1"/>
        </w:rPr>
        <w:t xml:space="preserve">2.2 </w:t>
      </w:r>
      <w:r>
        <w:rPr>
          <w:rFonts w:ascii="Times New Roman" w:hAnsi="Times New Roman" w:cs="Times New Roman" w:eastAsia="Times New Roman"/>
          <w:b w:val="1"/>
          <w:bCs w:val="1"/>
          <w:color w:val="000000" w:themeColor="text1"/>
          <w:sz w:val="26"/>
          <w:szCs w:val="26"/>
        </w:rPr>
        <w:t>Theoretical Perspectives on Inflation and Household Impact</w:t>
      </w:r>
    </w:p>
    <w:p>
      <w:pPr>
        <w:spacing w:lineRule="auto" w:line="360" w:beforeAutospacing="0" w:afterAutospacing="0"/>
        <w:rPr>
          <w:rFonts w:ascii="Times New Roman" w:hAnsi="Times New Roman" w:cs="Times New Roman"/>
          <w:b w:val="1"/>
          <w:bCs w:val="1"/>
          <w:color w:val="000000" w:themeColor="text1"/>
          <w:lang w:val="en-IE"/>
        </w:rPr>
      </w:pPr>
      <w:r>
        <w:rPr>
          <w:rFonts w:ascii="Times New Roman" w:hAnsi="Times New Roman" w:cs="Times New Roman"/>
          <w:b w:val="1"/>
          <w:bCs w:val="1"/>
          <w:color w:val="000000" w:themeColor="text1"/>
          <w:sz w:val="24"/>
          <w:szCs w:val="24"/>
        </w:rPr>
        <w:t>22.1 Economic theories of inflation (demand-pull, cost-push, and monetary perspectives)</w:t>
      </w:r>
    </w:p>
    <w:p>
      <w:pPr>
        <w:spacing w:lineRule="auto" w:line="360" w:beforeAutospacing="0" w:afterAutospacing="0"/>
        <w:rPr>
          <w:rFonts w:ascii="Times New Roman" w:hAnsi="Times New Roman" w:cs="Times New Roman"/>
          <w:color w:val="000000" w:themeColor="text1"/>
          <w:sz w:val="24"/>
          <w:szCs w:val="24"/>
          <w:lang w:val="en-IE"/>
        </w:rPr>
      </w:pPr>
      <w:r>
        <w:rPr>
          <w:rFonts w:ascii="Times New Roman" w:hAnsi="Times New Roman" w:cs="Times New Roman"/>
          <w:color w:val="000000" w:themeColor="text1"/>
          <w:sz w:val="24"/>
          <w:szCs w:val="24"/>
          <w:lang w:val="en-IE"/>
        </w:rPr>
        <w:t xml:space="preserve">Exploring inflation from a theoretical foundation gives scope to assess how rising retail prices are affecting household welfare, living standards, and consumption behaviour. The ways by which savings capacity, real income, and purchasing power are influenced is better understood by drawing a comparative review of classic and contemporary economic theories. </w:t>
      </w:r>
    </w:p>
    <w:p>
      <w:pPr>
        <w:spacing w:lineRule="auto" w:line="360" w:beforeAutospacing="0" w:afterAutospacing="0"/>
        <w:jc w:val="both"/>
        <w:rPr>
          <w:rFonts w:ascii="Times New Roman" w:hAnsi="Times New Roman" w:cs="Times New Roman"/>
          <w:color w:val="000000" w:themeColor="text1"/>
          <w:sz w:val="24"/>
          <w:szCs w:val="24"/>
          <w:lang w:val="en-IE"/>
        </w:rPr>
      </w:pPr>
      <w:r>
        <w:rPr>
          <w:rFonts w:ascii="Times New Roman" w:hAnsi="Times New Roman" w:cs="Times New Roman"/>
          <w:b w:val="1"/>
          <w:i w:val="1"/>
          <w:bCs w:val="1"/>
          <w:iCs w:val="1"/>
          <w:color w:val="000000" w:themeColor="text1"/>
          <w:sz w:val="24"/>
          <w:szCs w:val="24"/>
          <w:lang w:val="en-IE"/>
        </w:rPr>
        <w:t>Demand pull inflation</w:t>
      </w:r>
      <w:r>
        <w:rPr>
          <w:rFonts w:ascii="Times New Roman" w:hAnsi="Times New Roman" w:cs="Times New Roman"/>
          <w:color w:val="000000" w:themeColor="text1"/>
          <w:sz w:val="24"/>
          <w:szCs w:val="24"/>
          <w:lang w:val="en-IE"/>
        </w:rPr>
        <w:t xml:space="preserve"> develops when aggregate demand in an economy surpasses that of the available supply (</w:t>
      </w:r>
      <w:r>
        <w:rPr>
          <w:rFonts w:ascii="Times New Roman" w:hAnsi="Times New Roman" w:cs="Times New Roman"/>
          <w:color w:val="000000" w:themeColor="text1"/>
          <w:sz w:val="24"/>
          <w:szCs w:val="24"/>
        </w:rPr>
        <w:t>Shaikh, Muhammad and Khan</w:t>
      </w:r>
      <w:r>
        <w:rPr>
          <w:rFonts w:ascii="Times New Roman" w:hAnsi="Times New Roman" w:cs="Times New Roman"/>
          <w:color w:val="000000" w:themeColor="text1"/>
          <w:sz w:val="24"/>
          <w:szCs w:val="24"/>
          <w:lang w:val="en-IE"/>
        </w:rPr>
        <w:t xml:space="preserve"> 2022). This excess demand can generate from rising disposable incomes, increased consumer confidence, strong flow of investment, and expansionary fiscal policies. The firms in this scenario increase prices as they fail to meet the demands. From a household aspect, the demand pull inflation could initially correlate with rising employment and economic growth. On the other hand, at the time of price increase over wage growth, the households go through a declining real purchase power. Ireland in the past has faced the condition of rapid economic expansion, as in post 2014 economic recovery, the people within the country managed to flex purchase power (</w:t>
      </w:r>
      <w:r>
        <w:rPr>
          <w:rFonts w:ascii="Times New Roman" w:hAnsi="Times New Roman" w:cs="Times New Roman"/>
          <w:color w:val="000000" w:themeColor="text1"/>
          <w:sz w:val="24"/>
          <w:szCs w:val="24"/>
        </w:rPr>
        <w:t xml:space="preserve">Coates </w:t>
      </w:r>
      <w:r>
        <w:rPr>
          <w:rFonts w:ascii="Times New Roman" w:hAnsi="Times New Roman" w:cs="Times New Roman"/>
          <w:i w:val="1"/>
          <w:iCs w:val="1"/>
          <w:color w:val="000000" w:themeColor="text1"/>
          <w:sz w:val="24"/>
          <w:szCs w:val="24"/>
        </w:rPr>
        <w:t>et al.</w:t>
      </w:r>
      <w:r>
        <w:rPr>
          <w:rFonts w:ascii="Times New Roman" w:hAnsi="Times New Roman" w:cs="Times New Roman"/>
          <w:color w:val="000000" w:themeColor="text1"/>
          <w:sz w:val="24"/>
          <w:szCs w:val="24"/>
        </w:rPr>
        <w:t> </w:t>
      </w:r>
      <w:r>
        <w:rPr>
          <w:rFonts w:ascii="Times New Roman" w:hAnsi="Times New Roman" w:cs="Times New Roman"/>
          <w:color w:val="000000" w:themeColor="text1"/>
          <w:sz w:val="24"/>
          <w:szCs w:val="24"/>
          <w:lang w:val="en-IE"/>
        </w:rPr>
        <w:t xml:space="preserve">2023). This lead towards higher prices of housing, retail goods, hospitality services, and childcare. Middle and low income households which share the feature of lower capacity to absorb rising prices, faced the crisis of reduced consumption and adjusted to expenditure priorities. </w:t>
      </w:r>
    </w:p>
    <w:p>
      <w:pPr>
        <w:spacing w:lineRule="auto" w:line="360" w:beforeAutospacing="0" w:afterAutospacing="0"/>
        <w:jc w:val="both"/>
        <w:rPr>
          <w:rFonts w:ascii="Times New Roman" w:hAnsi="Times New Roman" w:cs="Times New Roman"/>
          <w:color w:val="000000" w:themeColor="text1"/>
          <w:sz w:val="24"/>
          <w:szCs w:val="24"/>
          <w:lang w:val="en-IE"/>
        </w:rPr>
      </w:pPr>
      <w:r>
        <w:rPr>
          <w:rFonts w:ascii="Times New Roman" w:hAnsi="Times New Roman" w:cs="Times New Roman"/>
          <w:b w:val="1"/>
          <w:i w:val="1"/>
          <w:bCs w:val="1"/>
          <w:iCs w:val="1"/>
          <w:color w:val="000000" w:themeColor="text1"/>
          <w:sz w:val="24"/>
          <w:szCs w:val="24"/>
          <w:lang w:val="en-IE"/>
        </w:rPr>
        <w:t>Cost push inflation</w:t>
      </w:r>
      <w:r>
        <w:rPr>
          <w:rFonts w:ascii="Times New Roman" w:hAnsi="Times New Roman" w:cs="Times New Roman"/>
          <w:color w:val="000000" w:themeColor="text1"/>
          <w:sz w:val="24"/>
          <w:szCs w:val="24"/>
          <w:lang w:val="en-IE"/>
        </w:rPr>
        <w:t xml:space="preserve"> occurs when production costs increase rapidly and prompts the businesses to increase prices to ensure profitable business outcomes are achieved (</w:t>
      </w:r>
      <w:r>
        <w:rPr>
          <w:rFonts w:ascii="Times New Roman" w:hAnsi="Times New Roman" w:cs="Times New Roman"/>
          <w:color w:val="000000" w:themeColor="text1"/>
          <w:sz w:val="24"/>
          <w:szCs w:val="24"/>
        </w:rPr>
        <w:t>Nikiforos, Grothe, and Weber, 2024</w:t>
      </w:r>
      <w:r>
        <w:rPr>
          <w:rFonts w:ascii="Times New Roman" w:hAnsi="Times New Roman" w:cs="Times New Roman"/>
          <w:color w:val="000000" w:themeColor="text1"/>
          <w:sz w:val="24"/>
          <w:szCs w:val="24"/>
          <w:lang w:val="en-IE"/>
        </w:rPr>
        <w:t xml:space="preserve">). This might feature higher wages, supply chain disruptions, taxation changes, rising import costs, and increased energy prices. There is a presence of strong global integration for Ireland for which the country economy is vulnerable to global economic shocks. Volatile energy markets, rising fuel and commodity prices, and trade frictions have amplified these economic shocks in the recent period. Cost push inflation is detrimental for households because it impacts the essential goods in a major way, such as food, energy, and transport (Musarat, </w:t>
      </w:r>
      <w:r>
        <w:rPr>
          <w:rFonts w:ascii="Times New Roman" w:hAnsi="Times New Roman" w:cs="Times New Roman"/>
          <w:color w:val="000000" w:themeColor="text1"/>
          <w:sz w:val="24"/>
          <w:szCs w:val="24"/>
        </w:rPr>
        <w:t>Alaloul, and Liew, 2021</w:t>
      </w:r>
      <w:r>
        <w:rPr>
          <w:rFonts w:ascii="Times New Roman" w:hAnsi="Times New Roman" w:cs="Times New Roman"/>
          <w:color w:val="000000" w:themeColor="text1"/>
          <w:sz w:val="24"/>
          <w:szCs w:val="24"/>
          <w:lang w:val="en-IE"/>
        </w:rPr>
        <w:t xml:space="preserve">). This kind of inflation is regressive as the households spend a disproportionately large value on necessities. Financial stress condition is faced by the people of Ireland without any corresponding wage adjustments. Furthermore, this boosts the reliance on social welfare support while increasing erosion of savings, thereby widening the economic vulnerability.  </w:t>
      </w:r>
    </w:p>
    <w:p>
      <w:pPr>
        <w:spacing w:lineRule="auto" w:line="360" w:beforeAutospacing="0" w:afterAutospacing="0"/>
        <w:jc w:val="both"/>
        <w:rPr>
          <w:rFonts w:ascii="Times New Roman" w:hAnsi="Times New Roman" w:cs="Times New Roman"/>
          <w:b w:val="1"/>
          <w:bCs w:val="1"/>
          <w:color w:val="000000" w:themeColor="text1"/>
          <w:sz w:val="24"/>
          <w:szCs w:val="24"/>
          <w:lang w:val="en-IE"/>
        </w:rPr>
      </w:pPr>
      <w:r>
        <w:rPr>
          <w:rFonts w:ascii="Times New Roman" w:hAnsi="Times New Roman" w:cs="Times New Roman"/>
          <w:b w:val="1"/>
          <w:i w:val="1"/>
          <w:bCs w:val="1"/>
          <w:iCs w:val="1"/>
          <w:color w:val="000000" w:themeColor="text1"/>
          <w:sz w:val="24"/>
          <w:szCs w:val="24"/>
          <w:lang w:val="en-IE"/>
        </w:rPr>
        <w:t>Monetary perspectives on inflation</w:t>
      </w:r>
      <w:r>
        <w:rPr>
          <w:rFonts w:ascii="Times New Roman" w:hAnsi="Times New Roman" w:cs="Times New Roman"/>
          <w:color w:val="000000" w:themeColor="text1"/>
          <w:sz w:val="24"/>
          <w:szCs w:val="24"/>
          <w:lang w:val="en-IE"/>
        </w:rPr>
        <w:t xml:space="preserve"> outlines the relationship shared by money supply growth and inflation (</w:t>
      </w:r>
      <w:r>
        <w:rPr>
          <w:rFonts w:ascii="Times New Roman" w:hAnsi="Times New Roman" w:cs="Times New Roman"/>
          <w:color w:val="000000" w:themeColor="text1"/>
          <w:sz w:val="24"/>
          <w:szCs w:val="24"/>
        </w:rPr>
        <w:t xml:space="preserve">Avdiu and Unger, </w:t>
      </w:r>
      <w:r>
        <w:rPr>
          <w:rFonts w:ascii="Times New Roman" w:hAnsi="Times New Roman" w:cs="Times New Roman"/>
          <w:color w:val="000000" w:themeColor="text1"/>
          <w:sz w:val="24"/>
          <w:szCs w:val="24"/>
          <w:lang w:val="en-IE"/>
        </w:rPr>
        <w:t>2022). The core theme of this perspective is that persistency in inflation is achieved when supply of money grows faster as compared to real output. As per Eurozone context, independent monetary policy is not available for Ireland, as the inflation condition is handled by institutions, such as European Central Bank (ECB). The changes made by ECB goes to impact the household borrowing costs, credit affordability, mortgage repayments. For the Irish households, this state has major implications, as historically the country faced monetary policy induced inflation between 2015-2021 (</w:t>
      </w:r>
      <w:r>
        <w:rPr>
          <w:rFonts w:ascii="Times New Roman" w:hAnsi="Times New Roman" w:cs="Times New Roman"/>
          <w:color w:val="000000" w:themeColor="text1"/>
          <w:sz w:val="24"/>
          <w:szCs w:val="24"/>
        </w:rPr>
        <w:t>Kjosevski, 2025</w:t>
      </w:r>
      <w:r>
        <w:rPr>
          <w:rFonts w:ascii="Times New Roman" w:hAnsi="Times New Roman" w:cs="Times New Roman"/>
          <w:color w:val="000000" w:themeColor="text1"/>
          <w:sz w:val="24"/>
          <w:szCs w:val="24"/>
          <w:lang w:val="en-IE"/>
        </w:rPr>
        <w:t xml:space="preserve">). This resulted in higher demand for housing and increased borrowing. The disposable income of the households automatically declined as increased mortgage repayments occurred. Both prices and household debt burdens did not favour financially stable outcomes for households in Ireland. </w:t>
      </w:r>
    </w:p>
    <w:p>
      <w:pPr>
        <w:pStyle w:val="P2"/>
        <w:spacing w:after="240" w:beforeAutospacing="0" w:afterAutospacing="0"/>
        <w:ind w:firstLine="0" w:left="0"/>
        <w:rPr>
          <w:color w:val="000000" w:themeColor="text1"/>
          <w:sz w:val="24"/>
          <w:szCs w:val="24"/>
        </w:rPr>
      </w:pPr>
      <w:bookmarkStart w:id="22" w:name="_Toc217422077"/>
      <w:r>
        <w:rPr>
          <w:color w:val="000000" w:themeColor="text1"/>
          <w:sz w:val="24"/>
          <w:szCs w:val="24"/>
        </w:rPr>
        <w:t>2.3 CPI as a measure of inflation</w:t>
      </w:r>
      <w:bookmarkEnd w:id="22"/>
    </w:p>
    <w:p>
      <w:pPr>
        <w:spacing w:lineRule="auto" w:line="360" w:beforeAutospacing="0" w:afterAutospacing="0"/>
        <w:jc w:val="both"/>
        <w:rPr>
          <w:rFonts w:ascii="Times New Roman" w:hAnsi="Times New Roman" w:cs="Times New Roman"/>
          <w:b w:val="1"/>
          <w:bCs w:val="1"/>
          <w:color w:val="000000" w:themeColor="text1"/>
          <w:sz w:val="24"/>
          <w:szCs w:val="24"/>
        </w:rPr>
      </w:pPr>
      <w:r>
        <w:rPr>
          <w:rFonts w:ascii="Times New Roman" w:hAnsi="Times New Roman" w:cs="Times New Roman"/>
          <w:b w:val="1"/>
          <w:bCs w:val="1"/>
          <w:color w:val="000000" w:themeColor="text1"/>
          <w:sz w:val="24"/>
          <w:szCs w:val="24"/>
        </w:rPr>
        <w:t>2.3.1 Definition and construction of CPI</w:t>
      </w:r>
    </w:p>
    <w:p>
      <w:pPr>
        <w:spacing w:lineRule="auto" w:line="360" w:beforeAutospacing="0" w:afterAutospacing="0"/>
        <w:jc w:val="both"/>
        <w:rPr>
          <w:rFonts w:ascii="Times New Roman" w:hAnsi="Times New Roman" w:cs="Times New Roman"/>
          <w:color w:val="000000" w:themeColor="text1"/>
          <w:sz w:val="24"/>
          <w:szCs w:val="24"/>
          <w:lang w:val="en-IE"/>
        </w:rPr>
      </w:pPr>
      <w:r>
        <w:rPr>
          <w:rFonts w:ascii="Times New Roman" w:hAnsi="Times New Roman" w:cs="Times New Roman"/>
          <w:color w:val="000000" w:themeColor="text1"/>
          <w:sz w:val="24"/>
          <w:szCs w:val="24"/>
          <w:lang w:val="en-IE"/>
        </w:rPr>
        <w:t xml:space="preserve">A primary gauge of inflation for the policymakers, consumers, and researchers stands to be </w:t>
      </w:r>
      <w:r>
        <w:rPr>
          <w:rFonts w:ascii="Times New Roman" w:hAnsi="Times New Roman" w:cs="Times New Roman"/>
          <w:color w:val="000000" w:themeColor="text1"/>
          <w:sz w:val="24"/>
          <w:szCs w:val="24"/>
        </w:rPr>
        <w:t xml:space="preserve">Consumer Price Index (CPI). It manages to provide a quantifiable measure of changes in purchase power experienced by households while also capturing the movement of average price of goods and services. National statistical agencies in Ireland, such as CSO have the responsibility of constructing CPI based on multi-step methodology (Ha,  Kose and Ohnsorge, 2023). Consumption basket formation is done based on household expenditure surveys as essential category items are featured in it. Weight assessment is made to assign a weight reflecting its proportion of total household spending. As an example, housing and utilities most of the times hold the highest weight because of substantial expenditure towards it. Price collection is done from urban and rural locations in Ireland to gain insights on price data from retailers, online sources, and service providers. Index calculation is also done followed by updates and revisions to reflect on the changing consumer patterns and implications of inflation related measures. Consistent measure of retail price inflation is achieved via it. </w:t>
      </w:r>
    </w:p>
    <w:p>
      <w:pPr>
        <w:spacing w:lineRule="auto" w:line="360" w:beforeAutospacing="0" w:afterAutospacing="0"/>
        <w:jc w:val="both"/>
        <w:rPr>
          <w:rFonts w:ascii="Times New Roman" w:hAnsi="Times New Roman" w:cs="Times New Roman"/>
          <w:b w:val="1"/>
          <w:bCs w:val="1"/>
          <w:color w:val="000000" w:themeColor="text1"/>
          <w:sz w:val="24"/>
          <w:szCs w:val="24"/>
        </w:rPr>
      </w:pPr>
    </w:p>
    <w:p>
      <w:pPr>
        <w:pStyle w:val="P12"/>
        <w:numPr>
          <w:ilvl w:val="2"/>
          <w:numId w:val="16"/>
        </w:numPr>
        <w:spacing w:lineRule="auto" w:line="360" w:beforeAutospacing="0" w:afterAutospacing="0"/>
        <w:jc w:val="both"/>
        <w:rPr>
          <w:rFonts w:ascii="Times New Roman" w:hAnsi="Times New Roman" w:cs="Times New Roman"/>
          <w:b w:val="1"/>
          <w:bCs w:val="1"/>
          <w:color w:val="000000" w:themeColor="text1"/>
          <w:sz w:val="24"/>
          <w:szCs w:val="24"/>
        </w:rPr>
      </w:pPr>
      <w:r>
        <w:rPr>
          <w:rFonts w:ascii="Times New Roman" w:hAnsi="Times New Roman" w:cs="Times New Roman"/>
          <w:b w:val="1"/>
          <w:bCs w:val="1"/>
          <w:color w:val="000000" w:themeColor="text1"/>
          <w:sz w:val="24"/>
          <w:szCs w:val="24"/>
        </w:rPr>
        <w:t>Strengths and limitations of CPI in measuring cost-of-living changes</w:t>
      </w:r>
    </w:p>
    <w:p>
      <w:pPr>
        <w:spacing w:lineRule="auto" w:line="360" w:beforeAutospacing="0" w:afterAutospacing="0"/>
        <w:jc w:val="both"/>
        <w:rPr>
          <w:rFonts w:ascii="Times New Roman" w:hAnsi="Times New Roman" w:cs="Times New Roman"/>
          <w:color w:val="000000" w:themeColor="text1"/>
          <w:sz w:val="24"/>
          <w:szCs w:val="24"/>
          <w:lang w:val="en-IE"/>
        </w:rPr>
      </w:pPr>
      <w:r>
        <w:rPr>
          <w:rFonts w:ascii="Times New Roman" w:hAnsi="Times New Roman" w:cs="Times New Roman"/>
          <w:color w:val="000000" w:themeColor="text1"/>
          <w:sz w:val="24"/>
          <w:szCs w:val="24"/>
          <w:lang w:val="en-IE"/>
        </w:rPr>
        <w:t>There are both advantages and limitations of the CPI process used in capturing true household experiences. The strengths remain as representative coverage, consistency, application in policy adjustments, and frequent reporting. These strengths allow CPI to be a successful tool in measuring the inflation and consumer purchase pattern. Timely policy response can be framed based on CPI data. Similarly, negotiation of wages, and funds allocation to social welfare can be tuned in a better way under the influence of CPI (</w:t>
      </w:r>
      <w:r>
        <w:rPr>
          <w:rFonts w:ascii="Times New Roman" w:hAnsi="Times New Roman" w:cs="Times New Roman"/>
          <w:color w:val="000000" w:themeColor="text1"/>
          <w:sz w:val="24"/>
          <w:szCs w:val="24"/>
        </w:rPr>
        <w:t>Fox, Levell, and O’Connell, 2025</w:t>
      </w:r>
      <w:r>
        <w:rPr>
          <w:rFonts w:ascii="Times New Roman" w:hAnsi="Times New Roman" w:cs="Times New Roman"/>
          <w:color w:val="000000" w:themeColor="text1"/>
          <w:sz w:val="24"/>
          <w:szCs w:val="24"/>
          <w:lang w:val="en-IE"/>
        </w:rPr>
        <w:t xml:space="preserve">). However, there are certain limitations, including substitution bias, quality adjustment challenges, average household bias, and time lag. Despite these limitations, CPI could be still considered as a robust aggregate measure, which somewhat underestimates the living cost pressure faced by vulnerable groups. </w:t>
      </w:r>
    </w:p>
    <w:p>
      <w:pPr>
        <w:spacing w:lineRule="auto" w:line="360" w:beforeAutospacing="0" w:afterAutospacing="0"/>
        <w:jc w:val="both"/>
        <w:rPr>
          <w:rFonts w:ascii="Times New Roman" w:hAnsi="Times New Roman" w:cs="Times New Roman"/>
          <w:b w:val="1"/>
          <w:bCs w:val="1"/>
          <w:color w:val="000000" w:themeColor="text1"/>
          <w:sz w:val="24"/>
          <w:szCs w:val="24"/>
        </w:rPr>
      </w:pPr>
    </w:p>
    <w:p>
      <w:pPr>
        <w:spacing w:lineRule="auto" w:line="360" w:beforeAutospacing="0" w:afterAutospacing="0"/>
        <w:jc w:val="both"/>
        <w:rPr>
          <w:rFonts w:ascii="Times New Roman" w:hAnsi="Times New Roman" w:cs="Times New Roman"/>
          <w:b w:val="1"/>
          <w:bCs w:val="1"/>
          <w:color w:val="000000" w:themeColor="text1"/>
          <w:sz w:val="24"/>
          <w:szCs w:val="24"/>
        </w:rPr>
      </w:pPr>
      <w:r>
        <w:rPr>
          <w:rFonts w:ascii="Times New Roman" w:hAnsi="Times New Roman" w:cs="Times New Roman"/>
          <w:b w:val="1"/>
          <w:bCs w:val="1"/>
          <w:color w:val="000000" w:themeColor="text1"/>
          <w:sz w:val="24"/>
          <w:szCs w:val="24"/>
        </w:rPr>
        <w:t>2.3.3. Sectoral CPI analysis and relevance for essential goods</w:t>
      </w:r>
    </w:p>
    <w:p>
      <w:pPr>
        <w:spacing w:lineRule="auto" w:line="360" w:beforeAutospacing="0" w:afterAutospacing="0"/>
        <w:jc w:val="both"/>
        <w:rPr>
          <w:rFonts w:ascii="Times New Roman" w:hAnsi="Times New Roman" w:cs="Times New Roman"/>
          <w:b w:val="1"/>
          <w:bCs w:val="1"/>
          <w:color w:val="000000" w:themeColor="text1"/>
          <w:sz w:val="24"/>
          <w:szCs w:val="24"/>
        </w:rPr>
      </w:pPr>
      <w:r>
        <w:rPr>
          <w:rFonts w:ascii="Times New Roman" w:hAnsi="Times New Roman" w:cs="Times New Roman"/>
          <w:color w:val="000000" w:themeColor="text1"/>
          <w:sz w:val="24"/>
          <w:szCs w:val="24"/>
          <w:lang w:val="en-IE"/>
        </w:rPr>
        <w:t>Deeper insights are gained via sectoral CPI analysis as it details the effect of inflation on specific segments in an accurate manner. The spending pattern is also captured in a more data-driven manner. There is an ample degree of relevance of sectoral CPI analysis for essential goods. Housing, electricity, other fuels, and water consistently manage to drive inflation in Ireland. Rising rents intensifies the rental pressure in CPI and forces reduced disposable income. Even moderate level of inflation across health, education, and childcare services could trigger a cumulative impact on CPI (Sek, 2023). Apart from this, the mobility options are reduced as a result of high level of inflation. This goes to show that the transport sector faces a major burden to tackle inflation. Sectoral inflation is necessary in some cases, including designing of targeted subsidies, identification of inflation drivers, and understanding the vulnerabilities among socio-economic groups. Furthermore, evaluation of real-life cost of living pressure can be done in a planned manner by focusing on sectoral CPI.</w:t>
      </w:r>
    </w:p>
    <w:p>
      <w:pPr>
        <w:spacing w:lineRule="auto" w:line="360" w:beforeAutospacing="0" w:afterAutospacing="0"/>
        <w:rPr>
          <w:rFonts w:ascii="Times New Roman" w:hAnsi="Times New Roman" w:cs="Times New Roman"/>
          <w:b w:val="1"/>
          <w:bCs w:val="1"/>
          <w:color w:val="000000" w:themeColor="text1"/>
          <w:sz w:val="24"/>
          <w:szCs w:val="24"/>
        </w:rPr>
      </w:pPr>
    </w:p>
    <w:p>
      <w:pPr>
        <w:pStyle w:val="P2"/>
        <w:numPr>
          <w:ilvl w:val="1"/>
          <w:numId w:val="15"/>
        </w:numPr>
        <w:spacing w:after="240" w:beforeAutospacing="0" w:afterAutospacing="0"/>
        <w:rPr>
          <w:color w:val="000000" w:themeColor="text1"/>
        </w:rPr>
      </w:pPr>
      <w:bookmarkStart w:id="23" w:name="_Toc217422078"/>
      <w:r>
        <w:rPr>
          <w:color w:val="000000" w:themeColor="text1"/>
        </w:rPr>
        <w:t>Empirical studies</w:t>
      </w:r>
      <w:bookmarkEnd w:id="23"/>
    </w:p>
    <w:p>
      <w:pPr>
        <w:pStyle w:val="P2"/>
        <w:tabs>
          <w:tab w:val="left" w:pos="747" w:leader="none"/>
        </w:tabs>
        <w:spacing w:lineRule="auto" w:line="360" w:before="240" w:after="240" w:beforeAutospacing="0" w:afterAutospacing="0"/>
        <w:ind w:firstLine="0" w:left="0"/>
        <w:rPr>
          <w:color w:val="000000" w:themeColor="text1"/>
          <w:sz w:val="28"/>
          <w:szCs w:val="28"/>
        </w:rPr>
      </w:pPr>
      <w:bookmarkStart w:id="24" w:name="_Toc217422079"/>
      <w:r>
        <w:rPr>
          <w:color w:val="000000" w:themeColor="text1"/>
          <w:sz w:val="24"/>
          <w:szCs w:val="24"/>
        </w:rPr>
        <w:t>2.4.1 Consumer Price Index (CPI) and Sectoral Inflation</w:t>
      </w:r>
      <w:bookmarkEnd w:id="24"/>
    </w:p>
    <w:p>
      <w:pPr>
        <w:spacing w:lineRule="auto" w:line="360" w:beforeAutospacing="0" w:afterAutospacing="0"/>
        <w:jc w:val="both"/>
        <w:rPr>
          <w:rFonts w:ascii="Times New Roman" w:hAnsi="Times New Roman" w:cs="Times New Roman" w:eastAsia="fkGroteskNeue"/>
          <w:color w:val="000000" w:themeColor="text1"/>
          <w:sz w:val="24"/>
          <w:szCs w:val="24"/>
        </w:rPr>
      </w:pPr>
      <w:r>
        <w:rPr>
          <w:rFonts w:ascii="Times New Roman" w:hAnsi="Times New Roman" w:cs="Times New Roman" w:eastAsia="fkGroteskNeue"/>
          <w:color w:val="000000" w:themeColor="text1"/>
          <w:sz w:val="24"/>
          <w:szCs w:val="24"/>
        </w:rPr>
        <w:t>The use of CPI evaluation contains varied elements regarding tools of policymakers for inflation and the change of perception in CPI of the researcher to analyse the alteration in purchasing power and its related shif</w:t>
      </w:r>
      <w:r>
        <w:rPr>
          <w:rFonts w:ascii="Times New Roman" w:hAnsi="Times New Roman" w:cs="Times New Roman" w:eastAsia="fkGroteskNeue"/>
          <w:color w:val="000000"/>
          <w:sz w:val="24"/>
          <w:szCs w:val="24"/>
        </w:rPr>
        <w:t>t. The presence of effective dissemination of CPI act as a vital elements that help in developing the several comprehensive categories, such as housing, energy, food and transportation to be assisting the complete landscape of inflation. Therefore, the presence of comprehensively understand food inflation which has direct negative impact on households are under constant difficulty (Irabor</w:t>
      </w:r>
      <w:r>
        <w:rPr>
          <w:rFonts w:ascii="Times New Roman" w:hAnsi="Times New Roman" w:cs="Times New Roman" w:eastAsia="fkGroteskNeue"/>
          <w:i w:val="1"/>
          <w:color w:val="000000"/>
          <w:sz w:val="24"/>
          <w:szCs w:val="24"/>
        </w:rPr>
        <w:t xml:space="preserve"> et al</w:t>
      </w:r>
      <w:r>
        <w:rPr>
          <w:rFonts w:ascii="Times New Roman" w:hAnsi="Times New Roman" w:cs="Times New Roman" w:eastAsia="fkGroteskNeue"/>
          <w:color w:val="000000"/>
          <w:sz w:val="24"/>
          <w:szCs w:val="24"/>
        </w:rPr>
        <w:t xml:space="preserve">., 2022). Traditional methods only esteem the holistic index of the headlines, that might hinder the view of fundamental elements and position variance that leads to inflation within the society of Ireland. </w:t>
      </w:r>
      <w:r>
        <w:rPr>
          <w:rFonts w:ascii="Times New Roman" w:hAnsi="Times New Roman" w:cs="Times New Roman" w:eastAsia="fkGroteskNeue"/>
          <w:color w:val="000000" w:themeColor="text1"/>
          <w:sz w:val="24"/>
          <w:szCs w:val="24"/>
        </w:rPr>
        <w:t xml:space="preserve">Besides, pure elaborative method fails to gather the alteration in the format of the cost and the imbalanced impact on the rise of price on the sectors and household elements. </w:t>
      </w:r>
      <w:r>
        <w:rPr>
          <w:rFonts w:ascii="Times New Roman" w:hAnsi="Times New Roman" w:cs="Times New Roman" w:eastAsia="Times New Roman"/>
          <w:color w:val="000000" w:themeColor="text1"/>
          <w:sz w:val="24"/>
          <w:szCs w:val="24"/>
        </w:rPr>
        <w:t xml:space="preserve">Sectoral CPI thus gives the information not seen in aggregate measures of inflation and also depicts regressive characteristics of inflation during times of escalating prices (Anyars and Adabor, 2022). </w:t>
      </w:r>
      <w:r>
        <w:rPr>
          <w:rFonts w:ascii="Times New Roman" w:hAnsi="Times New Roman" w:cs="Times New Roman" w:eastAsia="fkGroteskNeue"/>
          <w:color w:val="000000" w:themeColor="text1"/>
          <w:sz w:val="24"/>
          <w:szCs w:val="24"/>
        </w:rPr>
        <w:t xml:space="preserve">For the purpose of dealing with the difficulties and to provide a detailed perception on the inflation, sectorial CPI analysis has evolved to be a viable tool. It can denote by offering a different indicator for the different types of expenditure along with urban and rural households. It can be discovered by a participant that some of the needs have risen quickly or the rates have increased more sharply in the past few years mainly in urban areas in contrast to rural space. These departments and the locations denote the undercurrent CPI framework that discloses the link that is present amidst varying elements of the consumption and the total inflation that will be gained by making use of simple headlines In the current study, sectorial and urban rural CPI range has been calculated on the basis of the official statistical report and cumulative alteration from 2020  are calculated wherein the departments are ranked on the basis of varying prices. This recognizes the difference that cannot be extracted by regarding the collective CPI.</w:t>
      </w:r>
    </w:p>
    <w:p>
      <w:pPr>
        <w:spacing w:lineRule="auto" w:line="360" w:before="240" w:after="24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noProof w:val="1"/>
          <w:color w:val="000000" w:themeColor="text1"/>
          <w:lang w:eastAsia="en-IN"/>
        </w:rPr>
        <w:drawing>
          <wp:inline xmlns:wp="http://schemas.openxmlformats.org/drawingml/2006/wordprocessingDrawing" distT="0" distB="0" distL="0" distR="0">
            <wp:extent cx="5318125" cy="3441065"/>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dpi="0">
                    <a:blip xmlns:r="http://schemas.openxmlformats.org/officeDocument/2006/relationships" r:embed="Relimage3"/>
                    <a:srcRect/>
                    <a:stretch>
                      <a:fillRect/>
                    </a:stretch>
                  </pic:blipFill>
                  <pic:spPr>
                    <a:xfrm>
                      <a:off x="0" y="0"/>
                      <a:ext cx="5318125" cy="3441065"/>
                    </a:xfrm>
                    <a:prstGeom prst="rect"/>
                  </pic:spPr>
                </pic:pic>
              </a:graphicData>
            </a:graphic>
          </wp:inline>
        </w:drawing>
      </w:r>
    </w:p>
    <w:p>
      <w:pPr>
        <w:pStyle w:val="P4"/>
        <w:spacing w:before="240" w:after="240" w:beforeAutospacing="0" w:afterAutospacing="0"/>
        <w:rPr>
          <w:color w:val="000000" w:themeColor="text1"/>
        </w:rPr>
      </w:pPr>
      <w:r>
        <w:rPr>
          <w:color w:val="000000" w:themeColor="text1"/>
        </w:rPr>
        <w:t xml:space="preserve">    </w:t>
      </w:r>
      <w:bookmarkStart w:id="25" w:name="_Toc217071766"/>
      <w:r>
        <w:rPr>
          <w:color w:val="000000" w:themeColor="text1"/>
        </w:rPr>
        <w:t>Figure 2.1: CPI and Sectoral Inflation Structure</w:t>
      </w:r>
      <w:bookmarkEnd w:id="25"/>
    </w:p>
    <w:p>
      <w:pPr>
        <w:spacing w:lineRule="auto" w:line="360" w:beforeAutospacing="0" w:afterAutospacing="0"/>
        <w:jc w:val="both"/>
        <w:rPr>
          <w:rFonts w:ascii="Times New Roman" w:hAnsi="Times New Roman" w:cs="Times New Roman" w:eastAsia="fkGroteskNeue"/>
          <w:color w:val="FF0000"/>
          <w:sz w:val="24"/>
          <w:szCs w:val="24"/>
        </w:rPr>
      </w:pPr>
      <w:r>
        <w:rPr>
          <w:rFonts w:ascii="Times New Roman" w:hAnsi="Times New Roman" w:cs="Times New Roman" w:eastAsia="fkGroteskNeue"/>
          <w:color w:val="000000"/>
          <w:sz w:val="24"/>
          <w:szCs w:val="24"/>
        </w:rPr>
        <w:t>Based on the above-mentioned illustrated graphical image it can illustrated that the evaluation of CPI depends several factors such as transport, household, restaurants and hotels, along with food beverages and tobacco. Therefore, the presence of CPI influences communication that influences the overall impact on the recreations and several cultural aspects. The application of CPI and the sectorial inflation has a wide range of benefits on the use of collective statistics. It facilitates the ev</w:t>
      </w:r>
      <w:r>
        <w:rPr>
          <w:rFonts w:ascii="Times New Roman" w:hAnsi="Times New Roman" w:cs="Times New Roman" w:eastAsia="fkGroteskNeue"/>
          <w:color w:val="000000" w:themeColor="text1"/>
          <w:sz w:val="24"/>
          <w:szCs w:val="24"/>
        </w:rPr>
        <w:t xml:space="preserve">aluation to weigh the varied sector that might be present within the budget of the household and the manner in which these prevail over urban as well as rural territory in link to the differences in price. As these denotes are added with the foundational predictive model, the establishment can enable revision to a shorter period of perception on the rise of inflation as CPI will denote that is ready in periods of fluctuation in the price of energy along other elements. </w:t>
      </w:r>
      <w:r>
        <w:rPr>
          <w:rFonts w:ascii="Times New Roman" w:hAnsi="Times New Roman" w:cs="Times New Roman" w:eastAsia="Times New Roman"/>
          <w:color w:val="000000" w:themeColor="text1"/>
          <w:sz w:val="24"/>
          <w:szCs w:val="24"/>
        </w:rPr>
        <w:t xml:space="preserve">Policymakers, researchers, and institutions in Ireland have been using CPI to measure the trend in the cost-of-living and make monetary and fiscal policy decisions, and to understand how the household purchasing power has been adjusted (Lydon, 2022). </w:t>
      </w:r>
      <w:r>
        <w:rPr>
          <w:rFonts w:ascii="Times New Roman" w:hAnsi="Times New Roman" w:cs="Times New Roman" w:eastAsia="fkGroteskNeue"/>
          <w:color w:val="000000" w:themeColor="text1"/>
          <w:sz w:val="24"/>
          <w:szCs w:val="24"/>
        </w:rPr>
        <w:t>In term of a policy study and empirical research the Sectorial CPI evaluation has been employed to gather details in terms of inflation and to evaluate the jolts that</w:t>
      </w:r>
      <w:r>
        <w:rPr>
          <w:rFonts w:ascii="Times New Roman" w:hAnsi="Times New Roman" w:cs="Times New Roman" w:eastAsia="fkGroteskNeue"/>
          <w:color w:val="000000"/>
          <w:sz w:val="24"/>
          <w:szCs w:val="24"/>
        </w:rPr>
        <w:t xml:space="preserve"> are passed over to varying sectors in terms of index number theory and the cost-of-living theory. Simultaneously, the CPI method is also reliant on on the high-quality sector and disaggregated details along with impactful interaction to ensure that the users are able to handle both the indexed measures along with predictions (Jansen, Jung and Salminen, 2022). Generally, hiding CPI in urban rura</w:t>
      </w:r>
      <w:r>
        <w:rPr>
          <w:rFonts w:ascii="Times New Roman" w:hAnsi="Times New Roman" w:cs="Times New Roman" w:eastAsia="fkGroteskNeue"/>
          <w:color w:val="000000" w:themeColor="text1"/>
          <w:sz w:val="24"/>
          <w:szCs w:val="24"/>
        </w:rPr>
        <w:t xml:space="preserve">l database is worthy of evaluating the index of inflation at the headline level and it can as well be justified on a particular and informed detail regarding the inflation. </w:t>
      </w:r>
    </w:p>
    <w:p>
      <w:pPr>
        <w:spacing w:lineRule="auto" w:line="360" w:before="240" w:after="240" w:beforeAutospacing="0" w:afterAutospacing="0"/>
        <w:rPr>
          <w:rFonts w:ascii="Times New Roman" w:hAnsi="Times New Roman" w:cs="Times New Roman" w:eastAsia="Times New Roman"/>
          <w:b w:val="1"/>
          <w:bCs w:val="1"/>
          <w:color w:val="000000" w:themeColor="text1"/>
          <w:sz w:val="24"/>
          <w:szCs w:val="24"/>
        </w:rPr>
      </w:pPr>
      <w:r>
        <w:rPr>
          <w:rFonts w:ascii="Times New Roman" w:hAnsi="Times New Roman" w:cs="Times New Roman"/>
          <w:color w:val="000000" w:themeColor="text1"/>
          <w:sz w:val="24"/>
          <w:szCs w:val="24"/>
        </w:rPr>
        <w:br w:type="page"/>
      </w:r>
    </w:p>
    <w:p>
      <w:pPr>
        <w:pStyle w:val="P2"/>
        <w:tabs>
          <w:tab w:val="left" w:pos="747" w:leader="none"/>
        </w:tabs>
        <w:spacing w:lineRule="auto" w:line="360" w:before="240" w:after="240" w:beforeAutospacing="0" w:afterAutospacing="0"/>
        <w:ind w:firstLine="0" w:left="0"/>
        <w:rPr>
          <w:color w:val="000000" w:themeColor="text1"/>
          <w:sz w:val="24"/>
          <w:szCs w:val="24"/>
        </w:rPr>
      </w:pPr>
      <w:bookmarkStart w:id="26" w:name="_Toc217422080"/>
      <w:r>
        <w:rPr>
          <w:color w:val="000000" w:themeColor="text1"/>
          <w:sz w:val="24"/>
          <w:szCs w:val="24"/>
        </w:rPr>
        <w:t>2.4.2 Urban vs Rural Price Differences</w:t>
      </w:r>
      <w:bookmarkEnd w:id="26"/>
    </w:p>
    <w:p>
      <w:pPr>
        <w:spacing w:lineRule="auto" w:line="360" w:beforeAutospacing="0" w:afterAutospacing="0"/>
        <w:jc w:val="both"/>
        <w:rPr>
          <w:rFonts w:ascii="Times New Roman" w:hAnsi="Times New Roman" w:cs="Times New Roman"/>
          <w:b w:val="1"/>
          <w:color w:val="000000" w:themeColor="text1"/>
          <w:sz w:val="24"/>
          <w:szCs w:val="24"/>
        </w:rPr>
      </w:pPr>
      <w:r>
        <w:rPr>
          <w:rFonts w:ascii="Times New Roman" w:hAnsi="Times New Roman" w:cs="Times New Roman"/>
          <w:color w:val="000000" w:themeColor="text1"/>
          <w:sz w:val="24"/>
          <w:szCs w:val="24"/>
        </w:rPr>
        <w:t>One of the vital theories of the cost of living in both rural and the urban price contrast in households are present in varying locations vide differing cost, earnings and greater feasibility of service. The present study states that the rural and urban households that contains separate index construction on the official CPI and the combination of major CPI data to mandate that they have a common monthly system from 2020.</w:t>
      </w:r>
      <w:r>
        <w:rPr>
          <w:rFonts w:ascii="Times New Roman" w:hAnsi="Times New Roman" w:cs="Times New Roman"/>
          <w:color w:val="000000"/>
          <w:sz w:val="24"/>
          <w:szCs w:val="24"/>
        </w:rPr>
        <w:t xml:space="preserve"> Based on the evaluation of, Sichel and Mackie (2025), the presence of CPI play essential role to identify others factors, along with their impacts towards the lifestyle of urban people. These pointers regarding CPI rural and CPI urban enable the assessment that leaks outside the scope of national average of CPI and appraises the inflation. Hence, the presence of CPI has been intense for both urban and rural places in the past years with higher rates. Comparison with the percentage alteration is possible </w:t>
      </w:r>
      <w:r>
        <w:rPr>
          <w:rFonts w:ascii="Times New Roman" w:hAnsi="Times New Roman" w:cs="Times New Roman"/>
          <w:color w:val="000000" w:themeColor="text1"/>
          <w:sz w:val="24"/>
          <w:szCs w:val="24"/>
        </w:rPr>
        <w:t xml:space="preserve">in prices range of each category after a month.  This method will ensure that any variation in attended to real difference in the range of prices over a period of time than on levels of differences.</w:t>
      </w:r>
    </w:p>
    <w:p>
      <w:pPr>
        <w:spacing w:lineRule="auto" w:line="360" w:beforeAutospacing="0" w:afterAutospacing="0"/>
        <w:jc w:val="both"/>
        <w:rPr>
          <w:rFonts w:ascii="Times New Roman" w:hAnsi="Times New Roman" w:cs="Times New Roman"/>
          <w:b w:val="1"/>
          <w:color w:val="000000" w:themeColor="text1"/>
          <w:sz w:val="24"/>
          <w:szCs w:val="24"/>
        </w:rPr>
      </w:pPr>
      <w:r>
        <w:rPr>
          <w:rFonts w:ascii="Times New Roman" w:hAnsi="Times New Roman" w:cs="Times New Roman"/>
          <w:color w:val="000000" w:themeColor="text1"/>
          <w:sz w:val="24"/>
          <w:szCs w:val="24"/>
        </w:rPr>
        <w:t xml:space="preserve">The empirical result denotes that the urban as well as the rural houses have registered vital profits in their CPI index from the period of 2020. This denotes that a wider foundation is oriented on inflation in the economy. The time series plot of CPI rural and CPI urban denotes the varying series that have shifted in the similar manner and similar turning point that denote common tremors with rising energy cost internationally. Rural households want to depend more on private transport, making them more useful to increases in fuel prices and vehicle maintenance costs (Kaiser and Barstow, 2022). This disturbs the supply chain and the common post pandemic needs to have impact on house all across the nation. There are certain periods of dramatically greater prices that can be notices like that of 2021-22. It is when the energy and price of transportation were increasing dramatically and the difference in the curves is smaller. This pattern denotes the domination of the local elements that sparks short period inflation. </w:t>
      </w:r>
    </w:p>
    <w:p>
      <w:pPr>
        <w:spacing w:lineRule="auto" w:line="360" w:beforeAutospacing="0" w:afterAutospacing="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cumulative difference depicts that rural CPI has risen marginally higher in contrast to urban CPI for the time of 2020-24. This denotes a slightly extra pressure on the inflation outside the vital urban zones. For illustration purposes, notebook predicts that urban household deals with rise of price in an average rate of 23.6% in contrast to 2020. The rural household deals with a rise of 24.9% growth in 2020. These form the variation over the 1% mark. This loss might be irrelevant in the beginning but it is an extra loss of purchasing power in the household living in the rural space that gathers over a period of time when the companies fail to increase the rate and social transfers. This statement is aided by the fact that the rural index mentions a period over the urban index and it denotes a slighter edge.</w:t>
      </w:r>
    </w:p>
    <w:p>
      <w:pPr>
        <w:spacing w:lineRule="auto" w:line="360" w:beforeAutospacing="0" w:afterAutospacing="0"/>
        <w:jc w:val="both"/>
        <w:rPr>
          <w:rFonts w:ascii="Times New Roman" w:hAnsi="Times New Roman" w:cs="Times New Roman"/>
          <w:color w:val="000000" w:themeColor="text1"/>
          <w:sz w:val="24"/>
          <w:szCs w:val="24"/>
        </w:rPr>
      </w:pPr>
      <w:r>
        <w:rPr>
          <w:rFonts w:ascii="Times New Roman" w:hAnsi="Times New Roman" w:cs="Times New Roman"/>
          <w:color w:val="000000"/>
          <w:sz w:val="24"/>
          <w:szCs w:val="24"/>
        </w:rPr>
        <w:t>The sequence of structural elements can be taken into consideration on the reason of selecting the rural CPI has bigger rise in contrast to an urban CPI. The rural families are reliant on vehicles for transportation and therefore the rural people are more vulnerable to the rise in the price of the fuels, maintenance that has drastically increased in the current situation, especially in the post pandemic situation (Del Rio</w:t>
      </w:r>
      <w:r>
        <w:rPr>
          <w:rFonts w:ascii="Times New Roman" w:hAnsi="Times New Roman" w:cs="Times New Roman"/>
          <w:i w:val="1"/>
          <w:color w:val="000000"/>
          <w:sz w:val="24"/>
          <w:szCs w:val="24"/>
        </w:rPr>
        <w:t xml:space="preserve"> et al</w:t>
      </w:r>
      <w:r>
        <w:rPr>
          <w:rFonts w:ascii="Times New Roman" w:hAnsi="Times New Roman" w:cs="Times New Roman"/>
          <w:color w:val="000000"/>
          <w:sz w:val="24"/>
          <w:szCs w:val="24"/>
        </w:rPr>
        <w:t xml:space="preserve">., 2023). They also endure effective pricing on similar goods and services in regards to less local </w:t>
      </w:r>
      <w:r>
        <w:rPr>
          <w:rFonts w:ascii="Times New Roman" w:hAnsi="Times New Roman" w:cs="Times New Roman"/>
          <w:color w:val="000000" w:themeColor="text1"/>
          <w:sz w:val="24"/>
          <w:szCs w:val="24"/>
        </w:rPr>
        <w:t>supplier and competition on when they need to travel longer distance for gaining access to shops, healthcare and education sector for certain extra transportation in the purchased goods. Similarly, the urban families have the perks of better access to public transport and retailers with discounts that will limit the growth of pricing owing to competition and will be dominated by expensive products which gets replaced with cheaper goods if the price keeps increasing. The presence of differences in the format of consumption and access to the market denotes that a similar national tremor might be translated into a changing range of inflation in the varied locations.</w:t>
      </w:r>
    </w:p>
    <w:p>
      <w:pPr>
        <w:spacing w:lineRule="auto" w:line="360" w:beforeAutospacing="0" w:afterAutospacing="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distributional consequences of this gap. The alteration of single percent point or a two percent point in the collective </w:t>
      </w:r>
      <w:r>
        <w:rPr>
          <w:rFonts w:ascii="Times New Roman" w:hAnsi="Times New Roman" w:cs="Times New Roman"/>
          <w:color w:val="000000"/>
          <w:sz w:val="24"/>
          <w:szCs w:val="24"/>
        </w:rPr>
        <w:t xml:space="preserve">inflation will create a transformation in families that have as it is spent majority of their salary on transportation, food and energy. In relationships of CIP, the gathered increased acquaintance to the categories and the increase price along with monetary impact might increase amidst rural homes with a limited level of income (Mahmud and Riley, 2023). As per the analysis of the results, the benefits of indexing and assessing the pressure with the cost of living based on national CPI can shape an underestimation in terms of complications faced by rural households.  Data t</w:t>
      </w:r>
      <w:r>
        <w:rPr>
          <w:rFonts w:ascii="Times New Roman" w:hAnsi="Times New Roman" w:cs="Times New Roman"/>
          <w:color w:val="000000" w:themeColor="text1"/>
          <w:sz w:val="24"/>
          <w:szCs w:val="24"/>
        </w:rPr>
        <w:t>hat is located in a specific CPI can be used for developing more particular support inclusive of fuel prices, transportation and rural oriented income aids can be added for achieving regional equity.</w:t>
      </w:r>
    </w:p>
    <w:p>
      <w:pPr>
        <w:spacing w:lineRule="auto" w:line="360" w:before="240" w:after="240" w:beforeAutospacing="0" w:afterAutospacing="0"/>
        <w:jc w:val="center"/>
        <w:rPr>
          <w:rFonts w:ascii="Times New Roman" w:hAnsi="Times New Roman" w:cs="Times New Roman"/>
          <w:color w:val="000000" w:themeColor="text1"/>
          <w:sz w:val="24"/>
          <w:szCs w:val="24"/>
        </w:rPr>
      </w:pPr>
      <w:r>
        <w:rPr>
          <w:rFonts w:ascii="Times New Roman" w:hAnsi="Times New Roman" w:cs="Times New Roman"/>
          <w:noProof w:val="1"/>
          <w:color w:val="000000" w:themeColor="text1"/>
          <w:lang w:eastAsia="en-IN"/>
        </w:rPr>
        <w:drawing>
          <wp:inline xmlns:wp="http://schemas.openxmlformats.org/drawingml/2006/wordprocessingDrawing" distT="0" distB="0" distL="0" distR="0">
            <wp:extent cx="5988050" cy="296672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dpi="0">
                    <a:blip xmlns:r="http://schemas.openxmlformats.org/officeDocument/2006/relationships" r:embed="Relimage4"/>
                    <a:srcRect/>
                    <a:stretch>
                      <a:fillRect/>
                    </a:stretch>
                  </pic:blipFill>
                  <pic:spPr>
                    <a:xfrm>
                      <a:off x="0" y="0"/>
                      <a:ext cx="5988050" cy="2966720"/>
                    </a:xfrm>
                    <a:prstGeom prst="rect"/>
                  </pic:spPr>
                </pic:pic>
              </a:graphicData>
            </a:graphic>
          </wp:inline>
        </w:drawing>
      </w:r>
    </w:p>
    <w:p>
      <w:pPr>
        <w:spacing w:lineRule="auto" w:line="360" w:before="240" w:after="240" w:beforeAutospacing="0" w:afterAutospacing="0"/>
        <w:jc w:val="center"/>
        <w:rPr>
          <w:rFonts w:ascii="Times New Roman" w:hAnsi="Times New Roman" w:cs="Times New Roman"/>
          <w:b w:val="1"/>
          <w:color w:val="000000" w:themeColor="text1"/>
        </w:rPr>
      </w:pPr>
      <w:bookmarkStart w:id="27" w:name="_Toc217071767"/>
      <w:r>
        <w:rPr>
          <w:rFonts w:ascii="Times New Roman" w:hAnsi="Times New Roman" w:cs="Times New Roman"/>
          <w:b w:val="1"/>
          <w:color w:val="000000" w:themeColor="text1"/>
        </w:rPr>
        <w:t>Figure 2.2.1: CPI Change Since 2020, Urban vs Rural</w:t>
      </w:r>
      <w:bookmarkEnd w:id="27"/>
    </w:p>
    <w:p>
      <w:pPr>
        <w:spacing w:lineRule="auto" w:line="360" w:beforeAutospacing="0" w:afterAutospacing="0"/>
        <w:jc w:val="both"/>
        <w:rPr>
          <w:rFonts w:ascii="Times New Roman" w:hAnsi="Times New Roman" w:cs="Times New Roman"/>
          <w:b w:val="1"/>
          <w:color w:val="000000" w:themeColor="text1"/>
          <w:sz w:val="24"/>
          <w:szCs w:val="24"/>
        </w:rPr>
      </w:pPr>
      <w:r>
        <w:rPr>
          <w:rFonts w:ascii="Times New Roman" w:hAnsi="Times New Roman" w:cs="Times New Roman"/>
          <w:color w:val="000000" w:themeColor="text1"/>
        </w:rPr>
        <w:br w:type="textWrapping"/>
      </w:r>
      <w:r>
        <w:rPr>
          <w:rFonts w:ascii="Times New Roman" w:hAnsi="Times New Roman" w:cs="Times New Roman"/>
          <w:color w:val="000000" w:themeColor="text1"/>
          <w:sz w:val="24"/>
          <w:szCs w:val="24"/>
        </w:rPr>
        <w:t xml:space="preserve">This rate has to be presented at the last paragraph as a summary alteration. It can be a straight bar chart that contains two bars for urban and rural each. It will contain the total percentage change in the CPI from 2020 to 2024 with minimal high points. Using this visual denotation, it is quickly visible that inflation have been raised in each of the category despite it being slightly higher in the rural household as supported by the research report. The chart is an extension of the plots of time series that offers details regarding the impact of each group in a single statistic. It is highly beneficial for readers who are not too well-versed. A combined data of text and images will denote the varying rates between urban and the rural regions as they are not too vast and are systematic with relevant policies. </w:t>
      </w:r>
    </w:p>
    <w:p>
      <w:pPr>
        <w:spacing w:lineRule="auto" w:line="360" w:beforeAutospacing="0" w:afterAutospacing="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To conclude, the evaluation on rural and urban is directly linked to the complete target of the project</w:t>
      </w:r>
      <w:r>
        <w:rPr>
          <w:rFonts w:ascii="Times New Roman" w:hAnsi="Times New Roman" w:cs="Times New Roman"/>
          <w:color w:val="000000"/>
          <w:sz w:val="24"/>
          <w:szCs w:val="24"/>
        </w:rPr>
        <w:t xml:space="preserve">. According to the Abotaleb, El-kenawy and Dhoska, (2025) the presence of ARIMA model helps use of CPI data combined with time series, alongside machine learning that predicts the models to research into the association amidst inflation issue and household type. It also symbolises the impact that is useful for calculation and distribution analysis of finance industry. Prospective labour would </w:t>
      </w:r>
      <w:r>
        <w:rPr>
          <w:rFonts w:ascii="Times New Roman" w:hAnsi="Times New Roman" w:cs="Times New Roman"/>
          <w:color w:val="000000" w:themeColor="text1"/>
          <w:sz w:val="24"/>
          <w:szCs w:val="24"/>
        </w:rPr>
        <w:t>research the support of this particular sector on expenditure with rural inflation by layering sectorial indicators on urban series of expenditure on goods such as transport, home heating cost and regenerate its effect on other inflation situation on the household. In performing so, the comparison with urban and rural will develop into descriptive statistics along with developing the applicability of the prediction structure in terms of analysing and interacting the cost of living.</w:t>
      </w:r>
    </w:p>
    <w:p>
      <w:pPr>
        <w:pStyle w:val="P2"/>
        <w:tabs>
          <w:tab w:val="left" w:pos="747" w:leader="none"/>
        </w:tabs>
        <w:spacing w:lineRule="auto" w:line="360" w:before="240" w:after="240" w:beforeAutospacing="0" w:afterAutospacing="0"/>
        <w:ind w:firstLine="0" w:left="0"/>
        <w:rPr>
          <w:color w:val="000000" w:themeColor="text1"/>
          <w:sz w:val="24"/>
          <w:szCs w:val="24"/>
        </w:rPr>
      </w:pPr>
      <w:r>
        <w:rPr>
          <w:color w:val="000000" w:themeColor="text1"/>
          <w:sz w:val="24"/>
          <w:szCs w:val="24"/>
        </w:rPr>
        <w:t xml:space="preserve"> </w:t>
      </w:r>
      <w:bookmarkStart w:id="28" w:name="_Toc217422081"/>
      <w:r>
        <w:rPr>
          <w:color w:val="000000" w:themeColor="text1"/>
          <w:sz w:val="24"/>
          <w:szCs w:val="24"/>
        </w:rPr>
        <w:t>2.4.3 Inflation and Low‑Income Households</w:t>
      </w:r>
      <w:bookmarkEnd w:id="28"/>
    </w:p>
    <w:p>
      <w:pPr>
        <w:spacing w:lineRule="auto" w:line="360" w:beforeAutospacing="0" w:afterAutospacing="0"/>
        <w:jc w:val="both"/>
        <w:rPr>
          <w:rFonts w:ascii="Times New Roman" w:hAnsi="Times New Roman" w:cs="Times New Roman"/>
          <w:color w:val="000000" w:themeColor="text1"/>
          <w:sz w:val="24"/>
          <w:szCs w:val="24"/>
        </w:rPr>
      </w:pPr>
      <w:r>
        <w:rPr>
          <w:rFonts w:ascii="Times New Roman" w:hAnsi="Times New Roman" w:cs="Times New Roman"/>
          <w:color w:val="000000"/>
          <w:sz w:val="24"/>
          <w:szCs w:val="24"/>
        </w:rPr>
        <w:t xml:space="preserve">The connection between low-income household and inflation is certain as more of the income of deprived household gathered based on their essentiality and thus its analytical impact a sudden increase in the price without limiting the basic requirement. In this evaluation the official CPI data is being used for setting a general index of inflation along with a particular sectorial indices of certain areas like housing, energy and fuel cost among other in rural as well as urban areas (Kpodar. and Liu, 2023). </w:t>
      </w:r>
      <w:r>
        <w:rPr>
          <w:rFonts w:ascii="Times New Roman" w:hAnsi="Times New Roman" w:cs="Times New Roman"/>
          <w:color w:val="000000" w:themeColor="text1"/>
          <w:sz w:val="24"/>
          <w:szCs w:val="24"/>
        </w:rPr>
        <w:t xml:space="preserve">These structures permit the exploration of prices that have raised even in basic essential goods impact the low-income budget and not certain sectors in the household like rural family that have experienced only a minimal rise in the pricing. Prices change relatively faster than wages and social welfare payments and the result is that there is lag between increase in the cost of living and income growth (Stantcheva, 2024). The historical development of accumulated alteration in the sectorial CPI from the period 2020 denotes the energy, transportation and food that are amidst the sectors with increase in value. This denotes the current inflation that is concentrated in the field of low-income household that can’t be altered. Collectively, the focus of CPI in the rural sector has been rising only minimally on comparison to urban areas in 2020-24. It can be deciphered that the impact of the cost of living might be higher rates as they face quicker increase in the structural disadvantage like limited access to public transport. </w:t>
      </w:r>
    </w:p>
    <w:p>
      <w:pPr>
        <w:spacing w:lineRule="auto" w:line="360" w:beforeAutospacing="0" w:afterAutospacing="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basic concept created in the artefact combines a dynamic angle to this image owing to the fact that it is not the case of mere comparison of prices in the past but in a dynamic level. They employ time series and supervised models of machine learning to fathom the inflation by training on CPI that predicts and summarizes the past patterns. ARIMA offers a standard time series method wherein the Linear Regression along with random forest as well as small network models (MLP) provide options, the data enabled models scope remain nonlinear and deals with the price inflation. The analysis of model functioning is created on the basis of RMSE and MAE periodically by using the predictions within their strength to determine latest details and not mere historical evidences. With the sharp increase in prices in such essential industries, such households are limited to adapt the consumption at the expense of the basic living standards (Guan </w:t>
      </w:r>
      <w:r>
        <w:rPr>
          <w:rFonts w:ascii="Times New Roman" w:hAnsi="Times New Roman" w:cs="Times New Roman"/>
          <w:i w:val="1"/>
          <w:iCs w:val="1"/>
          <w:color w:val="000000" w:themeColor="text1"/>
          <w:sz w:val="24"/>
          <w:szCs w:val="24"/>
        </w:rPr>
        <w:t>et al</w:t>
      </w:r>
      <w:r>
        <w:rPr>
          <w:rFonts w:ascii="Times New Roman" w:hAnsi="Times New Roman" w:cs="Times New Roman"/>
          <w:color w:val="000000" w:themeColor="text1"/>
          <w:sz w:val="24"/>
          <w:szCs w:val="24"/>
        </w:rPr>
        <w:t>., 2023). This is later used for CPI prediction through realistic and stable method that might be created for pressure inflation which will ease the pressure on the economy. Despites their predictions being calculated as an average CPI, the individual spending of the various income groups and a collection of this prediction in the sectorial and urban analysis will offer data on households that are susceptible for inflation. These households that have higher concentration of spending on the sectors have higher rate of price increase as the household in these regions had a higher CPI in comparison.</w:t>
      </w:r>
    </w:p>
    <w:p>
      <w:pPr>
        <w:spacing w:lineRule="auto" w:line="36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color w:val="000000" w:themeColor="text1"/>
          <w:sz w:val="24"/>
          <w:szCs w:val="24"/>
        </w:rPr>
        <w:t xml:space="preserve">Yet, another vital visualization can be used in this particular chapter is a cluster bar chart wherein the x-axis denotes the vital elements of expenditure such as housing, transport, food, energy among many others) while the y-axis denotes the rate of change of CPI in each sector since 2020. The average rate of the budget is mainly containing low-income household expenditure. Large housing, transportation along with energy and food would visually present the big increase in the price range that has been a vital element of household income. This is the foundation for the debate on experiences of unfair and groundless inflation force. </w:t>
      </w:r>
      <w:r>
        <w:rPr>
          <w:rFonts w:ascii="Times New Roman" w:hAnsi="Times New Roman" w:cs="Times New Roman" w:eastAsia="Times New Roman"/>
          <w:color w:val="000000" w:themeColor="text1"/>
          <w:sz w:val="24"/>
          <w:szCs w:val="24"/>
        </w:rPr>
        <w:t>Another, less complete figure may show the urban and rural CPI curves, already created in the artefact, and briefly comment that a large number of low-income households are found in rural locations where the price increases have not been so rapid as in urban centres. These visualisations, together with the empiric evidence reinforce the claim that inflation should be perceived in terms of sectoral and place-specific CPIs to ensure that the effects of inflation on the low-income households can be well-calculated and applied to influence the subsequent targeted responses, including welfare indexation, energy credits, or transport subsidies.</w:t>
      </w:r>
    </w:p>
    <w:p>
      <w:pPr>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themeColor="text1"/>
          <w:sz w:val="24"/>
          <w:szCs w:val="24"/>
        </w:rPr>
        <w:br w:type="page"/>
      </w:r>
    </w:p>
    <w:p>
      <w:pPr>
        <w:pStyle w:val="P2"/>
        <w:tabs>
          <w:tab w:val="left" w:pos="747" w:leader="none"/>
        </w:tabs>
        <w:spacing w:lineRule="auto" w:line="360" w:before="240" w:after="240" w:beforeAutospacing="0" w:afterAutospacing="0"/>
        <w:ind w:firstLine="0" w:left="0"/>
        <w:rPr>
          <w:color w:val="000000" w:themeColor="text1"/>
          <w:sz w:val="24"/>
          <w:szCs w:val="24"/>
        </w:rPr>
      </w:pPr>
      <w:bookmarkStart w:id="29" w:name="_Toc217422082"/>
      <w:r>
        <w:rPr>
          <w:color w:val="000000" w:themeColor="text1"/>
          <w:sz w:val="24"/>
          <w:szCs w:val="24"/>
        </w:rPr>
        <w:t>2.4.4 Forecasting Inflation: ARIMA and Machine Learning</w:t>
      </w:r>
      <w:bookmarkEnd w:id="29"/>
    </w:p>
    <w:p>
      <w:pPr>
        <w:spacing w:lineRule="auto" w:line="36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themeColor="text1"/>
          <w:sz w:val="24"/>
          <w:szCs w:val="24"/>
        </w:rPr>
        <w:t>Forecasting inflation is one of the major activities in macroeconomic analysis. The closer the forecast, the more governments, businesses and households may plan and predict pressures in the future. This project works with monthly data on the Irish CPI to construct the forecasting models that specify the future changes in the overall price index, and, consequently, the effect on the cost of living of households. It contains a classical time-series model - the Autoregressive Integrated Moving Average (ARIMA), and a number of supervised machine-learned models: Linear Regression, Random Forest and a simple neural-network model (MLP). After resampling to a shared common frequency, and re-basis to a common period, the cleaned CPI series is applied to all models to ensure that the changes are clearly displayed as changes in the price level. The research is able to compare the capture of the inflation dynamics by various modelling options by incorporating the classical and machine-learning techniques. It also determines whether simple ml models can be more effective than the ARIMA benchmark to predict Irish CPI.</w:t>
      </w:r>
    </w:p>
    <w:p>
      <w:pPr>
        <w:spacing w:lineRule="auto" w:line="36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themeColor="text1"/>
          <w:sz w:val="24"/>
          <w:szCs w:val="24"/>
        </w:rPr>
        <w:t>ARIMA model is a common tool of predicting univariate time series which is particularly powerful at predicting economic variables that are autocorrelated and can be non-stationary. The study initially analyses the monthly series of CPI using aggregate statistics and autocorrelation plots to be able to ascertain the level of persistence of the series as well as the presence of a seasonal cycle. Then the study applies a few ARIMA (p, d, q) specifications to a training dataset and the Akaike Information Criterion (AIC) to choose the most preferable ordered model. A low-order ARIMA model is possible in the case of the Irish CPI example where the trend is differenced with simple auto-regressive and moving-average models. The training data is then used to apply the selected ARIMA model and generate predictions on the hold-out test period, and one-step-ahead predictions after the final month of the training data. These predictive floor plans capture the inertia and slow adaptation of inflation series and give us a point of reference with any more adaptive machine-learning techniques.</w:t>
      </w:r>
    </w:p>
    <w:p>
      <w:pPr>
        <w:spacing w:lineRule="auto" w:line="36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themeColor="text1"/>
          <w:sz w:val="24"/>
          <w:szCs w:val="24"/>
        </w:rPr>
        <w:t>CPI will be predicted using the time series transformed into a supervised learning problem taking lagged features. The predictors are a number of previous values of the target variable, which represent the current history of the inflation. The simplest Linear Regression model is an obsolete method of machine learning which can be regarded as an approximation of a constrained autoregressive model. This is then followed by training a Random Forest regressor on the same features to acquire potential nonlinear dependencies between past CPI values and the next one, on top of an ensemble of decision trees to improve robustness and minimize variance. The lagged CPI data is also fitted with a non-linear model, the Multi-layer Perceptron (MLP) regressor. It employs a small feedforward neural network to give it a flexible model that can easily estimate complex functional relationships in the series.</w:t>
      </w:r>
    </w:p>
    <w:p>
      <w:pPr>
        <w:spacing w:lineRule="auto" w:line="360" w:before="240" w:after="240" w:beforeAutospacing="0" w:afterAutospacing="0"/>
        <w:jc w:val="center"/>
        <w:rPr>
          <w:rFonts w:ascii="Times New Roman" w:hAnsi="Times New Roman" w:cs="Times New Roman"/>
          <w:color w:val="000000" w:themeColor="text1"/>
        </w:rPr>
      </w:pPr>
      <w:r>
        <w:rPr>
          <w:rFonts w:ascii="Times New Roman" w:hAnsi="Times New Roman" w:cs="Times New Roman"/>
          <w:noProof w:val="1"/>
          <w:color w:val="000000" w:themeColor="text1"/>
          <w:lang w:eastAsia="en-IN"/>
        </w:rPr>
        <w:drawing>
          <wp:inline xmlns:wp="http://schemas.openxmlformats.org/drawingml/2006/wordprocessingDrawing" distT="0" distB="0" distL="0" distR="0">
            <wp:extent cx="6153150" cy="3048635"/>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dpi="0">
                    <a:blip xmlns:r="http://schemas.openxmlformats.org/officeDocument/2006/relationships" r:embed="Relimage5"/>
                    <a:srcRect/>
                    <a:stretch>
                      <a:fillRect/>
                    </a:stretch>
                  </pic:blipFill>
                  <pic:spPr>
                    <a:xfrm>
                      <a:off x="0" y="0"/>
                      <a:ext cx="6153150" cy="3048635"/>
                    </a:xfrm>
                    <a:prstGeom prst="rect"/>
                  </pic:spPr>
                </pic:pic>
              </a:graphicData>
            </a:graphic>
          </wp:inline>
        </w:drawing>
      </w:r>
    </w:p>
    <w:p>
      <w:pPr>
        <w:spacing w:lineRule="auto" w:line="360" w:before="240" w:after="240" w:beforeAutospacing="0" w:afterAutospacing="0"/>
        <w:jc w:val="center"/>
        <w:rPr>
          <w:rFonts w:ascii="Times New Roman" w:hAnsi="Times New Roman" w:cs="Times New Roman"/>
          <w:b w:val="1"/>
          <w:bCs w:val="1"/>
          <w:color w:val="000000" w:themeColor="text1"/>
        </w:rPr>
      </w:pPr>
    </w:p>
    <w:p>
      <w:pPr>
        <w:spacing w:lineRule="auto" w:line="360" w:before="240" w:after="240" w:beforeAutospacing="0" w:afterAutospacing="0"/>
        <w:jc w:val="center"/>
        <w:rPr>
          <w:rFonts w:ascii="Times New Roman" w:hAnsi="Times New Roman" w:cs="Times New Roman"/>
          <w:b w:val="1"/>
          <w:color w:val="000000" w:themeColor="text1"/>
          <w:sz w:val="24"/>
          <w:szCs w:val="24"/>
        </w:rPr>
      </w:pPr>
      <w:bookmarkStart w:id="30" w:name="_Toc217071768"/>
      <w:r>
        <w:rPr>
          <w:rFonts w:ascii="Times New Roman" w:hAnsi="Times New Roman" w:cs="Times New Roman"/>
          <w:b w:val="1"/>
          <w:color w:val="000000" w:themeColor="text1"/>
          <w:sz w:val="24"/>
          <w:szCs w:val="24"/>
        </w:rPr>
        <w:t>Figure 2.4: Forecasting Irish CPI with ARIMA and Machine-Learning Models</w:t>
      </w:r>
      <w:bookmarkEnd w:id="30"/>
    </w:p>
    <w:p>
      <w:pPr>
        <w:spacing w:lineRule="auto" w:line="360" w:before="240" w:after="240" w:beforeAutospacing="0" w:afterAutospacing="0"/>
        <w:jc w:val="both"/>
        <w:rPr>
          <w:rFonts w:ascii="Times New Roman" w:hAnsi="Times New Roman" w:cs="Times New Roman"/>
          <w:b w:val="1"/>
          <w:bCs w:val="1"/>
          <w:color w:val="000000" w:themeColor="text1"/>
          <w:sz w:val="24"/>
          <w:szCs w:val="24"/>
        </w:rPr>
      </w:pPr>
      <w:r>
        <w:rPr>
          <w:rFonts w:ascii="Times New Roman" w:hAnsi="Times New Roman" w:cs="Times New Roman"/>
          <w:color w:val="000000" w:themeColor="text1"/>
          <w:sz w:val="24"/>
          <w:szCs w:val="24"/>
        </w:rPr>
        <w:t>In all models, the standard error measures, mostly Mean Absolute error (MAE) and Root mean squared error (RMSE) are used to assess the performance on a held-out test set that includes the latest part of the CPI data. This serves to guarantee that the comparison corresponds to actual out-of-sample predictive capability as opposed to being in-sample fit. The test period predictions of the ARIMA and machine-learning predictions are plotted against the actual CPI data to give visual verification of how the two models follow the actual pattern and whether the models have any systematic biases. The summary of the results is presented in the form of a table containing MAE and RMSE of each model, and it is possible to easily determine which approach has the best performance. In the present implementation, ARIMA and at least one of the classical ML models have comparable, somewhat low forecast errors, whereas more complicated or ill tuned networks would be anticipated to make poorer showing. An appropriate figure of this section is a line plot on the actual CPI series over the test period and forecast lines of the ARIMA, Linear Regression, Random Forest and MLP model with a vertical line to represent the boundary between the training and test sets. With such a graph, it is easy to visualise the reaction of each model to turning points in inflation as well as the model that remains the closest to the realised CPI path. Altogether, the application of both ARIMA and the use of supervised machine learning in the given project can teach us how relatively simple models can be effective in the creation of informative short-term inflation predictions in Ireland and help discuss the pressures of the future cost-of-living load.</w:t>
      </w:r>
    </w:p>
    <w:p>
      <w:pPr>
        <w:pStyle w:val="P2"/>
        <w:tabs>
          <w:tab w:val="left" w:pos="747" w:leader="none"/>
        </w:tabs>
        <w:spacing w:lineRule="auto" w:line="360" w:before="240" w:after="240" w:beforeAutospacing="0" w:afterAutospacing="0"/>
        <w:ind w:firstLine="0" w:left="0"/>
        <w:rPr>
          <w:color w:val="000000" w:themeColor="text1"/>
        </w:rPr>
      </w:pPr>
      <w:bookmarkStart w:id="31" w:name="_Toc217422083"/>
      <w:r>
        <w:rPr>
          <w:color w:val="000000" w:themeColor="text1"/>
          <w:sz w:val="28"/>
          <w:szCs w:val="28"/>
        </w:rPr>
        <w:t>2.3</w:t>
      </w:r>
      <w:r>
        <w:rPr>
          <w:b w:val="0"/>
          <w:bCs w:val="0"/>
          <w:color w:val="000000" w:themeColor="text1"/>
          <w:sz w:val="24"/>
          <w:szCs w:val="24"/>
        </w:rPr>
        <w:t xml:space="preserve"> </w:t>
      </w:r>
      <w:r>
        <w:rPr>
          <w:color w:val="000000" w:themeColor="text1"/>
        </w:rPr>
        <w:t>Literature Gap</w:t>
      </w:r>
      <w:bookmarkEnd w:id="31"/>
    </w:p>
    <w:p>
      <w:pPr>
        <w:spacing w:lineRule="auto" w:line="360" w:before="240" w:after="240" w:beforeAutospacing="0" w:afterAutospacing="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recent studies on inflation give numerous instruments that can be applied to measure as well as predict prices, nevertheless, there exist several flaws in terms of disaggregated Irish CPI, as well as the application of rather straightforward machine learning tools. A lot of work continues to focus on headline CPI or aggregate numbers and thus does not provide much information on the differences in the recent price increments in key sectors like housing, energy, transport and food, or between urban and rural households. Surveys which do disaggregate CPI tend to be based on older data or not concentration on Ireland, i.e. the current evidence regarding sectoral and locational excellent inflation patterns of Irish households is limited (Ha,  Kose and Ohnsorge, 2023). The state of the art in forecasting has been dominated by exploring more traditional time series models like ARIMA or rather complicated ML architectures, and fewer articles have presented clear side by side comparisons between ARIMA and a basic supervised ML model, using a standard set of error measures, and using the same CPI series to train them. Only a comparatively small body of work relates such predictions to household cost of living pressure, e.g. by putting inflation predictions into perspective in relation to sectors of concern to low income or rural households. Filling these gaps will be an incentive to the current artefact, which constructs recent sectoral and urban-rural CPI series in Ireland, which compare ARIMA with some accessible ML models in a consistent framework, and which relates those findings to distributional issues of what households are most vulnerable to chronic inflation.</w:t>
      </w:r>
    </w:p>
    <w:p>
      <w:pPr>
        <w:pStyle w:val="P2"/>
        <w:tabs>
          <w:tab w:val="left" w:pos="747" w:leader="none"/>
        </w:tabs>
        <w:spacing w:lineRule="auto" w:line="360" w:before="240" w:after="240" w:beforeAutospacing="0" w:afterAutospacing="0"/>
        <w:rPr>
          <w:color w:val="000000" w:themeColor="text1"/>
        </w:rPr>
      </w:pPr>
      <w:bookmarkStart w:id="32" w:name="_Toc217422084"/>
      <w:r>
        <w:rPr>
          <w:color w:val="000000" w:themeColor="text1"/>
        </w:rPr>
        <w:t>2.4 Conceptual Framework</w:t>
      </w:r>
      <w:bookmarkEnd w:id="32"/>
    </w:p>
    <w:p>
      <w:pPr>
        <w:spacing w:lineRule="auto" w:line="360" w:before="240" w:after="240" w:beforeAutospacing="0" w:afterAutospacing="0"/>
        <w:jc w:val="both"/>
        <w:rPr>
          <w:rFonts w:ascii="Times New Roman" w:hAnsi="Times New Roman" w:cs="Times New Roman"/>
          <w:b w:val="1"/>
          <w:bCs w:val="1"/>
          <w:color w:val="000000" w:themeColor="text1"/>
          <w:sz w:val="24"/>
          <w:szCs w:val="24"/>
        </w:rPr>
      </w:pPr>
      <w:r>
        <w:rPr>
          <w:rFonts w:ascii="Times New Roman" w:hAnsi="Times New Roman" w:cs="Times New Roman"/>
          <w:color w:val="000000" w:themeColor="text1"/>
          <w:sz w:val="24"/>
          <w:szCs w:val="24"/>
        </w:rPr>
        <w:t>The theoretical framework of renewed project focuses on the utilization of CPI data and the prognostication models to comprehend the current dynamics of the inflation and its impact on various groups of households, and vulnerable ones in particular. It combines the process of data construction, modelling and interpretation into one pipeline whose final destination is to give coherent and policy relevant insights other than a mere technical forecast. This structure indicates that the inflation since 2020 has been non-uniform by sector and location, and that useful analysis should then be a blend of both detailed CPI decomposition and ways of projecting inflation directions in the near future (Fox, Levell, and O’Connell, 2025).</w:t>
      </w:r>
    </w:p>
    <w:p>
      <w:pPr>
        <w:spacing w:lineRule="auto" w:line="360" w:before="240" w:after="240" w:beforeAutospacing="0" w:afterAutospacing="0"/>
        <w:jc w:val="center"/>
        <w:rPr>
          <w:rFonts w:ascii="Times New Roman" w:hAnsi="Times New Roman" w:cs="Times New Roman"/>
          <w:color w:val="000000" w:themeColor="text1"/>
        </w:rPr>
      </w:pPr>
      <w:r>
        <w:rPr>
          <w:rFonts w:ascii="Times New Roman" w:hAnsi="Times New Roman" w:cs="Times New Roman"/>
          <w:noProof w:val="1"/>
          <w:color w:val="000000" w:themeColor="text1"/>
          <w:lang w:eastAsia="en-IN"/>
        </w:rPr>
        <w:drawing>
          <wp:inline xmlns:wp="http://schemas.openxmlformats.org/drawingml/2006/wordprocessingDrawing" distT="0" distB="0" distL="0" distR="0">
            <wp:extent cx="4819650" cy="5124450"/>
            <wp:effectExtent l="19050" t="19050" r="19050" b="1905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dpi="0">
                    <a:blip xmlns:r="http://schemas.openxmlformats.org/officeDocument/2006/relationships" r:embed="Relimage6"/>
                    <a:srcRect/>
                    <a:stretch>
                      <a:fillRect/>
                    </a:stretch>
                  </pic:blipFill>
                  <pic:spPr>
                    <a:xfrm>
                      <a:off x="0" y="0"/>
                      <a:ext cx="4819650" cy="5124450"/>
                    </a:xfrm>
                    <a:prstGeom prst="rect"/>
                    <a:ln>
                      <a:solidFill>
                        <a:schemeClr val="accent1"/>
                      </a:solidFill>
                    </a:ln>
                  </pic:spPr>
                </pic:pic>
              </a:graphicData>
            </a:graphic>
          </wp:inline>
        </w:drawing>
      </w:r>
    </w:p>
    <w:p>
      <w:pPr>
        <w:spacing w:lineRule="auto" w:line="360" w:before="240" w:after="240" w:beforeAutospacing="0" w:afterAutospacing="0"/>
        <w:jc w:val="center"/>
        <w:rPr>
          <w:rFonts w:ascii="Times New Roman" w:hAnsi="Times New Roman" w:cs="Times New Roman"/>
          <w:b w:val="1"/>
          <w:color w:val="000000" w:themeColor="text1"/>
        </w:rPr>
      </w:pPr>
    </w:p>
    <w:p>
      <w:pPr>
        <w:spacing w:lineRule="auto" w:line="360" w:before="240" w:after="240" w:beforeAutospacing="0" w:afterAutospacing="0"/>
        <w:jc w:val="center"/>
        <w:rPr>
          <w:rFonts w:ascii="Times New Roman" w:hAnsi="Times New Roman" w:cs="Times New Roman"/>
          <w:b w:val="1"/>
          <w:color w:val="000000" w:themeColor="text1"/>
          <w:sz w:val="24"/>
          <w:szCs w:val="24"/>
        </w:rPr>
      </w:pPr>
      <w:bookmarkStart w:id="33" w:name="_Toc217071769"/>
      <w:r>
        <w:rPr>
          <w:rFonts w:ascii="Times New Roman" w:hAnsi="Times New Roman" w:cs="Times New Roman"/>
          <w:b w:val="1"/>
          <w:color w:val="000000" w:themeColor="text1"/>
          <w:sz w:val="24"/>
          <w:szCs w:val="24"/>
        </w:rPr>
        <w:t>Figure 2.4.1: Conceptual Framework</w:t>
      </w:r>
      <w:bookmarkEnd w:id="33"/>
    </w:p>
    <w:p>
      <w:pPr>
        <w:spacing w:lineRule="auto" w:line="360" w:before="240" w:after="240" w:beforeAutospacing="0" w:afterAutospacing="0"/>
        <w:jc w:val="center"/>
        <w:rPr>
          <w:rFonts w:ascii="Times New Roman" w:hAnsi="Times New Roman" w:cs="Times New Roman" w:eastAsia="Times New Roman"/>
          <w:color w:val="000000" w:themeColor="text1"/>
        </w:rPr>
      </w:pPr>
      <w:r>
        <w:rPr>
          <w:rFonts w:ascii="Times New Roman" w:hAnsi="Times New Roman" w:cs="Times New Roman" w:eastAsia="Times New Roman"/>
          <w:color w:val="000000" w:themeColor="text1"/>
        </w:rPr>
        <w:t>(Source: Self-developed)</w:t>
      </w:r>
    </w:p>
    <w:p>
      <w:pPr>
        <w:spacing w:lineRule="auto" w:line="360" w:before="240" w:after="240" w:beforeAutospacing="0" w:afterAutospacing="0"/>
        <w:jc w:val="both"/>
        <w:rPr>
          <w:rFonts w:ascii="Times New Roman" w:hAnsi="Times New Roman" w:cs="Times New Roman"/>
          <w:b w:val="1"/>
          <w:bCs w:val="1"/>
          <w:color w:val="000000" w:themeColor="text1"/>
          <w:sz w:val="24"/>
          <w:szCs w:val="24"/>
        </w:rPr>
      </w:pPr>
      <w:r>
        <w:rPr>
          <w:rFonts w:ascii="Times New Roman" w:hAnsi="Times New Roman" w:cs="Times New Roman"/>
          <w:color w:val="000000" w:themeColor="text1"/>
          <w:sz w:val="24"/>
          <w:szCs w:val="24"/>
        </w:rPr>
        <w:t xml:space="preserve">Establishment of Detailed CPI:  Indicators Detailed CPI data are established on a regular monthly basis and the data undergo cleaning, rebasing, and aligning of the observations and then indivisible indices of major sectors are formed which include: housing, energy, transport and food, and urban and rural households. The given step guarantees that the analysis will be able to pass beyond the analysis of a single headline index and will be able to measure the extent of the increment in prices in the categories that allow more impact on household budgets and at the same time determine whether there is a minor but significant increase in prices in rural areas more than in urban areas over 20202024. These sectoral and location specific indicators give an empirical base upon which another framework is established.</w:t>
      </w:r>
    </w:p>
    <w:p>
      <w:pPr>
        <w:spacing w:lineRule="auto" w:line="360" w:before="240" w:after="240" w:beforeAutospacing="0" w:afterAutospacing="0"/>
        <w:jc w:val="both"/>
        <w:rPr>
          <w:rFonts w:ascii="Times New Roman" w:hAnsi="Times New Roman" w:cs="Times New Roman"/>
          <w:b w:val="1"/>
          <w:bCs w:val="1"/>
          <w:color w:val="000000" w:themeColor="text1"/>
          <w:sz w:val="24"/>
          <w:szCs w:val="24"/>
        </w:rPr>
      </w:pPr>
      <w:r>
        <w:rPr>
          <w:rFonts w:ascii="Times New Roman" w:hAnsi="Times New Roman" w:cs="Times New Roman"/>
          <w:color w:val="000000" w:themeColor="text1"/>
          <w:sz w:val="24"/>
          <w:szCs w:val="24"/>
        </w:rPr>
        <w:t>Create Overall CPI Forecasting Models: Both by classical time series and machine learning. The rebased monthly series of CPI is rebased into a monitored learning issue by designing lagged features which encapsulate historic inflation over the recent past in a format that can be employed by regression model and tree-based model (Fox, Levell, and O’Connell, 2025). With the same lag features, the ARIMA specification is estimated as the benchmark, with the order selected using information criteria and autocorrelation diagnostics, and the Linear regression, a simple neural network model (MLP) and Exploratory LSTM are modelled on the same lag features. This aim is to determine the extent to which these models are able to successfully model and predict the Irish CPI, with a train-test split that is commonly used and error metrics that can be quantified with a transparent foundation of evaluation being introduced (MAE and RMSE).</w:t>
      </w:r>
    </w:p>
    <w:p>
      <w:pPr>
        <w:spacing w:lineRule="auto" w:line="360" w:before="240" w:after="240" w:beforeAutospacing="0" w:afterAutospacing="0"/>
        <w:jc w:val="both"/>
        <w:rPr>
          <w:rFonts w:ascii="Times New Roman" w:hAnsi="Times New Roman" w:cs="Times New Roman"/>
          <w:b w:val="1"/>
          <w:bCs w:val="1"/>
          <w:color w:val="000000" w:themeColor="text1"/>
          <w:sz w:val="24"/>
          <w:szCs w:val="24"/>
        </w:rPr>
      </w:pPr>
      <w:r>
        <w:rPr>
          <w:rFonts w:ascii="Times New Roman" w:hAnsi="Times New Roman" w:cs="Times New Roman"/>
          <w:color w:val="000000" w:themeColor="text1"/>
          <w:sz w:val="24"/>
          <w:szCs w:val="24"/>
        </w:rPr>
        <w:t xml:space="preserve"> Model Evaluation and Diagnostic Checking:  Which guarantees that forecasts are consistent and easily comprehendible and not merely figures. To each model, predictions on the test set are made and the error measures compared with the actual CPI values which then are summarised in a results table to determine which model causes the least error in forecasting. The diagnostics of the ARIMA model, such as plots against time, can be used to verify that any residual errors actually follow a white noise distribution, whilst the behaviour of the ML models is monitored by the tests of whether their individual forecasts obey the key turning points in the CPI behaviour in entirely plausible steps. The framework makes a choice of a desired model, or small group of models, at this stage, as the ones which trade accuracy with stability and interpretability.</w:t>
      </w:r>
    </w:p>
    <w:p>
      <w:pPr>
        <w:spacing w:lineRule="auto" w:line="360" w:before="240" w:after="240" w:beforeAutospacing="0" w:afterAutospacing="0"/>
        <w:jc w:val="both"/>
        <w:rPr>
          <w:rFonts w:ascii="Times New Roman" w:hAnsi="Times New Roman" w:cs="Times New Roman"/>
          <w:b w:val="1"/>
          <w:bCs w:val="1"/>
          <w:color w:val="000000" w:themeColor="text1"/>
          <w:sz w:val="24"/>
          <w:szCs w:val="24"/>
        </w:rPr>
      </w:pPr>
      <w:r>
        <w:rPr>
          <w:rFonts w:ascii="Times New Roman" w:hAnsi="Times New Roman" w:cs="Times New Roman"/>
          <w:color w:val="000000" w:themeColor="text1"/>
          <w:sz w:val="24"/>
          <w:szCs w:val="24"/>
        </w:rPr>
        <w:t>Link Forecasts and CPI Decomposition to Household Impact: Particularly low income and rural households, which are likely to be more vulnerable to high prices. The changes in the sectoral cpi since 2020 indicate that housing, energy, transport and food items in which poor households use a significant portion of their income have improved much, and when rural households are compared to urban households, the cumulative CPI increase has been a little higher in rural households. By taking these results together with the short-term CPI projections of the best fitting models, the framework can debate whether there seems to be an inflationary pressure that would continue to exist and which groups would suffer most in case it does, thus leaving the technical modelling to the interpretation of the cost of living.</w:t>
      </w:r>
    </w:p>
    <w:p>
      <w:pPr>
        <w:spacing w:lineRule="auto" w:line="360" w:before="240" w:after="240" w:beforeAutospacing="0" w:afterAutospacing="0"/>
        <w:jc w:val="both"/>
        <w:rPr>
          <w:rFonts w:ascii="Times New Roman" w:hAnsi="Times New Roman" w:cs="Times New Roman"/>
          <w:b w:val="1"/>
          <w:bCs w:val="1"/>
          <w:color w:val="000000" w:themeColor="text1"/>
          <w:sz w:val="24"/>
          <w:szCs w:val="24"/>
        </w:rPr>
      </w:pPr>
      <w:r>
        <w:rPr>
          <w:rFonts w:ascii="Times New Roman" w:hAnsi="Times New Roman" w:cs="Times New Roman"/>
          <w:color w:val="000000" w:themeColor="text1"/>
          <w:sz w:val="24"/>
          <w:szCs w:val="24"/>
        </w:rPr>
        <w:t>This theoretical framework assists in attaining the goal of producing an adaptive, data-based inflation analysis and forecasting framework that delineates the present trends in the CPI and their effects to various groups in the households.</w:t>
      </w:r>
    </w:p>
    <w:p>
      <w:pPr>
        <w:pStyle w:val="P2"/>
        <w:numPr>
          <w:ilvl w:val="1"/>
          <w:numId w:val="10"/>
        </w:numPr>
        <w:tabs>
          <w:tab w:val="left" w:pos="747" w:leader="none"/>
        </w:tabs>
        <w:spacing w:lineRule="auto" w:line="360" w:before="240" w:after="240" w:beforeAutospacing="0" w:afterAutospacing="0"/>
        <w:rPr>
          <w:color w:val="000000" w:themeColor="text1"/>
        </w:rPr>
      </w:pPr>
      <w:bookmarkStart w:id="34" w:name="_Toc217422085"/>
      <w:r>
        <w:rPr>
          <w:color w:val="000000" w:themeColor="text1"/>
        </w:rPr>
        <w:t>Summary</w:t>
      </w:r>
      <w:bookmarkEnd w:id="34"/>
    </w:p>
    <w:p>
      <w:pPr>
        <w:tabs>
          <w:tab w:val="left" w:pos="747" w:leader="none"/>
        </w:tabs>
        <w:spacing w:lineRule="auto" w:line="360" w:before="240" w:after="240" w:beforeAutospacing="0" w:afterAutospacing="0"/>
        <w:jc w:val="both"/>
        <w:rPr>
          <w:rFonts w:ascii="Times New Roman" w:hAnsi="Times New Roman" w:cs="Times New Roman" w:eastAsia="Times New Roman"/>
          <w:color w:val="000000" w:themeColor="text1"/>
          <w:sz w:val="24"/>
          <w:szCs w:val="24"/>
        </w:rPr>
      </w:pPr>
      <w:bookmarkStart w:id="35" w:name="_ts2uj3bf5pnv"/>
      <w:bookmarkEnd w:id="35"/>
      <w:r>
        <w:rPr>
          <w:rFonts w:ascii="Times New Roman" w:hAnsi="Times New Roman" w:cs="Times New Roman" w:eastAsia="Times New Roman"/>
          <w:color w:val="000000" w:themeColor="text1"/>
          <w:sz w:val="24"/>
          <w:szCs w:val="24"/>
        </w:rPr>
        <w:t>This chapter has examined what other researchers and reports describe about inflation, how it is measured with the help of CPI and how it may be decomposed in order to provide more detail. It has demonstrated that by dividing CPI into these categories: housing, energy, transport and food and the development of rural and urban indices, one can see trends that a single headline inflation rate cannot, particularly in attempting to comprehend the pressures on cost of living among low-income households. The chapter has also outlined the application of time-series and machine-learning algorithms, such as ARIMA, Linear Regression, Random Forest and MLP, in predicting CPI and are typically compared based on the error measures, such as MAE and RMSE. Simultaneously, it has indicated that few studies have been done with recent post-2020 Irish CPI data at such a detailed level, even there are few straightforward open comparisons of classical and ML models on the same CPI series and forecasts are rarely associated with the impact on different groups of households. These loopholes justify the investigation data basis of this study, a union of comprehensive building of CPI, projection and examination of the impact of inflation on various categories of households.</w:t>
      </w:r>
    </w:p>
    <w:p>
      <w:pPr>
        <w:pStyle w:val="P1"/>
        <w:spacing w:lineRule="auto" w:line="360" w:before="240" w:after="240" w:beforeAutospacing="0" w:afterAutospacing="0"/>
        <w:ind w:left="0"/>
        <w:rPr>
          <w:color w:val="000000" w:themeColor="text1"/>
        </w:rPr>
      </w:pPr>
      <w:bookmarkStart w:id="36" w:name="_fcvapjw3350"/>
      <w:bookmarkEnd w:id="36"/>
      <w:bookmarkStart w:id="37" w:name="_Toc217422086"/>
      <w:r>
        <w:rPr>
          <w:color w:val="000000" w:themeColor="text1"/>
        </w:rPr>
        <w:t>Chapter 3: Methodology</w:t>
      </w:r>
      <w:bookmarkEnd w:id="37"/>
      <w:r>
        <w:rPr>
          <w:color w:val="000000" w:themeColor="text1"/>
        </w:rPr>
        <w:t xml:space="preserve"> </w:t>
      </w:r>
    </w:p>
    <w:p>
      <w:pPr>
        <w:pStyle w:val="P2"/>
        <w:spacing w:lineRule="auto" w:line="360" w:before="240" w:after="240" w:beforeAutospacing="0" w:afterAutospacing="0"/>
        <w:ind w:firstLine="0" w:left="0"/>
        <w:rPr>
          <w:color w:val="000000" w:themeColor="text1"/>
        </w:rPr>
      </w:pPr>
      <w:bookmarkStart w:id="38" w:name="_Toc217422087"/>
      <w:r>
        <w:rPr>
          <w:color w:val="000000" w:themeColor="text1"/>
        </w:rPr>
        <w:t>3.1 Introduction</w:t>
      </w:r>
      <w:bookmarkEnd w:id="38"/>
    </w:p>
    <w:p>
      <w:pPr>
        <w:spacing w:lineRule="auto" w:line="360" w:before="240" w:after="24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themeColor="text1"/>
          <w:sz w:val="24"/>
          <w:szCs w:val="24"/>
        </w:rPr>
        <w:t>The chapter addresses the approach to the analysis and forecasting of inflation in Ireland based on the Consumer Price Index (CPI) information, focusing specifically on sectoral and urban-rural variations. It focuses on outlining an ordered process of choosing, applying and reviewing data driven methods that may disclose new CPI patterns and implications on various groups within the home setting. It is in this chapter that the data sources, programming environment, statistical and machine learning models and evaluation metrics used in the research is expounded in detail. The approach of the research is also placed within a positivist, quantitative framework of the discussion, with its focus on transparency, reproducibility and empirical rigour in the consideration of the official CPI data. The design, acquisition of secondary CPI data, cleanup and merger, construction of sectoral and urban-rural indices, and evaluation of model performance, which is measured by using out of sample errors will be the focus. The chapter also mentions pertinent ethical and practical implications such as proper utilization of public data and restrictions of the selected practices, etc, further offers a situational overview of the research and facilitates the replication of the research and adherence to the general goals of cognition and prediction of inflation.</w:t>
      </w:r>
    </w:p>
    <w:p>
      <w:pPr>
        <w:pStyle w:val="P2"/>
        <w:spacing w:lineRule="auto" w:line="360" w:before="240" w:after="240" w:beforeAutospacing="0" w:afterAutospacing="0"/>
        <w:ind w:firstLine="0" w:left="0"/>
        <w:rPr>
          <w:color w:val="000000" w:themeColor="text1"/>
        </w:rPr>
      </w:pPr>
      <w:bookmarkStart w:id="39" w:name="_Toc217422088"/>
      <w:r>
        <w:rPr>
          <w:color w:val="000000" w:themeColor="text1"/>
        </w:rPr>
        <w:t>3.2 Data Sources and Preprocessing (CPI, sectors, urban/rural)</w:t>
      </w:r>
      <w:bookmarkEnd w:id="39"/>
    </w:p>
    <w:p>
      <w:pPr>
        <w:spacing w:lineRule="auto" w:line="360" w:before="240" w:after="240" w:beforeAutospacing="0" w:afterAutospacing="0"/>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themeColor="text1"/>
          <w:sz w:val="24"/>
          <w:szCs w:val="24"/>
        </w:rPr>
        <w:t xml:space="preserve">The data sources and pre-processing operations with the underlying research in this study will constitute the construction of a rich and analysable dataset of CPI that will include the overall, sectoral and urban/rural inflation in Ireland. Official statistics provided monthly CPI data series on all households, all separate categories of detailed consumption (housing, energy, transport and food) and separate urban series and rural series with the period beginning in 2020 used to describe the more recent high episode of inflation. Then these raw files are loaded into a Python environment where they are processed and cleaned and made in numeric form and coordinated on a shared monthly basis so that the indices of sectoral and location specific information can be effectively </w:t>
      </w:r>
      <w:r>
        <w:rPr>
          <w:rFonts w:ascii="Times New Roman" w:hAnsi="Times New Roman" w:cs="Times New Roman" w:eastAsia="Times New Roman"/>
          <w:color w:val="000000"/>
          <w:sz w:val="24"/>
          <w:szCs w:val="24"/>
        </w:rPr>
        <w:t>compared and merged.</w:t>
      </w:r>
    </w:p>
    <w:p>
      <w:pPr>
        <w:spacing w:lineRule="auto" w:line="360" w:before="240" w:after="24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sz w:val="24"/>
          <w:szCs w:val="24"/>
        </w:rPr>
        <w:t xml:space="preserve">The application of Python also includes standard data science libraries to manipulate data: tabular CPI files will read in CSV format, date variables will be converted to proper datetime objects, helper variables like Year and Month Number will be constructed to aid in grouping and joins. The data of sectoral CPI is re-coded into tidy format with year, sector category/sector index, and the monthly total CPI merged to create a single data of overall and sectoral inflation. An urban rural CPI table is then </w:t>
      </w:r>
      <w:r>
        <w:rPr>
          <w:rFonts w:ascii="Times New Roman" w:hAnsi="Times New Roman" w:cs="Times New Roman" w:eastAsia="Times New Roman"/>
          <w:color w:val="000000" w:themeColor="text1"/>
          <w:sz w:val="24"/>
          <w:szCs w:val="24"/>
        </w:rPr>
        <w:t>processed, with the time labels encoded to year and month, pivoted to give separated columns of Urban, Rural and overall State indices and merged with the main CPI sector dataset of year/month to create a complete file (cpisectorsurbanruralmerged.csv) containing year/month paired values in a single structure of overall CPI, sector index and urban/rural index.</w:t>
      </w:r>
    </w:p>
    <w:p>
      <w:pPr>
        <w:spacing w:lineRule="auto" w:line="360" w:before="240" w:after="24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themeColor="text1"/>
          <w:sz w:val="24"/>
          <w:szCs w:val="24"/>
        </w:rPr>
        <w:t>Plotting libraries give us the exploratory visualisations of the general trends of CPI in line charts and sectoral trends and urban vs rural paths to as well as boxplots to measure the distribution and outliers of the main variables of CPI to justify the data and encourage the user to make further modelling decisions. The entire pipeline of the preprocessing of the data is presented in notebook files, with the analysis and storage of all intermediate and final datasets in the CSV format that is guaranteed to enhance transparency and reproducibility. This mix of authoritative CPI data, routine cleaning, cautious combine and straightforward visual examination could guarantee that the following forecasting and distributional forecasting is based on a consistent and well-reported data.</w:t>
      </w:r>
    </w:p>
    <w:p>
      <w:pPr>
        <w:pStyle w:val="P2"/>
        <w:spacing w:lineRule="auto" w:line="360" w:before="240" w:after="240" w:beforeAutospacing="0" w:afterAutospacing="0"/>
        <w:ind w:firstLine="0" w:left="0"/>
        <w:rPr>
          <w:color w:val="000000" w:themeColor="text1"/>
        </w:rPr>
      </w:pPr>
      <w:bookmarkStart w:id="40" w:name="_Toc217422089"/>
      <w:r>
        <w:rPr>
          <w:color w:val="000000" w:themeColor="text1"/>
        </w:rPr>
        <w:t>3.3 Research Approach</w:t>
      </w:r>
      <w:bookmarkEnd w:id="40"/>
    </w:p>
    <w:p>
      <w:pPr>
        <w:spacing w:lineRule="auto" w:line="360" w:before="240" w:after="24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themeColor="text1"/>
          <w:sz w:val="24"/>
          <w:szCs w:val="24"/>
        </w:rPr>
        <w:t>The sample and data collection methods used in the study and preprocessing procedures would be geared towards the creation of a powerful and analysable CPI dataset of aggregate, sectoral and urban/rural inflation in Ireland. The official statistics provide monthly CPI series in all households, in detailed consumption items like housing, energy, transport and food, in urban and rural series respectively, and the period since 2020 is selected because of the recent high wave of inflation. These raw files are then imported into a Python environment where they are cleansed and converted into numeric form and put on a standardized monthly calendar such that sector and location indices can be sensibly compared and combined. In Python, tables of CPI are read in CSV format, date values are converted to proper date objects and helper columns (Year and Month Number) are created to facilitate grouping and joins, and the sectoral CPI data are reshaped into tidy row format to include year, sector category and sector index values, after which the monthly overall CPI is merged with the sectoral data to form a single table of overall and sectoral inflation.</w:t>
      </w:r>
    </w:p>
    <w:p>
      <w:pPr>
        <w:spacing w:lineRule="auto" w:line="360" w:before="240" w:after="24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sz w:val="24"/>
          <w:szCs w:val="24"/>
        </w:rPr>
        <w:t>The urban and rural CPI table is administered with a separate Urban and rural CPI table by splitting the encoded time labels into a year and month and pivotal to obtain separate columns of Urban, Rural and State. Therefore, the overall indices and merging this with the main CPI sector dataset on year and month in an overall structure that would be analysed. Plotting libraries are used to generate explorato</w:t>
      </w:r>
      <w:r>
        <w:rPr>
          <w:rFonts w:ascii="Times New Roman" w:hAnsi="Times New Roman" w:cs="Times New Roman" w:eastAsia="Times New Roman"/>
          <w:color w:val="000000" w:themeColor="text1"/>
          <w:sz w:val="24"/>
          <w:szCs w:val="24"/>
        </w:rPr>
        <w:t xml:space="preserve">ry visualisations that include line charts of the overall trends and trends of those specific sectors and trends as well as urban and rural trends and also boxplots to investigate the distribution and outliers of important CPI variables, which serve to be persuasive of the data and guide subsequent modelling decisions. The entire middle and final tables are all stored in CSV form and processed in notebook files to allow the transparency and reproducibility of the preprocessing pipeline which would enable the future forecasting and distributional analysis to be based on consistent, well documented data describes the connection between various research philosophies and methodological decisions and explains how positivism is traditionally associated with quantitative aspects of collecting and analysing data, and interpretivism with the approaches that are more qualitative. The philosophy behind the research on which this study is anchored is positivism, which is the assumption that inflation and CPI are objective phenomena which can be explained by undertaking systematic observations, measuring and statistically analysing them. This position is suitable since all values are obtained based on empirical CPI data and modelled approaches as opposed to subjective interpretation and the variables of the study are of a clear and quantifiable nature including index levels, sectoral percentage changes and forecast errors. </w:t>
      </w:r>
    </w:p>
    <w:p>
      <w:pPr>
        <w:spacing w:lineRule="auto" w:line="360" w:before="240" w:after="24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themeColor="text1"/>
          <w:sz w:val="24"/>
          <w:szCs w:val="24"/>
        </w:rPr>
        <w:t>The capability of ARIMA and machine learning model to capture and predict the Irish CPI is tested using the conventional quantitative measures, such as Mean Absolute Error, Root Mean Squared Error, used on out of sample data. By doing so, the research would be able to generate easily reproducible conclusions that would be of relevance to the methodological practice in the field of inflation modelling and also in policy discourses on the use of cost-of-living analysis. The positivist approach places significant emphasis on transparency and replicability, which this paper will align with by playing with published sources of CPI and open-source python notebooks and reproducible preprocessing and modelling processes. On the whole, this philosophical approach can be aligned with the objectives of the project, and it presents a systematic basis of applying the data driving approach to the observation and prediction of inflation in the real-world economy.</w:t>
      </w:r>
    </w:p>
    <w:p>
      <w:pPr>
        <w:pStyle w:val="P2"/>
        <w:spacing w:lineRule="auto" w:line="360" w:before="240" w:after="240" w:beforeAutospacing="0" w:afterAutospacing="0"/>
        <w:ind w:firstLine="0" w:left="0"/>
        <w:rPr>
          <w:color w:val="000000" w:themeColor="text1"/>
        </w:rPr>
      </w:pPr>
      <w:bookmarkStart w:id="41" w:name="_Toc217422090"/>
      <w:r>
        <w:rPr>
          <w:color w:val="000000" w:themeColor="text1"/>
        </w:rPr>
        <w:t>3.4 Research philosophy</w:t>
      </w:r>
      <w:bookmarkEnd w:id="41"/>
    </w:p>
    <w:p>
      <w:pPr>
        <w:spacing w:lineRule="auto" w:line="360" w:before="240" w:after="24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themeColor="text1"/>
          <w:sz w:val="24"/>
          <w:szCs w:val="24"/>
        </w:rPr>
        <w:t>Explains the connection between various research philosophies and methodological decisions and shows how positivism is associated with quantitative approaches to collecting and analysing data, while interpretivism is linked with more qualitative approaches. The philosophy on which this study is based is positivism, which assumes that inflation and CPI are objective phenomena that can be explained through systematic observation, measurement and statistical analysis. The researcher follows a positivist stance because all results are obtained from empirical CPI evidence and statistical modelling, rather than from subjective interpretation. The discipline of the study is high, as it deals with quantifiable variables and measurable outcomes, including index levels, sectoral percentage changes, urban and rural indices and forecast errors from the models.</w:t>
      </w:r>
    </w:p>
    <w:p>
      <w:pPr>
        <w:spacing w:lineRule="auto" w:line="360" w:before="240" w:after="24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themeColor="text1"/>
          <w:sz w:val="24"/>
          <w:szCs w:val="24"/>
        </w:rPr>
        <w:t>The capability of ARIMA and machine learning models to capture and predict Irish CPI is tested using standardised quantitative measures such as Mean Absolute Error and Root Mean Squared Error on out-of-sample data. In this way, the research aims to produce clear, replicable conclusions that can contribute to methodological practice in inflation modelling and to policy debates on the analysis of cost-of-living pressures. Transparency and replicability are also key issues within a positivist philosophy, as they allow the validity of the findings to be checked and extended by other researchers. In line with this, the study relies on published CPI statistics, open-source Python tools and a reproducible preprocessing and modelling pipeline. Overall, this philosophical orientation does not contradict the aims of the research and provides a structured, data-driven basis for examining and forecasting inflation in the real-world Irish economy.</w:t>
      </w:r>
    </w:p>
    <w:p>
      <w:pPr>
        <w:pStyle w:val="P2"/>
        <w:spacing w:lineRule="auto" w:line="360" w:before="240" w:after="240" w:beforeAutospacing="0" w:afterAutospacing="0"/>
        <w:ind w:firstLine="0" w:left="0"/>
        <w:rPr>
          <w:color w:val="000000" w:themeColor="text1"/>
        </w:rPr>
      </w:pPr>
      <w:bookmarkStart w:id="42" w:name="_Toc217422091"/>
      <w:r>
        <w:rPr>
          <w:color w:val="000000" w:themeColor="text1"/>
        </w:rPr>
        <w:t>3.5 Research Design</w:t>
      </w:r>
      <w:bookmarkEnd w:id="42"/>
    </w:p>
    <w:p>
      <w:pPr>
        <w:pStyle w:val="P3"/>
        <w:spacing w:lineRule="auto" w:line="360" w:before="240" w:after="240" w:beforeAutospacing="0" w:afterAutospacing="0"/>
        <w:rPr>
          <w:rFonts w:ascii="Times New Roman" w:hAnsi="Times New Roman" w:cs="Times New Roman"/>
          <w:color w:val="000000" w:themeColor="text1"/>
          <w:sz w:val="24"/>
          <w:szCs w:val="24"/>
        </w:rPr>
      </w:pPr>
      <w:bookmarkStart w:id="43" w:name="_Toc217422092"/>
      <w:r>
        <w:rPr>
          <w:rFonts w:ascii="Times New Roman" w:hAnsi="Times New Roman" w:cs="Times New Roman"/>
          <w:color w:val="000000" w:themeColor="text1"/>
          <w:sz w:val="24"/>
          <w:szCs w:val="24"/>
        </w:rPr>
        <w:t>3.5.1 Modelling Methods (ARIMA and ML models)</w:t>
      </w:r>
      <w:bookmarkEnd w:id="43"/>
    </w:p>
    <w:p>
      <w:pPr>
        <w:spacing w:lineRule="auto" w:line="360" w:before="240" w:after="24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themeColor="text1"/>
          <w:sz w:val="24"/>
          <w:szCs w:val="24"/>
        </w:rPr>
        <w:t>The experiment uses classical time series modelling as well as supervised machine learning to predict the Irish Consumer Price Index (CPI). The combined dataset is then first extracted as the overall CPI index sorted by Month and set as a time series index monthly and resampled to an initial periodic of monthly start index ("MS"). The drop of missing values is performed to get a clean univariate series to use with a time series analysis and prediction.</w:t>
      </w:r>
    </w:p>
    <w:p>
      <w:pPr>
        <w:spacing w:lineRule="auto" w:line="360" w:before="240" w:after="24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themeColor="text1"/>
          <w:sz w:val="24"/>
          <w:szCs w:val="24"/>
        </w:rPr>
        <w:t>In the case of the classical benchmark, the stats model is estimated with the implementation of an ARIMA model. Autocorrelation and partial autocorrelation plots are generated to check the time series structure of the CPI series and a number of potential ARIMA orders (1,1,0),(1,1,1),(2,1,1),(2,1,2) are estimated on the training sample. A time-based split is applied on the sample, splitting it into a training (initial 80% observations) and a test set (20% of the observations) to keep the study chronology of the sample intact. The information criteria (AIC/BIC) are used to guide model selection and the most effective order is rerun on the training data. The one step ahead predictions are the next created of the entire length of the test period. The series are then overlaid to represent the actual versus forecast series in an overall CPI: Actual vs Forecast plot, that shows the results of the training data, test data and ARIMA forecasts against each other to require an easy understanding of forecast performance. The residuals of the chosen ARIMA model are charted with time and the autocorrelation of the residuals is checked to ensure that no great tendencies with time are left that would indicate the insufficiency of the specification. Simple measures of errors, i.e. Mean Absolute Error (MAE) and Root Mean Squared Error (RMSE) are calculated against the actual CPI values in the test set and compare them with the ARIMA predictions.</w:t>
      </w:r>
    </w:p>
    <w:p>
      <w:pPr>
        <w:spacing w:lineRule="auto" w:line="360" w:before="240" w:after="24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themeColor="text1"/>
          <w:sz w:val="24"/>
          <w:szCs w:val="24"/>
        </w:rPr>
        <w:t>Simultaneously, the paper formulates multiple machine learning (ML) models with a supervised learning formulation of the forecasting issue. The monthly CPI data is converted into a table with six lagged predictors CPI(t-1) to CPI(t-6) as the target variable CPIt along with six lagged predictors as obtained using shifting operations. The rows with gaps in the lag are dropped and the remaining dataset is once again divided into the training (first 80% of the total) and the test (last 20% of the total) sets according to time. Three supervised ML algorithms are viewed, including Linear Regression (linear based model) and Multi Layered perceptron (MLP) Regressor. Each of the models is implemented on scikit learn.</w:t>
      </w:r>
    </w:p>
    <w:p>
      <w:pPr>
        <w:spacing w:lineRule="auto" w:line="360" w:before="240" w:after="24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themeColor="text1"/>
          <w:sz w:val="24"/>
          <w:szCs w:val="24"/>
        </w:rPr>
        <w:t>The training segment is performed using time series split with five folds, Time series cross validation. Each candidate model is then repeatedly fitted on growing training windows and assessed on the respective validation windows; the average cross validated MAE is tabulated as an evaluation of in sample strength. This is followed by the fingering of each model separately on the entire training and subsequent forecasting on the hold out test. Accuracy of the forecast is measured by means of MAE and RMSE which are determined by comparing the forecasts to the real values of CPIt during the test period. These metrics are collected in an aggregated results dictionary, which contains the ARIMA, Linear Regression, Random Forest and MLP, which gets converted to a summary table ranking models based on their RMSE. The highest performing model is determined considering the lowest RMSE and MAE, giving a definite ground on comparison in classical ARIMA versus the ML based prediction methods within a similar set of data and evaluation criteria.</w:t>
      </w:r>
    </w:p>
    <w:p>
      <w:pPr>
        <w:pStyle w:val="P3"/>
        <w:spacing w:lineRule="auto" w:line="360" w:before="240" w:after="240" w:beforeAutospacing="0" w:afterAutospacing="0"/>
        <w:rPr>
          <w:rFonts w:ascii="Times New Roman" w:hAnsi="Times New Roman" w:cs="Times New Roman"/>
          <w:color w:val="000000" w:themeColor="text1"/>
          <w:sz w:val="24"/>
          <w:szCs w:val="24"/>
        </w:rPr>
      </w:pPr>
      <w:bookmarkStart w:id="44" w:name="_Toc217422093"/>
      <w:r>
        <w:rPr>
          <w:rFonts w:ascii="Times New Roman" w:hAnsi="Times New Roman" w:cs="Times New Roman"/>
          <w:color w:val="000000" w:themeColor="text1"/>
          <w:sz w:val="24"/>
          <w:szCs w:val="24"/>
        </w:rPr>
        <w:t>3.5.2 Evaluation Metrics (MAE, RMSE)</w:t>
      </w:r>
      <w:bookmarkEnd w:id="44"/>
    </w:p>
    <w:p>
      <w:pPr>
        <w:spacing w:lineRule="auto" w:line="360" w:before="240" w:after="24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themeColor="text1"/>
          <w:sz w:val="24"/>
          <w:szCs w:val="24"/>
        </w:rPr>
        <w:t>All forecasting models in this paper are compared based on two basic measures of quantitative evaluation; Mean Absolute Error (MAE) and Root Mean Squared Error (RMSE), which were calculated on the same test data of CPI. Such measures will give an objective understanding of the quality of the ARIMA model against other machine learning models (Linear Regression, Random Forest, MLP and any explanatory LSTM), when using a common data-splitting model established in the notebooks.</w:t>
      </w:r>
    </w:p>
    <w:p>
      <w:pPr>
        <w:spacing w:lineRule="auto" w:line="360" w:before="240" w:after="24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themeColor="text1"/>
          <w:sz w:val="24"/>
          <w:szCs w:val="24"/>
        </w:rPr>
        <w:t>Each model is then fitted to the training data (only the first 80 percent of the observations) in chronological order after which it is used to provide a forecast at each of the time points in the test period. The forecast error at any given such point t will be the difference between the observed CPI and that which is predicted by the model. Then, the Mean Absolute Error (MAE) is obtained by mean absolute error of all the test observations. Conceptually, MAE is an indicator of the average scale of errors in forecasting measured in the same units as the cpi index: the smaller MAE, the more it is detected that on average the model predictions are nearer to the true scores of the cpi. Since MAE treats any error linearly, large and small deviations have an equal contribution and hence it is an effective measure of overall fit.</w:t>
      </w:r>
    </w:p>
    <w:p>
      <w:pPr>
        <w:spacing w:lineRule="auto" w:line="360" w:before="240" w:after="24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themeColor="text1"/>
          <w:sz w:val="24"/>
          <w:szCs w:val="24"/>
        </w:rPr>
        <w:t>Root Mean Squared error (RMSE) on the other hand is calculated as a square root of the mean squared errors. Squaring the errors prior to averaging the errors causes the bigger errors to earn disproportional weight; the square root restores the measurement to its original CPI scale. RMSE therefore penalises models worse when they give nonfrequent big errors e.g. missing a turning point in the CPI series, or missing a sudden shift in the inflation dynamics. RMSE in this project is particularly helpful in determining the performance of each model in dealing with the more volatile period after 2020 where inflation dynamics might be more abrupt than previous years.</w:t>
      </w:r>
    </w:p>
    <w:p>
      <w:pPr>
        <w:spacing w:lineRule="auto" w:line="360" w:before="240" w:after="24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themeColor="text1"/>
          <w:sz w:val="24"/>
          <w:szCs w:val="24"/>
        </w:rPr>
        <w:t>The code computes MAE and RMSE of all the models using the actual test CPI values and the respective forecast vectors and these values are stored into a results structure which is subsequently presented as a summary table. The table enables one to make a direct comparison of ARIMA, Linear Regression, Random Forest and MLP (and any other model) using the same metrics and test window and make a fair evaluation. The models with smaller MAE and RMSE are considered to possess a superior out of sample predictive performance. These numerical findings are displayed as well as the plotting of Actual vs Forecast of the overall CPI which graphically indicates how well the various models follow the level and movement of the index throughout the test period. The combination of MAE and RMSE offer a clear and reproducible system of selecting the desirable forecasting tool, as well as to justify the findings of the study regarding what is the most appropriate approach to forecasting short-term CPI in the Irish setting.</w:t>
      </w:r>
    </w:p>
    <w:p>
      <w:pPr>
        <w:pStyle w:val="P2"/>
        <w:spacing w:lineRule="auto" w:line="360" w:before="240" w:after="240" w:beforeAutospacing="0" w:afterAutospacing="0"/>
        <w:ind w:firstLine="0" w:left="0"/>
        <w:rPr>
          <w:color w:val="000000" w:themeColor="text1"/>
        </w:rPr>
      </w:pPr>
      <w:bookmarkStart w:id="45" w:name="_Toc217422094"/>
      <w:r>
        <w:rPr>
          <w:color w:val="000000" w:themeColor="text1"/>
        </w:rPr>
        <w:t>3.6 Ethical and Practical Considerations</w:t>
      </w:r>
      <w:bookmarkEnd w:id="45"/>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b w:val="1"/>
          <w:i w:val="1"/>
          <w:bCs w:val="1"/>
          <w:iCs w:val="1"/>
          <w:color w:val="000000" w:themeColor="text1"/>
          <w:sz w:val="24"/>
          <w:szCs w:val="24"/>
        </w:rPr>
      </w:pPr>
      <w:r>
        <w:rPr>
          <w:rFonts w:ascii="Times New Roman" w:hAnsi="Times New Roman" w:cs="Times New Roman" w:eastAsia="Times New Roman"/>
          <w:b w:val="1"/>
          <w:i w:val="1"/>
          <w:bCs w:val="1"/>
          <w:iCs w:val="1"/>
          <w:color w:val="000000" w:themeColor="text1"/>
          <w:sz w:val="24"/>
          <w:szCs w:val="24"/>
        </w:rPr>
        <w:t xml:space="preserve">Ethical Consideration </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b w:val="1"/>
          <w:i w:val="1"/>
          <w:bCs w:val="1"/>
          <w:iCs w:val="1"/>
          <w:color w:val="000000" w:themeColor="text1"/>
          <w:sz w:val="24"/>
          <w:szCs w:val="24"/>
        </w:rPr>
      </w:pPr>
      <w:r>
        <w:rPr>
          <w:rFonts w:ascii="Times New Roman" w:hAnsi="Times New Roman" w:cs="Times New Roman" w:eastAsia="Times New Roman"/>
          <w:color w:val="000000" w:themeColor="text1"/>
          <w:sz w:val="24"/>
          <w:szCs w:val="24"/>
        </w:rPr>
        <w:t>The study is informatized using only anonymised, publicly available CPI data, and thus no individual information is accumulated or given. The ethical practice is facilitated by the openness in data manipulation and the modelling: the entire process of cleaning, rebasing, merging CPI series and building sectoral and urban/rural indices is recorded in the notebooks, as are the ARIMA and machine-learning model specifications. There are also clear limitations such as the use of aggregate indices and not using microdata at the household level, and the sample period after 2020 and the inevitability of any forecast of inflation. Results on the matter of sectoral and urban/rural inflation are reported in a careful manner so as not to exaggerate the accuracy of the predictions or distort the magnitude of effects on specific groups.</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b w:val="1"/>
          <w:i w:val="1"/>
          <w:bCs w:val="1"/>
          <w:iCs w:val="1"/>
          <w:color w:val="000000" w:themeColor="text1"/>
          <w:sz w:val="24"/>
          <w:szCs w:val="24"/>
        </w:rPr>
      </w:pPr>
      <w:r>
        <w:rPr>
          <w:rFonts w:ascii="Times New Roman" w:hAnsi="Times New Roman" w:cs="Times New Roman" w:eastAsia="Times New Roman"/>
          <w:b w:val="1"/>
          <w:i w:val="1"/>
          <w:bCs w:val="1"/>
          <w:iCs w:val="1"/>
          <w:color w:val="000000" w:themeColor="text1"/>
          <w:sz w:val="24"/>
          <w:szCs w:val="24"/>
        </w:rPr>
        <w:t xml:space="preserve">Practical Consideration </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themeColor="text1"/>
          <w:sz w:val="24"/>
          <w:szCs w:val="24"/>
        </w:rPr>
        <w:t>Practically, this means that the methods and tools will be selected to ensure a balance between rigour and usability. The analysis is coded in Python through available popular libraries dealing with time-series and machine learning, and all the data are stored in a standard CSV format and processed in the notebook format to enable reproducibility and extension in future. The model choices are created with limited chosen techniques interpretable and well-established models such as ARIMA, Linear regression, random forest, MLP and an introduction exploratory LSTM in mind, as opposed to highly complex architectures that would be difficult to support and clarify to the non-technical stakeholders. Computational needs remain manageable and it becomes possible to replicate the workflow by other analysts using similar CPI data. All these ethical and practical factors will help ensure that the forecasting framework of the study is ethically responsible and transparent and realistically applicable to conduct the analysis of the Irish inflation and the effects of it in the context.</w:t>
      </w:r>
    </w:p>
    <w:p>
      <w:pPr>
        <w:pStyle w:val="P2"/>
        <w:spacing w:lineRule="auto" w:line="360" w:before="240" w:after="240" w:beforeAutospacing="0" w:afterAutospacing="0"/>
        <w:ind w:firstLine="0" w:left="0"/>
        <w:rPr>
          <w:color w:val="000000" w:themeColor="text1"/>
        </w:rPr>
      </w:pPr>
      <w:bookmarkStart w:id="46" w:name="_Toc217422095"/>
      <w:r>
        <w:rPr>
          <w:color w:val="000000" w:themeColor="text1"/>
        </w:rPr>
        <w:t>3.7 Limitations of the methodology</w:t>
      </w:r>
      <w:bookmarkEnd w:id="46"/>
    </w:p>
    <w:p>
      <w:pPr>
        <w:spacing w:lineRule="auto" w:line="360" w:before="240" w:after="24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themeColor="text1"/>
          <w:sz w:val="24"/>
          <w:szCs w:val="24"/>
        </w:rPr>
        <w:t>The use of systematic and data-driven methodology has a few drawbacks to the methodology of this research. To begin with, the analysis is limited by the accuracy and granularity of the secondary data of CPI because the study depends on aggregate indices instead of household microdata. Regardless of the revisions or measurement problems or omissions in the official CPI series can have impacts on the soundness of the models and accuracy of the sectoral or urban-rural comparisons. Furthermore, the fact that the sample period is relatively short (primarily covering the period of high inflation in 2020) and that the time-series and machine-learning models are primarily trained on data before the latter half of that year, constrains the capacity of the time-series and machine-learning models to capture the longer-run inflation dynamics and structural breaks in the price behaviour.</w:t>
      </w:r>
    </w:p>
    <w:p>
      <w:pPr>
        <w:spacing w:lineRule="auto" w:line="360" w:before="240" w:after="24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themeColor="text1"/>
          <w:sz w:val="24"/>
          <w:szCs w:val="24"/>
        </w:rPr>
        <w:t>Another drawback is related to the complexity of the model and generalisability. Although the presentation offers an effective comparison of ARIMA and the chosen machine-learning models (Linear Regression, Random Forest, MLP and exploratory LSTM) they are estimated on one national CPI data, and the findings might not apply to other nations, different inflation measures, or highly dissimilar economic situations. The models are also not trained on historical trends and will not help in considering abrupt unpredictable shocks like geopolitical crisis or the sudden change in policies as this may dramatically change the inflation trends. Lastly, hyperparameter optimization of the ML models is brought to a relatively modest level in order to make them possible, which can potentially imply that the optimal possible performance is not realized. Such limitations indicate that predictions and conclusions can only be considered as a preventative measure and no longer as definitive forecasts but as an informative measure among others in explaining Irish inflation.</w:t>
      </w:r>
    </w:p>
    <w:p>
      <w:pPr>
        <w:pStyle w:val="P2"/>
        <w:spacing w:lineRule="auto" w:line="360" w:before="240" w:after="240" w:beforeAutospacing="0" w:afterAutospacing="0"/>
        <w:ind w:firstLine="0" w:left="0"/>
        <w:rPr>
          <w:color w:val="000000" w:themeColor="text1"/>
        </w:rPr>
      </w:pPr>
      <w:bookmarkStart w:id="47" w:name="_Toc217422096"/>
      <w:r>
        <w:rPr>
          <w:color w:val="000000" w:themeColor="text1"/>
        </w:rPr>
        <w:t>3.8 Summary</w:t>
      </w:r>
      <w:bookmarkEnd w:id="47"/>
    </w:p>
    <w:p>
      <w:pPr>
        <w:spacing w:lineRule="auto" w:line="360" w:before="240" w:after="240" w:beforeAutospacing="0" w:afterAutospacing="0"/>
        <w:jc w:val="both"/>
        <w:rPr>
          <w:rFonts w:ascii="Times New Roman" w:hAnsi="Times New Roman" w:cs="Times New Roman" w:eastAsia="Times New Roman"/>
          <w:color w:val="000000" w:themeColor="text1"/>
        </w:rPr>
      </w:pPr>
      <w:r>
        <w:rPr>
          <w:rFonts w:ascii="Times New Roman" w:hAnsi="Times New Roman" w:cs="Times New Roman" w:eastAsia="Times New Roman"/>
          <w:color w:val="000000" w:themeColor="text1"/>
          <w:sz w:val="24"/>
          <w:szCs w:val="24"/>
        </w:rPr>
        <w:t>This chapter discussed the approach to forecasting Irish inflation based on consumer price</w:t>
      </w:r>
      <w:r>
        <w:rPr>
          <w:rFonts w:ascii="Times New Roman" w:hAnsi="Times New Roman" w:cs="Times New Roman" w:eastAsia="Times New Roman"/>
          <w:color w:val="000000" w:themeColor="text1"/>
        </w:rPr>
        <w:t> </w:t>
      </w:r>
      <w:r>
        <w:rPr>
          <w:rFonts w:ascii="Times New Roman" w:hAnsi="Times New Roman" w:cs="Times New Roman" w:eastAsia="Times New Roman"/>
          <w:color w:val="000000" w:themeColor="text1"/>
          <w:sz w:val="24"/>
          <w:szCs w:val="24"/>
        </w:rPr>
        <w:t>index (CPI) data and addressed sectoral and urban/rural differences. A more quantitative,</w:t>
      </w:r>
      <w:r>
        <w:rPr>
          <w:rFonts w:ascii="Times New Roman" w:hAnsi="Times New Roman" w:cs="Times New Roman" w:eastAsia="Times New Roman"/>
          <w:color w:val="000000" w:themeColor="text1"/>
        </w:rPr>
        <w:t> </w:t>
      </w:r>
      <w:r>
        <w:rPr>
          <w:rFonts w:ascii="Times New Roman" w:hAnsi="Times New Roman" w:cs="Times New Roman" w:eastAsia="Times New Roman"/>
          <w:color w:val="000000" w:themeColor="text1"/>
          <w:sz w:val="24"/>
          <w:szCs w:val="24"/>
        </w:rPr>
        <w:t>positivist position was taken and secondary data from the CPI source together with statistical and machine learning models including ARIMA, Linear Regression Rain Forest, MLP as well as a rudimentary LSTM model used to develop short-term forecasts of CPI which were compared. The chapter presented the research design in which the descriptive analysis of global, sectoral and urban/rural CPI trends was initially performed, followed by an experimental forecasting phase with a time-ordered train–test split approach complemented with lagged</w:t>
      </w:r>
      <w:r>
        <w:rPr>
          <w:rFonts w:ascii="Times New Roman" w:hAnsi="Times New Roman" w:cs="Times New Roman" w:eastAsia="Times New Roman"/>
          <w:color w:val="000000" w:themeColor="text1"/>
        </w:rPr>
        <w:t> </w:t>
      </w:r>
      <w:r>
        <w:rPr>
          <w:rFonts w:ascii="Times New Roman" w:hAnsi="Times New Roman" w:cs="Times New Roman" w:eastAsia="Times New Roman"/>
          <w:color w:val="000000" w:themeColor="text1"/>
          <w:sz w:val="24"/>
          <w:szCs w:val="24"/>
        </w:rPr>
        <w:t>CPI features. Data sources, preprocessing (including rebasing, merging and reshaping of CPI series) and evaluation tools (MAE/RMSE) were described in detail together with ethical-legal-social-economic issues related to accessing official statistics while informing the</w:t>
      </w:r>
      <w:r>
        <w:rPr>
          <w:rFonts w:ascii="Times New Roman" w:hAnsi="Times New Roman" w:cs="Times New Roman" w:eastAsia="Times New Roman"/>
          <w:color w:val="000000" w:themeColor="text1"/>
        </w:rPr>
        <w:t> </w:t>
      </w:r>
      <w:r>
        <w:rPr>
          <w:rFonts w:ascii="Times New Roman" w:hAnsi="Times New Roman" w:cs="Times New Roman" w:eastAsia="Times New Roman"/>
          <w:color w:val="000000" w:themeColor="text1"/>
          <w:sz w:val="24"/>
          <w:szCs w:val="24"/>
        </w:rPr>
        <w:t>public about inflation outcomes. Finally, issue Consideration of the limitations to the method, (use of aggregate</w:t>
      </w:r>
      <w:r>
        <w:rPr>
          <w:rFonts w:ascii="Times New Roman" w:hAnsi="Times New Roman" w:cs="Times New Roman" w:eastAsia="Times New Roman"/>
          <w:color w:val="000000" w:themeColor="text1"/>
        </w:rPr>
        <w:t> </w:t>
      </w:r>
      <w:r>
        <w:rPr>
          <w:rFonts w:ascii="Times New Roman" w:hAnsi="Times New Roman" w:cs="Times New Roman" w:eastAsia="Times New Roman"/>
          <w:color w:val="000000" w:themeColor="text1"/>
          <w:sz w:val="24"/>
          <w:szCs w:val="24"/>
        </w:rPr>
        <w:t>indices, a short sample period and generalising constraints) was faced. In general, this methodology is designed to form the basis for reaching the</w:t>
      </w:r>
      <w:r>
        <w:rPr>
          <w:rFonts w:ascii="Times New Roman" w:hAnsi="Times New Roman" w:cs="Times New Roman" w:eastAsia="Times New Roman"/>
          <w:color w:val="000000" w:themeColor="text1"/>
        </w:rPr>
        <w:t> </w:t>
      </w:r>
      <w:r>
        <w:rPr>
          <w:rFonts w:ascii="Times New Roman" w:hAnsi="Times New Roman" w:cs="Times New Roman" w:eastAsia="Times New Roman"/>
          <w:color w:val="000000" w:themeColor="text1"/>
          <w:sz w:val="24"/>
          <w:szCs w:val="24"/>
        </w:rPr>
        <w:t>study’s objectives and providing useful findings on recent inflation patterns and their effects on various types of households in Ireland.</w:t>
      </w:r>
    </w:p>
    <w:p>
      <w:pPr>
        <w:spacing w:lineRule="auto" w:line="360" w:before="240" w:after="240" w:beforeAutospacing="0" w:afterAutospacing="0"/>
        <w:jc w:val="both"/>
        <w:rPr>
          <w:rFonts w:ascii="Times New Roman" w:hAnsi="Times New Roman" w:cs="Times New Roman" w:eastAsia="Times New Roman"/>
          <w:b w:val="1"/>
          <w:bCs w:val="1"/>
          <w:color w:val="000000" w:themeColor="text1"/>
          <w:sz w:val="26"/>
          <w:szCs w:val="26"/>
        </w:rPr>
      </w:pPr>
    </w:p>
    <w:p>
      <w:pPr>
        <w:spacing w:lineRule="auto" w:line="360" w:before="240" w:after="240" w:beforeAutospacing="0" w:afterAutospacing="0"/>
        <w:jc w:val="both"/>
        <w:rPr>
          <w:rFonts w:ascii="Times New Roman" w:hAnsi="Times New Roman" w:cs="Times New Roman" w:eastAsia="Times New Roman"/>
          <w:b w:val="1"/>
          <w:bCs w:val="1"/>
          <w:color w:val="000000" w:themeColor="text1"/>
          <w:sz w:val="26"/>
          <w:szCs w:val="26"/>
        </w:rPr>
      </w:pPr>
    </w:p>
    <w:p>
      <w:pPr>
        <w:spacing w:lineRule="auto" w:line="360" w:before="240" w:after="240" w:beforeAutospacing="0" w:afterAutospacing="0"/>
        <w:jc w:val="both"/>
        <w:rPr>
          <w:rFonts w:ascii="Times New Roman" w:hAnsi="Times New Roman" w:cs="Times New Roman" w:eastAsia="Times New Roman"/>
          <w:b w:val="1"/>
          <w:bCs w:val="1"/>
          <w:color w:val="000000" w:themeColor="text1"/>
          <w:sz w:val="26"/>
          <w:szCs w:val="26"/>
        </w:rPr>
      </w:pPr>
    </w:p>
    <w:p>
      <w:pPr>
        <w:spacing w:lineRule="auto" w:line="360" w:before="240" w:after="240" w:beforeAutospacing="0" w:afterAutospacing="0"/>
        <w:jc w:val="both"/>
        <w:rPr>
          <w:rFonts w:ascii="Times New Roman" w:hAnsi="Times New Roman" w:cs="Times New Roman" w:eastAsia="Times New Roman"/>
          <w:b w:val="1"/>
          <w:bCs w:val="1"/>
          <w:color w:val="000000" w:themeColor="text1"/>
          <w:sz w:val="26"/>
          <w:szCs w:val="26"/>
        </w:rPr>
      </w:pPr>
    </w:p>
    <w:p>
      <w:pPr>
        <w:spacing w:lineRule="auto" w:line="360" w:before="240" w:after="240" w:beforeAutospacing="0" w:afterAutospacing="0"/>
        <w:jc w:val="both"/>
        <w:rPr>
          <w:rFonts w:ascii="Times New Roman" w:hAnsi="Times New Roman" w:cs="Times New Roman" w:eastAsia="Times New Roman"/>
          <w:b w:val="1"/>
          <w:bCs w:val="1"/>
          <w:color w:val="000000" w:themeColor="text1"/>
          <w:sz w:val="26"/>
          <w:szCs w:val="26"/>
        </w:rPr>
      </w:pPr>
    </w:p>
    <w:p>
      <w:pPr>
        <w:pStyle w:val="P1"/>
        <w:spacing w:lineRule="auto" w:line="360" w:before="240" w:after="240" w:beforeAutospacing="0" w:afterAutospacing="0"/>
        <w:ind w:left="0"/>
        <w:rPr>
          <w:color w:val="000000" w:themeColor="text1"/>
        </w:rPr>
      </w:pPr>
      <w:bookmarkStart w:id="48" w:name="_Toc217422097"/>
      <w:r>
        <w:rPr>
          <w:color w:val="000000" w:themeColor="text1"/>
        </w:rPr>
        <w:t>Chapter 4: Results and Discussion</w:t>
      </w:r>
      <w:bookmarkEnd w:id="48"/>
    </w:p>
    <w:p>
      <w:pPr>
        <w:pStyle w:val="P2"/>
        <w:spacing w:lineRule="auto" w:line="360" w:before="240" w:after="240" w:beforeAutospacing="0" w:afterAutospacing="0"/>
        <w:ind w:firstLine="0" w:left="0"/>
        <w:rPr>
          <w:color w:val="000000" w:themeColor="text1"/>
        </w:rPr>
      </w:pPr>
      <w:bookmarkStart w:id="49" w:name="_36r42nfnmqan"/>
      <w:bookmarkEnd w:id="49"/>
      <w:bookmarkStart w:id="50" w:name="_Toc217422098"/>
      <w:r>
        <w:rPr>
          <w:color w:val="000000" w:themeColor="text1"/>
        </w:rPr>
        <w:t>4.1 Introduction</w:t>
      </w:r>
      <w:bookmarkEnd w:id="50"/>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themeColor="text1"/>
          <w:sz w:val="24"/>
          <w:szCs w:val="24"/>
        </w:rPr>
        <w:t>The findings and discussion of the empirical study of Irish inflation using Consumer Price Index (CPI) data are presented in this chapter. It focusses on analysing the performance of various forecasting models applied to the monthly overall CPI series and summarising recent developments in the CPI. In order to show how inflation has changed since 2020 and where price pressures have been most noticeable, the chapter first presents descriptive findings for overall, sectoral, and urban/rural CPI. These findings offer context for comprehending the cost-of-living situation that Irish households encountered during the most recent period of high inflation.</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b w:val="1"/>
          <w:bCs w:val="1"/>
          <w:color w:val="000000" w:themeColor="text1"/>
          <w:sz w:val="26"/>
          <w:szCs w:val="26"/>
        </w:rPr>
      </w:pPr>
      <w:r>
        <w:rPr>
          <w:rFonts w:ascii="Times New Roman" w:hAnsi="Times New Roman" w:cs="Times New Roman" w:eastAsia="Times New Roman"/>
          <w:color w:val="000000" w:themeColor="text1"/>
          <w:sz w:val="24"/>
          <w:szCs w:val="24"/>
        </w:rPr>
        <w:t>The results of the time-series and machine learning models ARIMA, Linear Regression, Random Forest, MLP, and an exploratory LSTM used to predict CPI are then summarised in this chapter. A common test period is used to evaluate their forecasts using Mean Absolute Error (MAE) and Root Mean Squared Error (RMSE). "Actual vs. Forecast" plots show how closely each model matches observed CPI movements. In terms of accuracy and usefulness for short-term inflation forecasting, these models' comparative performance is evaluated. Lastly, the findings are examined in light of the study's goals, highlighting implications for various household groups and considering the advantages and disadvantages of the modelling techniques.</w:t>
      </w:r>
    </w:p>
    <w:p>
      <w:pPr>
        <w:pStyle w:val="P2"/>
        <w:spacing w:lineRule="auto" w:line="360" w:before="240" w:after="240" w:beforeAutospacing="0" w:afterAutospacing="0"/>
        <w:ind w:firstLine="0" w:left="0"/>
        <w:rPr>
          <w:color w:val="000000" w:themeColor="text1"/>
        </w:rPr>
      </w:pPr>
      <w:bookmarkStart w:id="51" w:name="_Toc217422099"/>
      <w:r>
        <w:rPr>
          <w:color w:val="000000" w:themeColor="text1"/>
        </w:rPr>
        <w:t>4.2 Sectoral Inflation Results (2020–2024)</w:t>
      </w:r>
      <w:bookmarkEnd w:id="51"/>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b w:val="1"/>
          <w:bCs w:val="1"/>
          <w:color w:val="000000" w:themeColor="text1"/>
          <w:sz w:val="26"/>
          <w:szCs w:val="26"/>
        </w:rPr>
      </w:pPr>
      <w:r>
        <w:rPr>
          <w:rFonts w:ascii="Times New Roman" w:hAnsi="Times New Roman" w:cs="Times New Roman" w:eastAsia="Times New Roman"/>
          <w:color w:val="000000" w:themeColor="text1"/>
          <w:sz w:val="24"/>
          <w:szCs w:val="24"/>
        </w:rPr>
        <w:t>Using the created CPI sector indices, the sectoral inflation analysis looks at how price changes have changed across various spending categories in Ireland between 2020 and 2024. The underlying dataset allows sector-specific trends to be compared on a consistent time basis by combining the official monthly overall CPI with comprehensive sectoral indices (such as housing-related costs, energy, transportation, food, and other major COICOP divisions) into a single merged file. In order to track each sector over time and compare it directly with the overall CPI, these series are rebased and reshaped. This allows one to determine which categories have most strongly contributed to the recent high-inflation episode.</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themeColor="text1"/>
          <w:sz w:val="24"/>
          <w:szCs w:val="24"/>
        </w:rPr>
        <w:t>Although nearly every sector saw upward pressure, line plots of the rebased sector indices from 2020 to 2024 reveal that the timing and size of price increases varied significantly between categories. Compared to some discretionary sectors, necessities like housing, energy, and transportation typically show steeper and longer-lasting increases, suggesting that households whose spending is concentrated in these areas have experienced particularly severe cost-of-living pressures. The rebased series is used to calculate the cumulative percentage changes in each sector index over the period in order to quantify these differences and provide a clear ranking of sectors by total inflation. These sectoral findings are a crucial component of this chapter's discussion because they show how recent inflation has been uneven and provide background information for a subsequent examination of how these trends may impact Irish households differently based on their consumption structure.</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ind w:left="720"/>
        <w:jc w:val="both"/>
        <w:rPr>
          <w:rFonts w:ascii="Times New Roman" w:hAnsi="Times New Roman" w:cs="Times New Roman" w:eastAsia="Times New Roman"/>
          <w:color w:val="000000" w:themeColor="text1"/>
          <w:sz w:val="24"/>
          <w:szCs w:val="24"/>
        </w:rPr>
      </w:pPr>
    </w:p>
    <w:p>
      <w:pPr>
        <w:spacing w:lineRule="auto" w:line="360" w:before="240" w:after="24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themeColor="text1"/>
          <w:sz w:val="24"/>
          <w:szCs w:val="24"/>
        </w:rPr>
        <w:t xml:space="preserve"> </w:t>
      </w:r>
    </w:p>
    <w:p>
      <w:pPr>
        <w:spacing w:lineRule="auto" w:line="360" w:before="240" w:after="24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noProof w:val="1"/>
          <w:color w:val="000000" w:themeColor="text1"/>
          <w:sz w:val="24"/>
          <w:szCs w:val="24"/>
          <w:lang w:eastAsia="en-IN"/>
        </w:rPr>
        <w:drawing>
          <wp:inline xmlns:wp="http://schemas.openxmlformats.org/drawingml/2006/wordprocessingDrawing" distT="0" distB="0" distL="0" distR="0">
            <wp:extent cx="6263640" cy="8115300"/>
            <wp:effectExtent l="0" t="0" r="3810" b="0"/>
            <wp:docPr id="9" name="image6.png" descr="A screenshot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6.png" descr="A screenshot of a graph&#10;&#10;AI-generated content may be incorrect."/>
                    <pic:cNvPicPr preferRelativeResize="0"/>
                  </pic:nvPicPr>
                  <pic:blipFill dpi="0">
                    <a:blip xmlns:r="http://schemas.openxmlformats.org/officeDocument/2006/relationships" r:embed="Relimage7"/>
                    <a:srcRect/>
                    <a:stretch>
                      <a:fillRect/>
                    </a:stretch>
                  </pic:blipFill>
                  <pic:spPr>
                    <a:xfrm>
                      <a:off x="0" y="0"/>
                      <a:ext cx="6263640" cy="8115300"/>
                    </a:xfrm>
                    <a:prstGeom prst="rect"/>
                  </pic:spPr>
                </pic:pic>
              </a:graphicData>
            </a:graphic>
          </wp:inline>
        </w:drawing>
      </w:r>
    </w:p>
    <w:p>
      <w:pPr>
        <w:pStyle w:val="P4"/>
        <w:spacing w:before="240" w:after="240" w:beforeAutospacing="0" w:afterAutospacing="0"/>
        <w:rPr>
          <w:color w:val="000000" w:themeColor="text1"/>
        </w:rPr>
      </w:pPr>
      <w:r>
        <w:rPr>
          <w:color w:val="000000" w:themeColor="text1"/>
        </w:rPr>
        <w:t xml:space="preserve">     </w:t>
      </w:r>
      <w:bookmarkStart w:id="52" w:name="_Toc217071770"/>
      <w:r>
        <w:rPr>
          <w:color w:val="000000" w:themeColor="text1"/>
        </w:rPr>
        <w:t>Figure 4.21: Sectoral CPI indices for Ireland, 2020–2024</w:t>
      </w:r>
      <w:bookmarkEnd w:id="52"/>
    </w:p>
    <w:p>
      <w:pPr>
        <w:spacing w:lineRule="auto" w:line="360" w:before="240" w:after="24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themeColor="text1"/>
          <w:sz w:val="24"/>
          <w:szCs w:val="24"/>
        </w:rPr>
        <w:t>In Figure 4.21, you can see the predicted CPI index for the 12 main categories of consumption from 2020 to 2025, along with the overall 'All items' series. Generally, most categories show a slow increase in the central forecast (the blue line), but the shaded areas highlight rising uncertainty as time goes on. There's also a noticeable difference in inflation rates across spending areas, with housing, transport, restaurants and hotels, and alcohol and tobacco seeing faster growth compared to communications and education. As the results of this paper suggest, the general trend in inflation in Ireland during 2020-2025 has been mainly characterised by high improvement in the fundamental consumption sectors. The Consumer Price Index (CPI) of all items exhibits apparent existence of an upward trend over the period, which is an indication of the overall price pressures in the economy. Food and non-alcohol were up to a point of about 100 at the index mark in the year 2020, but have gone up to about 160 up to the year 2024-2025, by 60 percent margin. In general, these sectoral CPI statistics have a clear indication of the disproportionate yet consistent rise in the inflation of consumption types (Sheremirov, 2021). Alcohol and tobacco also increased continuously, by about 90 in 2020 to approximately 140 in 2025 and it tells us that discrepant but constant consumption of goods will keep rising.</w:t>
      </w:r>
    </w:p>
    <w:p>
      <w:pPr>
        <w:spacing w:lineRule="auto" w:line="360" w:before="240" w:after="24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themeColor="text1"/>
          <w:sz w:val="24"/>
          <w:szCs w:val="24"/>
        </w:rPr>
        <w:t xml:space="preserve">Hotel and restaurants also came under the same pressure, as the index grew in 2020 around 110 to the present day approximately 180, indicating the effects of increased input and labour costs. These opposing sectoral developments emphasise the difference in the intensity of inflation over regions of household expenditure (Mwale and Kabubi, 2025). Conversely, communications and education recorded moderate growth, overall not exceeding an index of 120 within the respective areas of communication and education at the same period, which implied reduced inflationary exposure in these areas. </w:t>
      </w:r>
    </w:p>
    <w:p>
      <w:pPr>
        <w:pStyle w:val="P2"/>
        <w:spacing w:lineRule="auto" w:line="360" w:before="240" w:after="240" w:beforeAutospacing="0" w:afterAutospacing="0"/>
        <w:ind w:firstLine="0" w:left="0"/>
        <w:rPr>
          <w:color w:val="000000" w:themeColor="text1"/>
        </w:rPr>
      </w:pPr>
      <w:bookmarkStart w:id="53" w:name="_Toc217422100"/>
      <w:r>
        <w:rPr>
          <w:color w:val="000000" w:themeColor="text1"/>
        </w:rPr>
        <w:t>4.3 Urban vs Rural Inflation Results</w:t>
      </w:r>
      <w:bookmarkEnd w:id="53"/>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themeColor="text1"/>
          <w:sz w:val="24"/>
          <w:szCs w:val="24"/>
        </w:rPr>
        <w:t>Using the created urban and rural CPI indices, the urban vs. rural inflation analysis looks at how price changes changed throughout Ireland between 2020 and 2024. The underlying dataset allows location-specific trends to be compared on a consistent time basis by combining monthly overall CPI with distinct indices for urban and rural households into a single file. It is possible to determine whether rural households have experienced consistently higher price growth than urban households during the recent inflation episode by rebased and reshaping these series so that each location can be tracked over time and directly contrasted.</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themeColor="text1"/>
          <w:sz w:val="24"/>
          <w:szCs w:val="24"/>
        </w:rPr>
        <w:t>Both places saw significant price increases between 2020 and 2024, according to line plots of the rebased urban and rural indices; however, the degree and timing of inflation varied at different times. The rural CPI line has occasionally been higher than the urban line, indicating that rural households have experienced somewhat higher cumulative inflation pressures due to their increased exposure to energy and transportation expenses. In order to provide a clear comparison of overall inflation by location, cumulative percentage changes for urban and rural indices are calculated from the rebased series. These urban and rural results are an important part of the discussion in this chapter. They show that the cost-of-living shock has not been the same everywhere and may have hit rural households harder.</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ind w:left="720"/>
        <w:jc w:val="both"/>
        <w:rPr>
          <w:rFonts w:ascii="Times New Roman" w:hAnsi="Times New Roman" w:cs="Times New Roman" w:eastAsia="Times New Roman"/>
          <w:color w:val="000000" w:themeColor="text1"/>
          <w:sz w:val="24"/>
          <w:szCs w:val="24"/>
        </w:rPr>
      </w:pP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ind w:left="720"/>
        <w:jc w:val="both"/>
        <w:rPr>
          <w:rFonts w:ascii="Times New Roman" w:hAnsi="Times New Roman" w:cs="Times New Roman" w:eastAsia="Times New Roman"/>
          <w:color w:val="000000" w:themeColor="text1"/>
          <w:sz w:val="24"/>
          <w:szCs w:val="24"/>
        </w:rPr>
      </w:pP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ind w:left="720"/>
        <w:jc w:val="center"/>
        <w:rPr>
          <w:rFonts w:ascii="Times New Roman" w:hAnsi="Times New Roman" w:cs="Times New Roman" w:eastAsia="Times New Roman"/>
          <w:color w:val="000000" w:themeColor="text1"/>
          <w:sz w:val="24"/>
          <w:szCs w:val="24"/>
        </w:rPr>
      </w:pPr>
      <w:r>
        <w:rPr>
          <w:rFonts w:ascii="Times New Roman" w:hAnsi="Times New Roman" w:cs="Times New Roman" w:eastAsia="Times New Roman"/>
          <w:noProof w:val="1"/>
          <w:color w:val="000000" w:themeColor="text1"/>
          <w:sz w:val="24"/>
          <w:szCs w:val="24"/>
          <w:lang w:eastAsia="en-IN"/>
        </w:rPr>
        <w:drawing>
          <wp:inline xmlns:wp="http://schemas.openxmlformats.org/drawingml/2006/wordprocessingDrawing" distT="0" distB="0" distL="0" distR="0">
            <wp:extent cx="5619750" cy="3046730"/>
            <wp:effectExtent l="0" t="0" r="0" b="0"/>
            <wp:docPr id="8" name="image8.jpg" descr="A graph showing the growth of a rural economic growth&#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graph showing the growth of a rural economic growth&#10;&#10;AI-generated content may be incorrect."/>
                    <pic:cNvPicPr preferRelativeResize="0"/>
                  </pic:nvPicPr>
                  <pic:blipFill dpi="0">
                    <a:blip xmlns:r="http://schemas.openxmlformats.org/officeDocument/2006/relationships" r:embed="Relimage8"/>
                    <a:srcRect/>
                    <a:stretch>
                      <a:fillRect/>
                    </a:stretch>
                  </pic:blipFill>
                  <pic:spPr>
                    <a:xfrm>
                      <a:off x="0" y="0"/>
                      <a:ext cx="5619750" cy="3046730"/>
                    </a:xfrm>
                    <a:prstGeom prst="rect"/>
                  </pic:spPr>
                </pic:pic>
              </a:graphicData>
            </a:graphic>
          </wp:inline>
        </w:drawing>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ind w:left="720"/>
        <w:jc w:val="both"/>
        <w:rPr>
          <w:rFonts w:ascii="Times New Roman" w:hAnsi="Times New Roman" w:cs="Times New Roman" w:eastAsia="Times New Roman"/>
          <w:color w:val="000000" w:themeColor="text1"/>
          <w:sz w:val="24"/>
          <w:szCs w:val="24"/>
        </w:rPr>
      </w:pPr>
    </w:p>
    <w:p>
      <w:pPr>
        <w:pStyle w:val="P4"/>
        <w:spacing w:before="240" w:after="240" w:beforeAutospacing="0" w:afterAutospacing="0"/>
        <w:rPr>
          <w:color w:val="000000" w:themeColor="text1"/>
        </w:rPr>
      </w:pPr>
      <w:bookmarkStart w:id="54" w:name="_Toc217071771"/>
      <w:r>
        <w:rPr>
          <w:color w:val="000000" w:themeColor="text1"/>
        </w:rPr>
        <w:t>Figure 4.31: Urban and rural CPI trends in Ireland, 2020–2024</w:t>
      </w:r>
      <w:bookmarkEnd w:id="54"/>
    </w:p>
    <w:p>
      <w:pPr>
        <w:spacing w:lineRule="auto" w:line="360" w:before="240" w:after="240" w:beforeAutospacing="0" w:afterAutospacing="0"/>
        <w:jc w:val="both"/>
        <w:rPr>
          <w:rFonts w:ascii="Times New Roman" w:hAnsi="Times New Roman" w:cs="Times New Roman" w:eastAsia="Times New Roman"/>
          <w:color w:val="000000" w:themeColor="text1"/>
          <w:sz w:val="26"/>
          <w:szCs w:val="26"/>
        </w:rPr>
      </w:pPr>
      <w:r>
        <w:rPr>
          <w:rFonts w:ascii="Times New Roman" w:hAnsi="Times New Roman" w:cs="Times New Roman" w:eastAsia="Times New Roman"/>
          <w:color w:val="000000" w:themeColor="text1"/>
          <w:sz w:val="24"/>
          <w:szCs w:val="24"/>
        </w:rPr>
        <w:t xml:space="preserve">Figure 4.31 shows how the Consumer Price Index (CPI) changed in urban, rural, and overall state areas from 2020 to 2024. The CPI increased steadily in all three groups. Urban areas usually had slightly higher CPI values than rural areas, and the state average was in between. This suggests that inflation patterns were similar across regions, but urban households experienced a bit higher prices during this time. The results of this research show that the patterns of Consumer Price Index (CPI) in Ireland during the period between 2020 and 2024 are characterised by an upward trend in aggregate variables of urban, rural, and state areas, which shows general inflation pressure in the economy. The beginning of 2020 the CPI index of urban regions was around 25.5, and the rural regions were around 25.2, and the state overall index was in between the two at about 25.4. Generally, the CPI trends showed that all households within the country were impacted by inflation and overall there has been an upward trend in all the locations. In the long run, all three indices were in an ascending trend especially since mid 2021 when there has been an increase in the cost of energy, transport and food. The annual cumulative growth of the urban and rural CPI indexes to about 22 percent and 25 percent respectively over the period of study mean that by early 2024, the urban and rural CPI index was almost increasing by about 31.0 and 31.5 respectively. A more detailed observation of the urban and rural CPI series shows that there are small yet consistent variations of the level of inflation. Although the CPI values in the urban areas were slightly greater as compared to the rural ones in the initial stages of the period, especially in the years 2020 and early 2021, the rural index started increasing at a faster rate since 2022. </w:t>
      </w:r>
    </w:p>
    <w:p>
      <w:pPr>
        <w:pStyle w:val="P2"/>
        <w:spacing w:lineRule="auto" w:line="360" w:before="240" w:after="240" w:beforeAutospacing="0" w:afterAutospacing="0"/>
        <w:ind w:firstLine="0" w:left="0"/>
        <w:rPr>
          <w:color w:val="000000" w:themeColor="text1"/>
        </w:rPr>
      </w:pPr>
      <w:bookmarkStart w:id="55" w:name="_Toc217422101"/>
      <w:r>
        <w:rPr>
          <w:color w:val="000000" w:themeColor="text1"/>
        </w:rPr>
        <w:t>4.4 Forecasting Results and Model Comparison</w:t>
      </w:r>
      <w:bookmarkEnd w:id="55"/>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themeColor="text1"/>
          <w:sz w:val="24"/>
          <w:szCs w:val="24"/>
        </w:rPr>
        <w:t>This analysis looks at how well time-series and machine learning models predict the overall Consumer Price Index (CPI) in Ireland during the test period. We worked with processed monthly CPI data, combining overall CPI with sector-specific and urban/rural indices. After restructuring it to create a clean, univariate CPI time series for modeling, we transformed this series into a supervised learning format using lagged CPI values. Then, we divided the data chronologically into training and test sets so the models could be evaluated on data they hadn’t seen before.</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themeColor="text1"/>
          <w:sz w:val="24"/>
          <w:szCs w:val="24"/>
        </w:rPr>
        <w:t>For forecasting, we used ARIMA as a classic benchmark along with several machine learning models, including Linear Regression, Random Forest, MLP, and an exploratory LSTM. All these models were trained on the lagged CPI features after we prepped the data. The models generated predictions for the test period, allowing us to directly compare their forecast paths with the actual CPI values. We measured their performance using standard error metrics like Mean Absolute Error (MAE) and Root Mean Squared Error (RMSE), calculated for each model on the same test set to see how accurately they forecasted CPI. The results are summarized in a comparison table and supported by “Actual vs Forecast” plots, showing which methods provided the most accurate and useful short-term inflation forecasts based on this dataset.</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ind w:left="720"/>
        <w:jc w:val="both"/>
        <w:rPr>
          <w:rFonts w:ascii="Times New Roman" w:hAnsi="Times New Roman" w:cs="Times New Roman" w:eastAsia="Times New Roman"/>
          <w:color w:val="000000" w:themeColor="text1"/>
          <w:sz w:val="24"/>
          <w:szCs w:val="24"/>
        </w:rPr>
      </w:pP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ind w:left="720"/>
        <w:jc w:val="center"/>
        <w:rPr>
          <w:rFonts w:ascii="Times New Roman" w:hAnsi="Times New Roman" w:cs="Times New Roman" w:eastAsia="Times New Roman"/>
          <w:color w:val="000000" w:themeColor="text1"/>
          <w:sz w:val="24"/>
          <w:szCs w:val="24"/>
        </w:rPr>
      </w:pPr>
      <w:r>
        <w:rPr>
          <w:rFonts w:ascii="Times New Roman" w:hAnsi="Times New Roman" w:cs="Times New Roman" w:eastAsia="Times New Roman"/>
          <w:noProof w:val="1"/>
          <w:color w:val="000000" w:themeColor="text1"/>
          <w:lang w:eastAsia="en-IN"/>
        </w:rPr>
        <w:drawing>
          <wp:inline xmlns:wp="http://schemas.openxmlformats.org/drawingml/2006/wordprocessingDrawing" distT="0" distB="0" distL="0" distR="0">
            <wp:extent cx="5665470" cy="3051810"/>
            <wp:effectExtent l="0" t="0" r="0" b="0"/>
            <wp:docPr id="10" name="image3.jpg" descr="A graph showing a lin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graph showing a line&#10;&#10;AI-generated content may be incorrect."/>
                    <pic:cNvPicPr preferRelativeResize="0"/>
                  </pic:nvPicPr>
                  <pic:blipFill dpi="0">
                    <a:blip xmlns:r="http://schemas.openxmlformats.org/officeDocument/2006/relationships" r:embed="Relimage9"/>
                    <a:srcRect/>
                    <a:stretch>
                      <a:fillRect/>
                    </a:stretch>
                  </pic:blipFill>
                  <pic:spPr>
                    <a:xfrm>
                      <a:off x="0" y="0"/>
                      <a:ext cx="5665470" cy="3051810"/>
                    </a:xfrm>
                    <a:prstGeom prst="rect"/>
                  </pic:spPr>
                </pic:pic>
              </a:graphicData>
            </a:graphic>
          </wp:inline>
        </w:drawing>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ind w:left="720"/>
        <w:jc w:val="both"/>
        <w:rPr>
          <w:rFonts w:ascii="Times New Roman" w:hAnsi="Times New Roman" w:cs="Times New Roman" w:eastAsia="Times New Roman"/>
          <w:color w:val="000000" w:themeColor="text1"/>
          <w:sz w:val="24"/>
          <w:szCs w:val="24"/>
        </w:rPr>
      </w:pPr>
    </w:p>
    <w:p>
      <w:pPr>
        <w:pStyle w:val="P4"/>
        <w:spacing w:before="240" w:after="240" w:beforeAutospacing="0" w:afterAutospacing="0"/>
        <w:rPr>
          <w:color w:val="000000" w:themeColor="text1"/>
        </w:rPr>
      </w:pPr>
      <w:bookmarkStart w:id="56" w:name="_Toc217071772"/>
      <w:r>
        <w:rPr>
          <w:color w:val="000000" w:themeColor="text1"/>
        </w:rPr>
        <w:t>Figure 4.41: Overall CPI – actual values and ARIMA forecast on train and test periods</w:t>
      </w:r>
      <w:bookmarkEnd w:id="56"/>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b w:val="1"/>
          <w:bCs w:val="1"/>
          <w:color w:val="000000" w:themeColor="text1"/>
          <w:sz w:val="24"/>
          <w:szCs w:val="24"/>
        </w:rPr>
      </w:pPr>
      <w:r>
        <w:rPr>
          <w:rFonts w:ascii="Times New Roman" w:hAnsi="Times New Roman" w:cs="Times New Roman" w:eastAsia="Times New Roman"/>
          <w:color w:val="000000" w:themeColor="text1"/>
          <w:sz w:val="24"/>
          <w:szCs w:val="24"/>
        </w:rPr>
        <w:t xml:space="preserve">Figure 4.41 displays the overall CPI index from 2020 to 2024, showing a comparison of the training data, test data, and the model's forecast. Over this time frame, the CPI has demonstrated a consistent upward trend, with the test values hovering around the forecast line but slightly higher. This suggests that the model does a decent job of capturing inflation trends, even though the actual CPI during the test period is a bit more erratic compared to the smoother forecast. This study demonstrates that the general Consumer Price Index (CPI) in Ireland was very clearly exposure to an upward trend between 2020 and 2024, and the forecasting model was capable of estimating this trend reasonably well. The CPI index was growing consistently at the beginning of the training period, which included the first part of the dataset, and proved to be approximately 85.0 in 2020, and around 95.0 in the end of 2021. This incremental trend indicates the initial phases of the inflationary pressure after the COVID-19 phase. In general, the CPI data show that the prices grew steadily and in a systematic way during the study. In the transition of the series to the test stage, the growth of CPI rates remained rather high, approaching 100.0 in 2023 and 102.0 in 2024. These numbers verify that the pace of inflation increased in the last years of the sample, especially since 2021, which leads to the large cumulative rise of the overall level of prices. Comparison of the actual CPI values and the forecasted values shows that the forecasting model was effective in following the overall trend of the direction and magnitude of inflation. The predicted CPI was quite close to the actual CPI line during the period of test and deviation was not much. The estimated and actual CPI are very close implying that this model has successfully modelled the dynamics of inflation underlying. To illustrate the point, the prediction was slightly less at around 96.8 in the middle of the year 2022 when the actual CPI stood at around 97.5. In the same way, in 2023, the value of actual CPI of about 100.0 was equated with the forecasted values of about 99.0 to 99.5. </w:t>
      </w:r>
    </w:p>
    <w:p>
      <w:pPr>
        <w:pStyle w:val="P2"/>
        <w:spacing w:lineRule="auto" w:line="360" w:before="240" w:after="240" w:beforeAutospacing="0" w:afterAutospacing="0"/>
        <w:ind w:firstLine="0" w:left="0"/>
        <w:rPr>
          <w:color w:val="000000" w:themeColor="text1"/>
        </w:rPr>
      </w:pPr>
      <w:bookmarkStart w:id="57" w:name="_Toc217422102"/>
      <w:r>
        <w:rPr>
          <w:color w:val="000000" w:themeColor="text1"/>
        </w:rPr>
        <w:t>4.5 Discussion: Impacts on Irish Households</w:t>
      </w:r>
      <w:bookmarkEnd w:id="57"/>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themeColor="text1"/>
          <w:sz w:val="24"/>
          <w:szCs w:val="24"/>
        </w:rPr>
        <w:t>This part looks at how the recent inflation trends and forecasts affect Irish households, especially focusing on how different groups are impacted. The analysis shows that between 2020 and 2024, essential expenses like housing, energy, transport, and food saw the biggest price hikes, while some discretionary items saw more moderate inflation. Since lower-income families typically spend a larger portion of their income on these essentials, it seems they’ve been hit harder by the recent cost-of-living crisis. The fact that the prices of necessities have risen faster than others suggests that the overall Consumer Price Index (CPI) doesn’t really capture the full extent of the challenges faced by households whose spending is heavily on high-inflation goods, limiting their ability to cut back on non-essentials without affecting their basic living standards.</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themeColor="text1"/>
          <w:sz w:val="24"/>
          <w:szCs w:val="24"/>
        </w:rPr>
        <w:t>In comparing urban and rural households, it seems that rural areas may have faced slightly higher inflation overall from 2020 to 2024, particularly when energy and transport costs spiked. Rural households usually rely more on private transport and home heating fuels and might not have as many chances to benefit from local market competition, which can make the price increases hit harder. When you combine these geographic differences with the sectoral findings, it highlights the tough spot low-income rural households are in. They’re dealing with both sharp price increases and fewer alternatives to manage costs. Also, short-term CPI forecasts from the most reliable models in this study suggest that even if inflation slows down a bit, prices are likely to stay higher compared to pre-2020 levels, which means a continued strain on real incomes.</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themeColor="text1"/>
          <w:sz w:val="24"/>
          <w:szCs w:val="24"/>
        </w:rPr>
        <w:t>In summary, these findings show that the recent inflation in Ireland hasn’t impacted all households in the same way. Lower-income families and those living in rural areas seem to be particularly at risk, given their spending habits and reliance on sectors facing higher inflation. This supports the idea that policymakers and stakeholders should consider more targeted strategies like specific income support, energy cost relief, or transport subsidies when addressing cost-of-living issues, instead of just making broad adjustments based on the overall CPI.</w:t>
      </w:r>
    </w:p>
    <w:p>
      <w:pPr>
        <w:pStyle w:val="P2"/>
        <w:spacing w:lineRule="auto" w:line="360" w:before="240" w:after="240" w:beforeAutospacing="0" w:afterAutospacing="0"/>
        <w:ind w:firstLine="0" w:left="0"/>
        <w:rPr>
          <w:color w:val="000000" w:themeColor="text1"/>
        </w:rPr>
      </w:pPr>
      <w:bookmarkStart w:id="58" w:name="_Toc217422103"/>
      <w:r>
        <w:rPr>
          <w:color w:val="000000" w:themeColor="text1"/>
        </w:rPr>
        <w:t>4.6 Summary</w:t>
      </w:r>
      <w:bookmarkEnd w:id="58"/>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themeColor="text1"/>
          <w:sz w:val="24"/>
          <w:szCs w:val="24"/>
        </w:rPr>
        <w:t>This chapter dives into the results and discussions from the research. We pinpointed some key findings, like how inflation has varied across different sectors over time. For instance, essentials such as housing, energy, transport, and food saw greater price hikes compared to many non-essential items. We also looked at the urban vs. rural Consumer Price Index (CPI), revealing that rural areas often deal with a bit more cumulative inflation. For forecasting, we utilized ARIMA along with several machine learning models like Linear Regression, Random Forest, MLP, and an exploratory LSTM assessing their performance using Mean Absolute Error (MAE) and Root Mean Squared Error (RMSE) during a shared test period. The models that performed better were able to predict short-term inflation more accurately. Towards the end of the chapter, we discussed how these inflation trends and forecasts affect different households in Ireland, pointing out that low-income and rural families are especially vulnerable to rising costs of essential goods. We also showed how the modeling framework can help foster better conversations around the pressures of living costs and potential policy solutions.</w:t>
      </w:r>
    </w:p>
    <w:p>
      <w:pPr>
        <w:spacing w:lineRule="auto" w:line="360" w:before="240" w:after="240" w:beforeAutospacing="0" w:afterAutospacing="0"/>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themeColor="text1"/>
          <w:sz w:val="24"/>
          <w:szCs w:val="24"/>
        </w:rPr>
        <w:br w:type="page"/>
      </w:r>
    </w:p>
    <w:p>
      <w:pPr>
        <w:pStyle w:val="P1"/>
        <w:spacing w:lineRule="auto" w:line="360" w:before="240" w:after="240" w:beforeAutospacing="0" w:afterAutospacing="0"/>
        <w:ind w:left="0"/>
        <w:rPr>
          <w:color w:val="000000" w:themeColor="text1"/>
        </w:rPr>
      </w:pPr>
      <w:bookmarkStart w:id="59" w:name="_Toc217422104"/>
      <w:r>
        <w:rPr>
          <w:color w:val="000000" w:themeColor="text1"/>
        </w:rPr>
        <w:t>Chapter 5: Conclusion and Recommendations</w:t>
      </w:r>
      <w:bookmarkEnd w:id="59"/>
    </w:p>
    <w:p>
      <w:pPr>
        <w:pStyle w:val="P2"/>
        <w:ind w:firstLine="0" w:left="0"/>
        <w:rPr>
          <w:color w:val="000000" w:themeColor="text1"/>
        </w:rPr>
      </w:pPr>
      <w:bookmarkStart w:id="60" w:name="_Toc217422105"/>
      <w:r>
        <w:rPr>
          <w:color w:val="000000" w:themeColor="text1"/>
        </w:rPr>
        <w:t>5.1 Introduction</w:t>
      </w:r>
      <w:bookmarkEnd w:id="60"/>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themeColor="text1"/>
          <w:sz w:val="24"/>
          <w:szCs w:val="24"/>
        </w:rPr>
        <w:t>In this chapter, the final analysis of the study is presented. It is Retail Price Inflation and Its Impact on Irish Households. This chapter aims to summarise the empirical results obtained as a result of Consumer Price Index (CPI), sectoral, and urban-rural inflation trends analysis, and the use of time-series and machine learning predictive models. This chapter has synthesised the findings of the last chapters in order to establish the extent to which the research aim and objectives are met and to describe the general implications of the findings on households, policymakers, and future academic studies. Although the overall picture of the inflation rates is offered by headline CPI figures, these figures tend to hide significant differences within the households and consumption sectors (Horrell, 2023, p.1040). These differences are especially pertinent in terms of interpreting cost-of-living pressures on low-income households and those who are in rural regions, who would tend to spend a greater proportion of their income on necessities. This has led to an increase in the demand for more granular and data-driven analysis of inflation patterns.</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themeColor="text1"/>
          <w:sz w:val="24"/>
          <w:szCs w:val="24"/>
        </w:rPr>
        <w:t>The paper has fulfilled that requirement by examining the CPI data at the sector level in important expenditure items like housing, energy, transport, and food items, and by comparing the inflation rates of urban and rural households in Ireland. Further, the paper adopted both conventional time-series algorithms and supervised machine learning networks, such as ARIMA, Linear Regression, Random Forest, and a neural network model, to predict aggregate CPI and decide on the nature of short-term inflation (Abdulraheem et al., 2025, p.53). Mean Absolute Error (MAE) and Root Mean Squared Error (RMSE) were used to assess forecast accuracy so that a strong and sound comparison of model performance is carried out.</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themeColor="text1"/>
          <w:sz w:val="24"/>
          <w:szCs w:val="24"/>
        </w:rPr>
        <w:t>This chapter is structured in the following way. The key findings of the study are also connected to the research objectives and research questions in Section 5.2, showing how each objective has been answered. Section 5.3 gives policy and practical recommendations based on the findings showing that the imbalance in the effects of inflation on Irish households was reduced. The limitations of the study and future research recommendations are presented in section 5.4 of the paper. Lastly, Section 5.5 gives a general conclusion to bring out the major contributions made by the research and its importance in policy and scholarly discussion.</w:t>
      </w:r>
    </w:p>
    <w:p>
      <w:pPr>
        <w:rPr>
          <w:rFonts w:ascii="Times New Roman" w:hAnsi="Times New Roman" w:cs="Times New Roman" w:eastAsia="Times New Roman"/>
          <w:b w:val="1"/>
          <w:bCs w:val="1"/>
          <w:color w:val="000000" w:themeColor="text1"/>
          <w:sz w:val="26"/>
          <w:szCs w:val="26"/>
        </w:rPr>
      </w:pPr>
      <w:r>
        <w:rPr>
          <w:rFonts w:ascii="Times New Roman" w:hAnsi="Times New Roman" w:cs="Times New Roman"/>
          <w:color w:val="000000" w:themeColor="text1"/>
        </w:rPr>
        <w:br w:type="page"/>
      </w:r>
    </w:p>
    <w:p>
      <w:pPr>
        <w:pStyle w:val="P2"/>
        <w:ind w:firstLine="0" w:left="0"/>
        <w:rPr>
          <w:color w:val="000000" w:themeColor="text1"/>
        </w:rPr>
      </w:pPr>
      <w:bookmarkStart w:id="61" w:name="_Toc217422106"/>
      <w:r>
        <w:rPr>
          <w:color w:val="000000" w:themeColor="text1"/>
        </w:rPr>
        <w:t>5.2 Linking Findings to Objectives and Research Questions</w:t>
      </w:r>
      <w:bookmarkEnd w:id="61"/>
      <w:r>
        <w:rPr>
          <w:color w:val="000000" w:themeColor="text1"/>
        </w:rPr>
        <w:t xml:space="preserve"> </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themeColor="text1"/>
          <w:sz w:val="24"/>
          <w:szCs w:val="24"/>
        </w:rPr>
        <w:t>The initial aim of the current work was to examine the data of the Consumer Price Index by industry to determine which spheres of household spending were subjected to the most significant price changes in Ireland since 2020. This has been shown by the results to reveal that inflation over the period of study was not even across all sectors, with essential categories realizing the greatest growth in prices. The most severe and long-run increases were observed in housing-related expenses such as rent, utilities, and maintenance of the house (Duca, Muellbauer, and Murphy, 2021, p.802). There was also a sharp increase in energy prices; this was a result of increased global fuel prices and supply bottlenecks. Food and non-alcoholic drinks registered steady growth, whereas transport expenses were on a soaring scale, attributed to the surging fuel costs and mobility-related costs. These findings give answers directly and thoroughly to the first research question, which was to find out whether inflation has been skewed to any essential sectors forming a big percentage of household expenditures.</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i w:val="1"/>
          <w:iCs w:val="1"/>
          <w:color w:val="000000" w:themeColor="text1"/>
          <w:sz w:val="24"/>
          <w:szCs w:val="24"/>
        </w:rPr>
      </w:pPr>
      <w:r>
        <w:rPr>
          <w:rFonts w:ascii="Times New Roman" w:hAnsi="Times New Roman" w:cs="Times New Roman" w:eastAsia="Times New Roman"/>
          <w:i w:val="1"/>
          <w:iCs w:val="1"/>
          <w:color w:val="000000" w:themeColor="text1"/>
          <w:sz w:val="24"/>
          <w:szCs w:val="24"/>
        </w:rPr>
        <w:t>Local differences in inflation index changes between the cities and rural Ireland</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themeColor="text1"/>
          <w:sz w:val="24"/>
          <w:szCs w:val="24"/>
        </w:rPr>
        <w:t>The second aim of the research was to compare the trends of CPI in the urban and rural areas in Ireland and demonstrate whether inflation varied by region. The empirical results showed that CPI grew consistently in urban and rural regions during the period between 2020-24, signifying broad-based inflation in the economy (Schmidt, 2025, p.20). The findings, however, also revealed that the rural CPI grew slightly higher than the urban CPI in the same period. The density of the difference between the two indices was not very big; however, the fact that this gap had been constant before indicates that the cumulative inflation rate was higher among the rural households. This conclusion is a direct response to the second research question because it shows that geographic location is a determinant of inflation experiences, and it is probably so because of the variations in transport dependency, energy consumption, and availability to competitive markets.</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i w:val="1"/>
          <w:iCs w:val="1"/>
          <w:color w:val="000000" w:themeColor="text1"/>
          <w:sz w:val="24"/>
          <w:szCs w:val="24"/>
        </w:rPr>
      </w:pPr>
      <w:r>
        <w:rPr>
          <w:rFonts w:ascii="Times New Roman" w:hAnsi="Times New Roman" w:cs="Times New Roman" w:eastAsia="Times New Roman"/>
          <w:i w:val="1"/>
          <w:iCs w:val="1"/>
          <w:color w:val="000000" w:themeColor="text1"/>
          <w:sz w:val="24"/>
          <w:szCs w:val="24"/>
        </w:rPr>
        <w:t>The CPI Forecasting Models and their implications for the Irish households</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themeColor="text1"/>
          <w:sz w:val="24"/>
          <w:szCs w:val="24"/>
        </w:rPr>
        <w:t xml:space="preserve">The test time-series and machine learning models to predict overall CPI and test the accuracy of the models by MAE and RMSE measures. The findings of the forecasting indicated that the ARIMA model gave a good baseline forecast, which captured the overall upward trend in the CPI within the study period. Under the guided machine learning models, especially the Linear Regression and the Random Forest, similar rates of accuracy were achieved, and the errors of forecasts were relatively low throughout the trial. The model of neural network was more variable but was capable of tracing the CPI tendencies in general. </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center"/>
        <w:rPr>
          <w:rFonts w:ascii="Times New Roman" w:hAnsi="Times New Roman" w:cs="Times New Roman" w:eastAsia="Times New Roman"/>
          <w:color w:val="000000" w:themeColor="text1"/>
          <w:sz w:val="24"/>
          <w:szCs w:val="24"/>
        </w:rPr>
      </w:pPr>
      <w:r>
        <w:rPr>
          <w:rFonts w:ascii="Times New Roman" w:hAnsi="Times New Roman" w:cs="Times New Roman" w:eastAsia="Times New Roman"/>
          <w:noProof w:val="1"/>
          <w:color w:val="000000" w:themeColor="text1"/>
          <w:sz w:val="24"/>
          <w:szCs w:val="24"/>
          <w:lang w:eastAsia="en-IN"/>
        </w:rPr>
        <w:drawing>
          <wp:inline xmlns:wp="http://schemas.openxmlformats.org/drawingml/2006/wordprocessingDrawing" distT="0" distB="0" distL="0" distR="0">
            <wp:extent cx="6153150" cy="4432300"/>
            <wp:effectExtent l="25400" t="25400" r="25400" b="25400"/>
            <wp:docPr id="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dpi="0">
                    <a:blip xmlns:r="http://schemas.openxmlformats.org/officeDocument/2006/relationships" r:embed="Relimage10"/>
                    <a:srcRect/>
                    <a:stretch>
                      <a:fillRect/>
                    </a:stretch>
                  </pic:blipFill>
                  <pic:spPr>
                    <a:xfrm>
                      <a:off x="0" y="0"/>
                      <a:ext cx="6153150" cy="4432300"/>
                    </a:xfrm>
                    <a:prstGeom prst="rect"/>
                    <a:ln w="25400">
                      <a:solidFill>
                        <a:srgbClr val="000000"/>
                      </a:solidFill>
                      <a:prstDash val="solid"/>
                    </a:ln>
                  </pic:spPr>
                </pic:pic>
              </a:graphicData>
            </a:graphic>
          </wp:inline>
        </w:drawing>
      </w:r>
    </w:p>
    <w:p>
      <w:pPr>
        <w:pStyle w:val="P4"/>
        <w:spacing w:before="240" w:after="240" w:beforeAutospacing="0" w:afterAutospacing="0"/>
        <w:rPr>
          <w:color w:val="000000" w:themeColor="text1"/>
        </w:rPr>
      </w:pPr>
      <w:bookmarkStart w:id="62" w:name="_Toc217071773"/>
      <w:r>
        <w:rPr>
          <w:color w:val="000000" w:themeColor="text1"/>
        </w:rPr>
        <w:t>Figure 5.2.1: Consumer Price Index</w:t>
      </w:r>
      <w:bookmarkEnd w:id="62"/>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center"/>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themeColor="text1"/>
          <w:sz w:val="24"/>
          <w:szCs w:val="24"/>
        </w:rPr>
        <w:t>Source: (Fernando, 2022)</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themeColor="text1"/>
          <w:sz w:val="24"/>
          <w:szCs w:val="24"/>
        </w:rPr>
        <w:t xml:space="preserve">The results of these three research questions explain that historical CPI information can be effectively utilised to produce short-term inflation-related forecasts both through the application of standard as well as machine learning models. The last study aim was to understand the implications of the results on the Irish households with reference to the sectoral results, geographic results, and the forecasting results, with special emphasis laid on the low-income groups. The results indicate that the current inflation in Ireland has been regressive, skewing its effects to the households, which spend more of their income on basic goods and services (Roddy, 2022, p.477). The poor households are the most susceptible since they are unable to afford to replace with the increasing prices of various products like housing, food, energy, and transportation. </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themeColor="text1"/>
          <w:sz w:val="24"/>
          <w:szCs w:val="24"/>
        </w:rPr>
        <w:t>Moreover, the rural households are slightly above the urban households in terms of inflation, which means that the low-income households in the rural area may experience compounded cost-of-living pressures. This interpretation specifically responds to the fourth research question because it identifies the distributional imbalance of the impact of inflation on household groups.</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themeColor="text1"/>
          <w:sz w:val="24"/>
          <w:szCs w:val="24"/>
        </w:rPr>
        <w:t>On the whole, the results ensure that all research goals were met, and the study provides the logical and evidence-based answer to research questions. Combining descriptive analysis with forecasting methods, the research should be able to provide not only retrospective but also foreseeable information about the nature of the inflation process and household effects in Ireland.</w:t>
      </w:r>
    </w:p>
    <w:p>
      <w:pPr>
        <w:pStyle w:val="P2"/>
        <w:ind w:firstLine="0" w:left="0"/>
        <w:rPr>
          <w:color w:val="000000" w:themeColor="text1"/>
        </w:rPr>
      </w:pPr>
      <w:r>
        <w:rPr>
          <w:color w:val="000000" w:themeColor="text1"/>
        </w:rPr>
        <w:t xml:space="preserve"> </w:t>
      </w:r>
      <w:bookmarkStart w:id="63" w:name="_Toc217422107"/>
      <w:r>
        <w:rPr>
          <w:color w:val="000000" w:themeColor="text1"/>
        </w:rPr>
        <w:t>5.3 Policy and Practical Recommendations</w:t>
      </w:r>
      <w:bookmarkEnd w:id="63"/>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themeColor="text1"/>
          <w:sz w:val="24"/>
          <w:szCs w:val="24"/>
        </w:rPr>
        <w:t>A number of policy and practical recommendations can be suggested to tackle the disparities in the impact of inflation on the Irish household and the correct use of data-driven inflation analysis in the design of policy and household decision-making. Policy-makers ought to be more specific in their cost-of-living intervention by paying attention to sectors that have seen the greatest price increases. The results reveal that the major causes of inflation during 2020 have been housing, energy, transport, and food (Adjemian et al., 2024, p.666). This means that the policy interventions based on the changes of headline CPI alone may not effectively render support to those households that would be the most impacted by the increasing costs. More effective would be the targeted supports like energy credits, food subsidies, housing and transport cost relief, which help lower-income households to reduce the financial pressure.</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themeColor="text1"/>
          <w:sz w:val="24"/>
          <w:szCs w:val="24"/>
        </w:rPr>
        <w:t>There should be a clear projection of geographic disparities in inflation into the design of policies. The cumulative inflation has been a bit higher in the rural areas, implying that the rural households are experiencing special cost pressures of transport dependency, heating needs, and restricted access to the competitive market. Policymakers can correct all these imbalances with region-specific strategies in the form of increased fuel allowances, transport subsidies in rural areas, or even a revision of social welfare allowances to reflect the cost-of-living differences in those regions. The equity and effectiveness of inflation-related policy measures should be enhanced by including the urban-rural CPI indicators in the policy evaluation. Practically, better inflation forecasting may also have an advantage to households and businesses. Budgets and decision-making in businesses and businesses by households can be better organised through clear and accessible communication of inflation trends and forecasts to aid better decision-making in terms of prices and wages, as well as investment decisions.</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i w:val="1"/>
          <w:iCs w:val="1"/>
          <w:color w:val="000000" w:themeColor="text1"/>
          <w:sz w:val="24"/>
          <w:szCs w:val="24"/>
        </w:rPr>
      </w:pPr>
      <w:r>
        <w:rPr>
          <w:rFonts w:ascii="Times New Roman" w:hAnsi="Times New Roman" w:cs="Times New Roman" w:eastAsia="Times New Roman"/>
          <w:i w:val="1"/>
          <w:iCs w:val="1"/>
          <w:color w:val="000000" w:themeColor="text1"/>
          <w:sz w:val="24"/>
          <w:szCs w:val="24"/>
        </w:rPr>
        <w:t>The Role of Disaggregated Inflation Information in the Decision-Making of Households and Businesses</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themeColor="text1"/>
          <w:sz w:val="24"/>
          <w:szCs w:val="24"/>
        </w:rPr>
        <w:t>Greater articulation of sectoral and location-based inflation patterns would provide the household with greater insight into the location where price pressure is the strongest and how pressure can be sustained or increased. Such information would be useful in making more informed decisions about budgeting and finance planning, especially in households that have limited incomes (Masrunik et al., 2024, p.87). Consumer information agencies and other public agencies might have a role to play in interpreting technical CPI data into easy-to-understand information that attracts real-life household revelations. It would also help businesses in providing a better analysis and forecasting of inflation. The pricing, wage-setting, and investment decisions by the retailers, service providers, and employers are made in a background where inflation expectations influence prices. The availability of quality short-term inflation projections and price patterns in specific fields will possibly enhance decision-making and minimise unpredictability. Inflation forecasts should be used, for example, to help businesses plan cost management activities, negotiate wages better, and predict consumer demand fluctuations. These functional advantages affirm the importance of integrating data-oriented analysis of inflation in the government and corporations.</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themeColor="text1"/>
          <w:sz w:val="24"/>
          <w:szCs w:val="24"/>
        </w:rPr>
        <w:t>The other significant recommendation is the further creation and availability of quality data on inflation. The research highlights the importance of disaggregated CPI data by sector and place in revealing the dynamics in the inflation process and impacts on households. There should also be continuous investment in the type of data collected, classified, and disseminated to make the inflation statistics useful and informative. The increased availability of detailed CPI data would contribute to more serious academic research, better policymaking based on evidence, and transparency in the public discourse on issues of cost-of-living.</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themeColor="text1"/>
          <w:sz w:val="24"/>
          <w:szCs w:val="24"/>
        </w:rPr>
        <w:t>Social protection systems are supposed to be revisited so that the indexation systems of benefits are sufficient to reflect the experience of inflation facing the various groups of households. Social welfare payments indexed to the headline CPI only could be inadequate to offset the household where the expenditure is concentrated in the parts with high inflation. It is possible that policymakers can consider additional indexation systems reflecting the sector-specific patterns of inflation, especially concerning households that rely on fixed income or social benefits. These would go a long way in avoiding real-income erosion and mitigating the effect of poverty in times of high inflation.</w:t>
      </w:r>
    </w:p>
    <w:p>
      <w:pPr>
        <w:pStyle w:val="P2"/>
        <w:ind w:firstLine="0" w:left="0"/>
        <w:rPr>
          <w:color w:val="000000" w:themeColor="text1"/>
        </w:rPr>
      </w:pPr>
      <w:bookmarkStart w:id="64" w:name="_Toc217422108"/>
      <w:r>
        <w:rPr>
          <w:color w:val="000000" w:themeColor="text1"/>
        </w:rPr>
        <w:t>5.4 Limitations and Suggestions for Future Research</w:t>
      </w:r>
      <w:bookmarkEnd w:id="64"/>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themeColor="text1"/>
          <w:sz w:val="24"/>
          <w:szCs w:val="24"/>
        </w:rPr>
        <w:t>Irrespective of the contribution this study has made in explaining the retail price inflation and its effects on Irish households, it is important to acknowledge several limitations. It is important to acknowledge these limitations to interpret the findings in a correct way and in order to indicate areas where the analysis can be developed to some extent. The initial significant constraint of the research has to do with the fact that aggregate Consumer Price Index (CPI) data has been used (Ghodke and Giri, 2023, p.522). Although CPI is a fairly acknowledged and credible measure of how the mean price change is, it fails to reflect individual variation in consumption by individualised households or households at income levels. The difference among households in terms of their expenditure on goods and services may be very significant, so the level of inflation in a household with low income may vary significantly compared to a household with a high income. In this work, the influence on low-income households was determined on the basis of sectoral inflation trends but not directly produced on the basis of data concerning household expenditures. Distributional effects of inflation can, therefore, be estimated instead of being measured accurately.</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themeColor="text1"/>
          <w:sz w:val="24"/>
          <w:szCs w:val="24"/>
        </w:rPr>
        <w:t>The weakness is in the time frame of the analysis. The research mostly concentrated on the year 2020 and since then, which has been a period with a high level of inflation caused by the COVID-19 pandemic, global supply chain shocks, energy price shocks, and geopolitical instability. In spite of this period being of high relevance, it is also important that, because of the relatively short time horizon, the analysis and forecasting models can only capture the long-term inflation cycles, structural changes, and regime shifts in price behaviour to a very limited degree. As a result, the data can be better representative of the short-term inflation characteristics than the long-term trends.</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i w:val="1"/>
          <w:iCs w:val="1"/>
          <w:color w:val="000000" w:themeColor="text1"/>
          <w:sz w:val="24"/>
          <w:szCs w:val="24"/>
        </w:rPr>
      </w:pPr>
      <w:r>
        <w:rPr>
          <w:rFonts w:ascii="Times New Roman" w:hAnsi="Times New Roman" w:cs="Times New Roman" w:eastAsia="Times New Roman"/>
          <w:i w:val="1"/>
          <w:iCs w:val="1"/>
          <w:color w:val="000000" w:themeColor="text1"/>
          <w:sz w:val="24"/>
          <w:szCs w:val="24"/>
        </w:rPr>
        <w:t>Limitations of Simplified and Univariate Inflation Forecasting Methods</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themeColor="text1"/>
          <w:sz w:val="24"/>
          <w:szCs w:val="24"/>
        </w:rPr>
        <w:t>The research methodology on forecasting used in the study also has some constraints. Although the comparison between the ARIMA and the supervised machine learning models yielded useful information, the models were purposefully maintained relatively simple, so that they were interpretable and workable in the context of applied research. More sophisticated methods, including deep learning models, a hybrid between econometric and machine learning, or state-space models, were not researched. Whereas the advanced techniques might make better predictive accuracy, they tend to be more demanding in terms of adding larger datasets, more resources, and more difficult to validate. Such models could be omitted and consequently restrict the possible forecasting outcomes attained in this research (Ioannidis, Cripps and Tanner, 2022, p.427). The other limitation is associated with the fact that the forecasting models are univariate. The models were principally based on historical CPI values, and they failed to explicitly include other macroeconomic or policy variables, e.g., wage growth, interest rates, fiscal interventions, exchange rates, or global commodity prices. The interplay of such factors is what affects inflation, and the models that fail to consider the effect but instead give a simplistic explanation may not be able to predict sudden shocks or turning points. Consequently, the predictions created in this research ought to be seen as short-term ones and not conclusive.</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themeColor="text1"/>
          <w:sz w:val="24"/>
          <w:szCs w:val="24"/>
        </w:rPr>
        <w:t>Also, the paper concentrated on CPI statistics at the country level with small regional breakage, excluding all other regions other than urban-rural. Although this way of relying on broad geographic groupings does make it possible to conduct a significant comparison, it failed to capture the regional differences between urban and rural regions. Regional variations in housing market, transport infrastructure, and local economic situations can complicate the differences in inflation experiences that cannot be fully represented in the analysis.</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themeColor="text1"/>
          <w:sz w:val="24"/>
          <w:szCs w:val="24"/>
        </w:rPr>
        <w:t>The limitations can be overcome in future research in various aspects. To start with, it would be quite useful to include household-level expenditure survey data, as a result of which the researchers would have the ability to come up with the group-specific rates of inflation and directly evaluate how inflation affects income brackets, household makeups, and demographic factors. This would give a deeper picture of the distributional impacts and would give weight to policy interventions.</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themeColor="text1"/>
          <w:sz w:val="24"/>
          <w:szCs w:val="24"/>
        </w:rPr>
        <w:t>A more extensive temporal coverage of the data would enhance the capacity of the long-term dynamics of inflation and long-term structural dynamics. It would be possible to predict the models with future data available after 2020 and with several inflation cycles to learn and enhance their strength (Reis, 2023, p.223). There is possible future research on the multivariate forecasting models that use both macroeconomic indicators and CPI data. Such models can be useful in increasing the predictive power and understanding the forces behind inflation. Intercountry or interregional comparative research may also offer beneficial information regarding the impact of institutional frameworks and policy reaction on the results of inflation.</w:t>
      </w:r>
    </w:p>
    <w:p>
      <w:pPr>
        <w:pStyle w:val="P2"/>
        <w:ind w:firstLine="0" w:left="0"/>
        <w:rPr>
          <w:color w:val="000000" w:themeColor="text1"/>
        </w:rPr>
      </w:pPr>
      <w:bookmarkStart w:id="65" w:name="_Toc217422109"/>
      <w:r>
        <w:rPr>
          <w:color w:val="000000" w:themeColor="text1"/>
        </w:rPr>
        <w:t>5.5 Conclusion</w:t>
      </w:r>
      <w:bookmarkEnd w:id="65"/>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themeColor="text1"/>
          <w:sz w:val="24"/>
          <w:szCs w:val="24"/>
        </w:rPr>
        <w:t>The study has used sectoral and urban-rural Consumer Price Index analysis alongside both time series and machine learning prediction models to show that the recent inflation has been enduring, skewed and focused in the necessary consumption categories. The results show that housing, energy, transport, and food had the highest increase in price which resulting in a high-cost burden to the household budgets, especially the low-income-earning families. The analysis further reveals that rural households experienced a modestly greater cumulative inflation than urban households, which is why geographical differences in evaluating cost-of-living should be taken into account. Moreover, the forecasting outcomes suggest that when historically based data of CPI are used, comparatively simple forecasting models can adequately reflect the short-term inflation processes with moderate accuracy. In general, the paper makes multiple mentions about the shortcomings of using headline measures of inflation and counsels more sectoral and location-based approaches in comprehending the effects of inflation. The combination of the descriptive analysis and forecasting methods in the research provides insights as to the recent inflation trends on the one hand and predictive instruments on the future price pressure on the other hand. The contribution of the study to the academic and policy discussion is both providing evidence-based information concerning the distributional impact of inflation in Ireland and showing the usefulness of data analytics approaches in financial analysis in practice. Their results underlie the acceptance and elaboration of more specific, just, and data-driven policy reactions to inflation and offer a starting place for future studies regarding the stress on the cost of living and household wellbeing.</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b w:val="1"/>
          <w:bCs w:val="1"/>
          <w:color w:val="000000" w:themeColor="text1"/>
          <w:sz w:val="28"/>
          <w:szCs w:val="28"/>
        </w:rPr>
      </w:pPr>
      <w:r>
        <w:rPr>
          <w:rFonts w:ascii="Times New Roman" w:hAnsi="Times New Roman" w:cs="Times New Roman"/>
          <w:color w:val="000000" w:themeColor="text1"/>
        </w:rPr>
        <w:br w:type="page"/>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color w:val="000000" w:themeColor="text1"/>
          <w:sz w:val="24"/>
          <w:szCs w:val="24"/>
        </w:rPr>
      </w:pPr>
    </w:p>
    <w:p>
      <w:pPr>
        <w:pStyle w:val="P1"/>
        <w:spacing w:lineRule="auto" w:line="360" w:before="240" w:after="240" w:beforeAutospacing="0" w:afterAutospacing="0"/>
        <w:ind w:left="0"/>
        <w:rPr>
          <w:color w:val="000000" w:themeColor="text1"/>
        </w:rPr>
      </w:pPr>
      <w:bookmarkStart w:id="66" w:name="_Toc217422110"/>
      <w:r>
        <w:rPr>
          <w:color w:val="000000" w:themeColor="text1"/>
        </w:rPr>
        <w:t>References</w:t>
      </w:r>
      <w:bookmarkEnd w:id="66"/>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themeColor="text1"/>
          <w:sz w:val="24"/>
          <w:szCs w:val="24"/>
        </w:rPr>
        <w:t xml:space="preserve">Abdulraheem et al. (2025). Evaluating Time Series and Machine Learning Approaches for Forecasting Inflation in Nigeria. FUDMA Journal of Renewable and Atomic Energy, 2(1), pp.42-66. Available at: </w:t>
      </w:r>
      <w:hyperlink xmlns:r="http://schemas.openxmlformats.org/officeDocument/2006/relationships" r:id="R2">
        <w:r>
          <w:rPr>
            <w:rFonts w:ascii="Times New Roman" w:hAnsi="Times New Roman" w:cs="Times New Roman" w:eastAsia="Times New Roman"/>
            <w:color w:val="000000" w:themeColor="text1"/>
            <w:sz w:val="24"/>
            <w:szCs w:val="24"/>
            <w:u w:val="single"/>
          </w:rPr>
          <w:t>https://doi.org/10.33003/fjorae.2025.0201.04</w:t>
        </w:r>
      </w:hyperlink>
      <w:r>
        <w:rPr>
          <w:rFonts w:ascii="Times New Roman" w:hAnsi="Times New Roman" w:cs="Times New Roman" w:eastAsia="Times New Roman"/>
          <w:color w:val="000000" w:themeColor="text1"/>
          <w:sz w:val="24"/>
          <w:szCs w:val="24"/>
        </w:rPr>
        <w:t xml:space="preserve"> (Access: 19 December 2025) </w:t>
      </w:r>
    </w:p>
    <w:p>
      <w:pPr>
        <w:spacing w:lineRule="auto" w:line="360" w:before="240" w:after="240" w:beforeAutospacing="0" w:afterAutospacing="0"/>
        <w:jc w:val="both"/>
        <w:rPr>
          <w:rFonts w:ascii="Times New Roman" w:hAnsi="Times New Roman" w:cs="Times New Roman" w:eastAsia="Times New Roman"/>
          <w:color w:val="000000"/>
          <w:sz w:val="24"/>
          <w:szCs w:val="24"/>
          <w:lang w:eastAsia="en-IN"/>
        </w:rPr>
      </w:pPr>
      <w:r>
        <w:rPr>
          <w:rFonts w:ascii="Times New Roman" w:hAnsi="Times New Roman" w:cs="Times New Roman" w:eastAsia="Times New Roman"/>
          <w:color w:val="000000"/>
          <w:sz w:val="24"/>
          <w:szCs w:val="24"/>
          <w:lang w:eastAsia="en-IN"/>
        </w:rPr>
        <w:t xml:space="preserve">Abotaleb, M., El-kenawy, E.S.M. and Dhoska, K., (2025). Deep Learning-Based Time Series Forecasting: A Convolutional Neural Network Approach for Predicting Inflation Trends. </w:t>
      </w:r>
      <w:r>
        <w:rPr>
          <w:rFonts w:ascii="Times New Roman" w:hAnsi="Times New Roman" w:cs="Times New Roman" w:eastAsia="Times New Roman"/>
          <w:i w:val="1"/>
          <w:iCs w:val="1"/>
          <w:color w:val="000000"/>
          <w:sz w:val="24"/>
          <w:szCs w:val="24"/>
          <w:lang w:eastAsia="en-IN"/>
        </w:rPr>
        <w:t>EDRAAK</w:t>
      </w:r>
      <w:r>
        <w:rPr>
          <w:rFonts w:ascii="Times New Roman" w:hAnsi="Times New Roman" w:cs="Times New Roman" w:eastAsia="Times New Roman"/>
          <w:color w:val="000000"/>
          <w:sz w:val="24"/>
          <w:szCs w:val="24"/>
          <w:lang w:eastAsia="en-IN"/>
        </w:rPr>
        <w:t xml:space="preserve">, </w:t>
      </w:r>
      <w:r>
        <w:rPr>
          <w:rFonts w:ascii="Times New Roman" w:hAnsi="Times New Roman" w:cs="Times New Roman" w:eastAsia="Times New Roman"/>
          <w:i w:val="1"/>
          <w:iCs w:val="1"/>
          <w:color w:val="000000"/>
          <w:sz w:val="24"/>
          <w:szCs w:val="24"/>
          <w:lang w:eastAsia="en-IN"/>
        </w:rPr>
        <w:t>2025</w:t>
      </w:r>
      <w:r>
        <w:rPr>
          <w:rFonts w:ascii="Times New Roman" w:hAnsi="Times New Roman" w:cs="Times New Roman" w:eastAsia="Times New Roman"/>
          <w:color w:val="000000"/>
          <w:sz w:val="24"/>
          <w:szCs w:val="24"/>
          <w:lang w:eastAsia="en-IN"/>
        </w:rPr>
        <w:t>, pp.19-28.</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themeColor="text1"/>
          <w:sz w:val="24"/>
          <w:szCs w:val="24"/>
        </w:rPr>
        <w:t xml:space="preserve">Adjemian et al. (2024). Factors affecting recent food price inflation in the United States. Applied Economic Perspectives and Policy, 46(2), pp.648-676. Available at: </w:t>
      </w:r>
      <w:hyperlink xmlns:r="http://schemas.openxmlformats.org/officeDocument/2006/relationships" r:id="R3">
        <w:r>
          <w:rPr>
            <w:rFonts w:ascii="Times New Roman" w:hAnsi="Times New Roman" w:cs="Times New Roman" w:eastAsia="Times New Roman"/>
            <w:color w:val="000000" w:themeColor="text1"/>
            <w:sz w:val="24"/>
            <w:szCs w:val="24"/>
            <w:u w:val="single"/>
          </w:rPr>
          <w:t>https://doi.org/10.1002/aepp.13378</w:t>
        </w:r>
      </w:hyperlink>
      <w:r>
        <w:rPr>
          <w:rFonts w:ascii="Times New Roman" w:hAnsi="Times New Roman" w:cs="Times New Roman" w:eastAsia="Times New Roman"/>
          <w:color w:val="000000" w:themeColor="text1"/>
          <w:sz w:val="24"/>
          <w:szCs w:val="24"/>
        </w:rPr>
        <w:t xml:space="preserve">  (Access: 19 December 2025)</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themeColor="text1"/>
          <w:sz w:val="24"/>
          <w:szCs w:val="24"/>
        </w:rPr>
        <w:t xml:space="preserve">Anyars, S.I. and Adabor, O., (2023). The impact of oil price changes on inflation and disaggregated inflation: Insights from Ghana. </w:t>
      </w:r>
      <w:r>
        <w:rPr>
          <w:rFonts w:ascii="Times New Roman" w:hAnsi="Times New Roman" w:cs="Times New Roman" w:eastAsia="Times New Roman"/>
          <w:i w:val="1"/>
          <w:iCs w:val="1"/>
          <w:color w:val="000000" w:themeColor="text1"/>
          <w:sz w:val="24"/>
          <w:szCs w:val="24"/>
        </w:rPr>
        <w:t>Research in Globalization</w:t>
      </w:r>
      <w:r>
        <w:rPr>
          <w:rFonts w:ascii="Times New Roman" w:hAnsi="Times New Roman" w:cs="Times New Roman" w:eastAsia="Times New Roman"/>
          <w:color w:val="000000" w:themeColor="text1"/>
          <w:sz w:val="24"/>
          <w:szCs w:val="24"/>
        </w:rPr>
        <w:t xml:space="preserve">, 6, p.100125. Available at: </w:t>
      </w:r>
      <w:hyperlink xmlns:r="http://schemas.openxmlformats.org/officeDocument/2006/relationships" r:id="R4">
        <w:r>
          <w:rPr>
            <w:rFonts w:ascii="Times New Roman" w:hAnsi="Times New Roman" w:cs="Times New Roman" w:eastAsia="Times New Roman"/>
            <w:color w:val="000000" w:themeColor="text1"/>
            <w:sz w:val="24"/>
            <w:szCs w:val="24"/>
            <w:u w:val="single"/>
          </w:rPr>
          <w:t>https://doi.org/10.1016/j.resglo.2023.100125</w:t>
        </w:r>
      </w:hyperlink>
      <w:r>
        <w:rPr>
          <w:rFonts w:ascii="Times New Roman" w:hAnsi="Times New Roman" w:cs="Times New Roman" w:eastAsia="Times New Roman"/>
          <w:color w:val="000000" w:themeColor="text1"/>
          <w:sz w:val="24"/>
          <w:szCs w:val="24"/>
        </w:rPr>
        <w:t xml:space="preserve"> (Accessed: 19 December 2025).</w:t>
      </w:r>
    </w:p>
    <w:p>
      <w:pPr>
        <w:spacing w:lineRule="auto" w:line="360" w:before="240" w:after="240" w:beforeAutospacing="0" w:afterAutospacing="0"/>
        <w:jc w:val="both"/>
        <w:rPr>
          <w:rFonts w:ascii="Times New Roman" w:hAnsi="Times New Roman" w:cs="Times New Roman"/>
          <w:color w:val="000000" w:themeColor="text1"/>
        </w:rPr>
      </w:pPr>
      <w:bookmarkStart w:id="67" w:name="_Hlk217138433"/>
      <w:r>
        <w:rPr>
          <w:rFonts w:ascii="Times New Roman" w:hAnsi="Times New Roman" w:cs="Times New Roman"/>
          <w:color w:val="000000" w:themeColor="text1"/>
        </w:rPr>
        <w:t xml:space="preserve">Avdiu, K. and Unger, </w:t>
      </w:r>
      <w:bookmarkEnd w:id="67"/>
      <w:r>
        <w:rPr>
          <w:rFonts w:ascii="Times New Roman" w:hAnsi="Times New Roman" w:cs="Times New Roman"/>
          <w:color w:val="000000" w:themeColor="text1"/>
        </w:rPr>
        <w:t>S., 2022. Predicting inflation—A holistic approach. </w:t>
      </w:r>
      <w:r>
        <w:rPr>
          <w:rFonts w:ascii="Times New Roman" w:hAnsi="Times New Roman" w:cs="Times New Roman"/>
          <w:i w:val="1"/>
          <w:iCs w:val="1"/>
          <w:color w:val="000000" w:themeColor="text1"/>
        </w:rPr>
        <w:t>Journal of Risk and Financial Management</w:t>
      </w:r>
      <w:r>
        <w:rPr>
          <w:rFonts w:ascii="Times New Roman" w:hAnsi="Times New Roman" w:cs="Times New Roman"/>
          <w:color w:val="000000" w:themeColor="text1"/>
        </w:rPr>
        <w:t>, </w:t>
      </w:r>
      <w:r>
        <w:rPr>
          <w:rFonts w:ascii="Times New Roman" w:hAnsi="Times New Roman" w:cs="Times New Roman"/>
          <w:i w:val="1"/>
          <w:iCs w:val="1"/>
          <w:color w:val="000000" w:themeColor="text1"/>
        </w:rPr>
        <w:t>15</w:t>
      </w:r>
      <w:r>
        <w:rPr>
          <w:rFonts w:ascii="Times New Roman" w:hAnsi="Times New Roman" w:cs="Times New Roman"/>
          <w:color w:val="000000" w:themeColor="text1"/>
        </w:rPr>
        <w:t>(4), p.151. Available at:</w:t>
      </w:r>
      <w:r>
        <w:rPr>
          <w:color w:val="000000" w:themeColor="text1"/>
        </w:rPr>
        <w:t xml:space="preserve"> </w:t>
      </w:r>
      <w:r>
        <w:rPr>
          <w:rFonts w:ascii="Times New Roman" w:hAnsi="Times New Roman" w:cs="Times New Roman"/>
          <w:color w:val="000000" w:themeColor="text1"/>
        </w:rPr>
        <w:t>https://doi.org/10.3390/jrfm15040151  (Accessed: 16 December 2025).</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themeColor="text1"/>
          <w:sz w:val="24"/>
          <w:szCs w:val="24"/>
        </w:rPr>
        <w:t>Ceallaigh, D.Ó., Martin, L., Timmons, S., Robertson, D. and Lunn, P. (2024). The response of low-income households to the cost-of-living crisis in Ireland. [online] doi:https://doi.org/10.26504/rs206.</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themeColor="text1"/>
          <w:sz w:val="24"/>
          <w:szCs w:val="24"/>
        </w:rPr>
        <w:t xml:space="preserve">Central Statistics Office (2020). </w:t>
      </w:r>
      <w:r>
        <w:rPr>
          <w:rFonts w:ascii="Times New Roman" w:hAnsi="Times New Roman" w:cs="Times New Roman" w:eastAsia="Times New Roman"/>
          <w:i w:val="1"/>
          <w:iCs w:val="1"/>
          <w:color w:val="000000" w:themeColor="text1"/>
          <w:sz w:val="24"/>
          <w:szCs w:val="24"/>
        </w:rPr>
        <w:t>Consumer Price Index - CSO - Central Statistics Office</w:t>
      </w:r>
      <w:r>
        <w:rPr>
          <w:rFonts w:ascii="Times New Roman" w:hAnsi="Times New Roman" w:cs="Times New Roman" w:eastAsia="Times New Roman"/>
          <w:color w:val="000000" w:themeColor="text1"/>
          <w:sz w:val="24"/>
          <w:szCs w:val="24"/>
        </w:rPr>
        <w:t>. [online] Www.cso.ie. Available at: https://www.cso.ie/en/statistics/prices/consumerpriceindex/ [Accessed 19 Dec. 2025].</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themeColor="text1"/>
          <w:sz w:val="24"/>
          <w:szCs w:val="24"/>
        </w:rPr>
        <w:t xml:space="preserve">Central Statistics Office (2023). </w:t>
      </w:r>
      <w:r>
        <w:rPr>
          <w:rFonts w:ascii="Times New Roman" w:hAnsi="Times New Roman" w:cs="Times New Roman" w:eastAsia="Times New Roman"/>
          <w:i w:val="1"/>
          <w:iCs w:val="1"/>
          <w:color w:val="000000" w:themeColor="text1"/>
          <w:sz w:val="24"/>
          <w:szCs w:val="24"/>
        </w:rPr>
        <w:t>Estimated Inflation by Household Characteristics March 2023 - CSO - Central Statistics Office</w:t>
      </w:r>
      <w:r>
        <w:rPr>
          <w:rFonts w:ascii="Times New Roman" w:hAnsi="Times New Roman" w:cs="Times New Roman" w:eastAsia="Times New Roman"/>
          <w:color w:val="000000" w:themeColor="text1"/>
          <w:sz w:val="24"/>
          <w:szCs w:val="24"/>
        </w:rPr>
        <w:t>. [online] www.cso.ie. Available at: https://www.cso.ie/en/releasesandpublications/fp/fp-eihc/estimatedinflationbyhouseholdcharacteristicsmarch2023/.</w:t>
      </w:r>
    </w:p>
    <w:p>
      <w:pPr>
        <w:spacing w:lineRule="auto" w:line="360" w:before="240" w:after="240" w:beforeAutospacing="0" w:afterAutospacing="0"/>
        <w:jc w:val="both"/>
        <w:rPr>
          <w:rFonts w:ascii="Times New Roman" w:hAnsi="Times New Roman" w:cs="Times New Roman"/>
          <w:color w:val="000000" w:themeColor="text1"/>
        </w:rPr>
      </w:pPr>
      <w:r>
        <w:rPr>
          <w:rFonts w:ascii="Times New Roman" w:hAnsi="Times New Roman" w:cs="Times New Roman"/>
          <w:color w:val="000000" w:themeColor="text1"/>
        </w:rPr>
        <w:t xml:space="preserve">Coates, D.P., </w:t>
      </w:r>
      <w:r>
        <w:rPr>
          <w:rFonts w:ascii="Times New Roman" w:hAnsi="Times New Roman" w:cs="Times New Roman"/>
          <w:i w:val="1"/>
          <w:iCs w:val="1"/>
          <w:color w:val="000000" w:themeColor="text1"/>
        </w:rPr>
        <w:t>et al.</w:t>
      </w:r>
      <w:r>
        <w:rPr>
          <w:rFonts w:ascii="Times New Roman" w:hAnsi="Times New Roman" w:cs="Times New Roman"/>
          <w:color w:val="000000" w:themeColor="text1"/>
        </w:rPr>
        <w:t xml:space="preserve"> 2023. </w:t>
      </w:r>
      <w:r>
        <w:rPr>
          <w:rFonts w:ascii="Times New Roman" w:hAnsi="Times New Roman" w:cs="Times New Roman"/>
          <w:i w:val="1"/>
          <w:iCs w:val="1"/>
          <w:color w:val="000000" w:themeColor="text1"/>
        </w:rPr>
        <w:t>Understanding Recent Inflationary Dynamics in Ireland</w:t>
      </w:r>
      <w:r>
        <w:rPr>
          <w:rFonts w:ascii="Times New Roman" w:hAnsi="Times New Roman" w:cs="Times New Roman"/>
          <w:color w:val="000000" w:themeColor="text1"/>
        </w:rPr>
        <w:t> (No. 23-3). Bulletin. Available at:</w:t>
      </w:r>
      <w:r>
        <w:rPr>
          <w:color w:val="000000" w:themeColor="text1"/>
        </w:rPr>
        <w:t xml:space="preserve"> </w:t>
      </w:r>
      <w:r>
        <w:rPr>
          <w:rFonts w:ascii="Times New Roman" w:hAnsi="Times New Roman" w:cs="Times New Roman"/>
          <w:color w:val="000000" w:themeColor="text1"/>
        </w:rPr>
        <w:t>https://www.econstor.eu/handle/10419/312171  (Accessed: 16 December 2025).</w:t>
      </w:r>
    </w:p>
    <w:p>
      <w:pPr>
        <w:spacing w:lineRule="auto" w:line="360" w:before="240" w:after="240" w:beforeAutospacing="0" w:afterAutospacing="0"/>
        <w:jc w:val="both"/>
        <w:rPr>
          <w:rFonts w:ascii="Times New Roman" w:hAnsi="Times New Roman" w:cs="Times New Roman" w:eastAsia="Times New Roman"/>
          <w:color w:val="000000"/>
          <w:sz w:val="24"/>
          <w:szCs w:val="24"/>
          <w:lang w:eastAsia="en-IN"/>
        </w:rPr>
      </w:pPr>
      <w:r>
        <w:rPr>
          <w:rFonts w:ascii="Times New Roman" w:hAnsi="Times New Roman" w:cs="Times New Roman" w:eastAsia="Times New Roman"/>
          <w:color w:val="000000"/>
          <w:sz w:val="24"/>
          <w:szCs w:val="24"/>
          <w:lang w:eastAsia="en-IN"/>
        </w:rPr>
        <w:t xml:space="preserve">Del Rio, D.D.F., Sovacool, B.K., Griffiths, S., Foley, A.M. and Del Rio, J.F., (2023). A cross-country analysis of sustainability, transport and energy poverty. </w:t>
      </w:r>
      <w:r>
        <w:rPr>
          <w:rFonts w:ascii="Times New Roman" w:hAnsi="Times New Roman" w:cs="Times New Roman" w:eastAsia="Times New Roman"/>
          <w:i w:val="1"/>
          <w:iCs w:val="1"/>
          <w:color w:val="000000"/>
          <w:sz w:val="24"/>
          <w:szCs w:val="24"/>
          <w:lang w:eastAsia="en-IN"/>
        </w:rPr>
        <w:t>npj Urban sustainability</w:t>
      </w:r>
      <w:r>
        <w:rPr>
          <w:rFonts w:ascii="Times New Roman" w:hAnsi="Times New Roman" w:cs="Times New Roman" w:eastAsia="Times New Roman"/>
          <w:color w:val="000000"/>
          <w:sz w:val="24"/>
          <w:szCs w:val="24"/>
          <w:lang w:eastAsia="en-IN"/>
        </w:rPr>
        <w:t xml:space="preserve">, </w:t>
      </w:r>
      <w:r>
        <w:rPr>
          <w:rFonts w:ascii="Times New Roman" w:hAnsi="Times New Roman" w:cs="Times New Roman" w:eastAsia="Times New Roman"/>
          <w:i w:val="1"/>
          <w:iCs w:val="1"/>
          <w:color w:val="000000"/>
          <w:sz w:val="24"/>
          <w:szCs w:val="24"/>
          <w:lang w:eastAsia="en-IN"/>
        </w:rPr>
        <w:t>3</w:t>
      </w:r>
      <w:r>
        <w:rPr>
          <w:rFonts w:ascii="Times New Roman" w:hAnsi="Times New Roman" w:cs="Times New Roman" w:eastAsia="Times New Roman"/>
          <w:color w:val="000000"/>
          <w:sz w:val="24"/>
          <w:szCs w:val="24"/>
          <w:lang w:eastAsia="en-IN"/>
        </w:rPr>
        <w:t>, p.41.</w:t>
      </w:r>
    </w:p>
    <w:p>
      <w:pPr>
        <w:spacing w:lineRule="auto" w:line="360" w:before="240" w:after="240" w:beforeAutospacing="0" w:afterAutospacing="0"/>
        <w:jc w:val="both"/>
        <w:rPr>
          <w:rFonts w:ascii="Times New Roman" w:hAnsi="Times New Roman" w:cs="Times New Roman" w:eastAsia="Times New Roman"/>
          <w:color w:val="000000"/>
          <w:sz w:val="24"/>
          <w:szCs w:val="24"/>
          <w:lang w:eastAsia="en-IN"/>
        </w:rPr>
      </w:pPr>
      <w:r>
        <w:rPr>
          <w:rFonts w:ascii="Times New Roman" w:hAnsi="Times New Roman" w:cs="Times New Roman" w:eastAsia="Times New Roman"/>
          <w:color w:val="000000"/>
          <w:sz w:val="24"/>
          <w:szCs w:val="24"/>
          <w:lang w:eastAsia="en-IN"/>
        </w:rPr>
        <w:t xml:space="preserve">Dong, X., Dang, B., Zang, H., Li, S. and Ma, D., (2024). The prediction trend of enterprise financial risk based on machine learning arima model. </w:t>
      </w:r>
      <w:r>
        <w:rPr>
          <w:rFonts w:ascii="Times New Roman" w:hAnsi="Times New Roman" w:cs="Times New Roman" w:eastAsia="Times New Roman"/>
          <w:i w:val="1"/>
          <w:iCs w:val="1"/>
          <w:color w:val="000000"/>
          <w:sz w:val="24"/>
          <w:szCs w:val="24"/>
          <w:lang w:eastAsia="en-IN"/>
        </w:rPr>
        <w:t>Journal of Theory and Practice of Engineering Science</w:t>
      </w:r>
      <w:r>
        <w:rPr>
          <w:rFonts w:ascii="Times New Roman" w:hAnsi="Times New Roman" w:cs="Times New Roman" w:eastAsia="Times New Roman"/>
          <w:color w:val="000000"/>
          <w:sz w:val="24"/>
          <w:szCs w:val="24"/>
          <w:lang w:eastAsia="en-IN"/>
        </w:rPr>
        <w:t xml:space="preserve">, </w:t>
      </w:r>
      <w:r>
        <w:rPr>
          <w:rFonts w:ascii="Times New Roman" w:hAnsi="Times New Roman" w:cs="Times New Roman" w:eastAsia="Times New Roman"/>
          <w:i w:val="1"/>
          <w:iCs w:val="1"/>
          <w:color w:val="000000"/>
          <w:sz w:val="24"/>
          <w:szCs w:val="24"/>
          <w:lang w:eastAsia="en-IN"/>
        </w:rPr>
        <w:t>4</w:t>
      </w:r>
      <w:r>
        <w:rPr>
          <w:rFonts w:ascii="Times New Roman" w:hAnsi="Times New Roman" w:cs="Times New Roman" w:eastAsia="Times New Roman"/>
          <w:color w:val="000000"/>
          <w:sz w:val="24"/>
          <w:szCs w:val="24"/>
          <w:lang w:eastAsia="en-IN"/>
        </w:rPr>
        <w:t>(01), pp.65-71.</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themeColor="text1"/>
          <w:sz w:val="24"/>
          <w:szCs w:val="24"/>
        </w:rPr>
        <w:t xml:space="preserve">Duca, J.V., Muellbauer, J. and Murphy, A., (2021). What drives house price cycles? International experience and policy issues. Journal of Economic Literature, 59(3), pp.773-864. Available at: 10.1257/jel.20201325 (Access: 19 December 2025) </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themeColor="text1"/>
          <w:sz w:val="24"/>
          <w:szCs w:val="24"/>
        </w:rPr>
        <w:t xml:space="preserve">Eoin Burke-Kennedy (2022). </w:t>
      </w:r>
      <w:r>
        <w:rPr>
          <w:rFonts w:ascii="Times New Roman" w:hAnsi="Times New Roman" w:cs="Times New Roman" w:eastAsia="Times New Roman"/>
          <w:i w:val="1"/>
          <w:iCs w:val="1"/>
          <w:color w:val="000000" w:themeColor="text1"/>
          <w:sz w:val="24"/>
          <w:szCs w:val="24"/>
        </w:rPr>
        <w:t>Poorer households experiencing significantly higher inflation, CSO study finds</w:t>
      </w:r>
      <w:r>
        <w:rPr>
          <w:rFonts w:ascii="Times New Roman" w:hAnsi="Times New Roman" w:cs="Times New Roman" w:eastAsia="Times New Roman"/>
          <w:color w:val="000000" w:themeColor="text1"/>
          <w:sz w:val="24"/>
          <w:szCs w:val="24"/>
        </w:rPr>
        <w:t>. [online] The Irish Times. Available at: https://www.irishtimes.com/business/economy/2022/11/18/poorer-irish-households-experiencing-significantly-higher-inflation-cso-study-finds/.</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themeColor="text1"/>
          <w:sz w:val="24"/>
          <w:szCs w:val="24"/>
        </w:rPr>
        <w:t xml:space="preserve">Eoin Burke-Kennedy (2025). </w:t>
      </w:r>
      <w:r>
        <w:rPr>
          <w:rFonts w:ascii="Times New Roman" w:hAnsi="Times New Roman" w:cs="Times New Roman" w:eastAsia="Times New Roman"/>
          <w:i w:val="1"/>
          <w:iCs w:val="1"/>
          <w:color w:val="000000" w:themeColor="text1"/>
          <w:sz w:val="24"/>
          <w:szCs w:val="24"/>
        </w:rPr>
        <w:t>Inflation explainer: why are prices in Ireland accelerating again?</w:t>
      </w:r>
      <w:r>
        <w:rPr>
          <w:rFonts w:ascii="Times New Roman" w:hAnsi="Times New Roman" w:cs="Times New Roman" w:eastAsia="Times New Roman"/>
          <w:color w:val="000000" w:themeColor="text1"/>
          <w:sz w:val="24"/>
          <w:szCs w:val="24"/>
        </w:rPr>
        <w:t xml:space="preserve"> [online] The Irish Times. Available at: https://www.irishtimes.com/business/2025/12/12/inflation-explainer-why-are-prices-in-ireland-accelerating-again/.</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themeColor="text1"/>
          <w:sz w:val="24"/>
          <w:szCs w:val="24"/>
        </w:rPr>
        <w:t xml:space="preserve">Fernando, J. (2022) </w:t>
      </w:r>
      <w:r>
        <w:rPr>
          <w:rFonts w:ascii="Times New Roman" w:hAnsi="Times New Roman" w:cs="Times New Roman" w:eastAsia="Times New Roman"/>
          <w:i w:val="1"/>
          <w:iCs w:val="1"/>
          <w:color w:val="000000" w:themeColor="text1"/>
          <w:sz w:val="24"/>
          <w:szCs w:val="24"/>
        </w:rPr>
        <w:t>What is the consumer price index (CPI)?, Investopedia</w:t>
      </w:r>
      <w:r>
        <w:rPr>
          <w:rFonts w:ascii="Times New Roman" w:hAnsi="Times New Roman" w:cs="Times New Roman" w:eastAsia="Times New Roman"/>
          <w:color w:val="000000" w:themeColor="text1"/>
          <w:sz w:val="24"/>
          <w:szCs w:val="24"/>
        </w:rPr>
        <w:t xml:space="preserve">. Available at: </w:t>
      </w:r>
      <w:hyperlink xmlns:r="http://schemas.openxmlformats.org/officeDocument/2006/relationships" r:id="R5">
        <w:r>
          <w:rPr>
            <w:rFonts w:ascii="Times New Roman" w:hAnsi="Times New Roman" w:cs="Times New Roman" w:eastAsia="Times New Roman"/>
            <w:color w:val="000000" w:themeColor="text1"/>
            <w:sz w:val="24"/>
            <w:szCs w:val="24"/>
            <w:u w:val="single"/>
          </w:rPr>
          <w:t>https://www.investopedia.com/terms/c/consumerpriceindex.asp</w:t>
        </w:r>
      </w:hyperlink>
      <w:r>
        <w:rPr>
          <w:rFonts w:ascii="Times New Roman" w:hAnsi="Times New Roman" w:cs="Times New Roman" w:eastAsia="Times New Roman"/>
          <w:color w:val="000000" w:themeColor="text1"/>
          <w:sz w:val="24"/>
          <w:szCs w:val="24"/>
        </w:rPr>
        <w:t xml:space="preserve"> (Accessed: 19 December 2025).</w:t>
      </w:r>
    </w:p>
    <w:p>
      <w:pPr>
        <w:spacing w:lineRule="auto" w:line="360" w:before="240" w:after="240" w:beforeAutospacing="0" w:afterAutospacing="0"/>
        <w:jc w:val="both"/>
        <w:rPr>
          <w:rFonts w:ascii="Times New Roman" w:hAnsi="Times New Roman" w:cs="Times New Roman"/>
          <w:color w:val="000000" w:themeColor="text1"/>
        </w:rPr>
      </w:pPr>
      <w:r>
        <w:rPr>
          <w:rFonts w:ascii="Times New Roman" w:hAnsi="Times New Roman" w:cs="Times New Roman"/>
          <w:color w:val="000000" w:themeColor="text1"/>
        </w:rPr>
        <w:t>Fox, K.J., Levell, P. and O’Connell, M., 2025. Inflation measurement with high-frequency data. </w:t>
      </w:r>
      <w:r>
        <w:rPr>
          <w:rFonts w:ascii="Times New Roman" w:hAnsi="Times New Roman" w:cs="Times New Roman"/>
          <w:i w:val="1"/>
          <w:iCs w:val="1"/>
          <w:color w:val="000000" w:themeColor="text1"/>
        </w:rPr>
        <w:t>Journal of Business &amp; Economic Statistics</w:t>
      </w:r>
      <w:r>
        <w:rPr>
          <w:rFonts w:ascii="Times New Roman" w:hAnsi="Times New Roman" w:cs="Times New Roman"/>
          <w:color w:val="000000" w:themeColor="text1"/>
        </w:rPr>
        <w:t>, pp.1-14. Available at:  https://doi.org/10.1080/07350015.2025.2537392 (Accessed: 16 December 2025).</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themeColor="text1"/>
          <w:sz w:val="24"/>
          <w:szCs w:val="24"/>
        </w:rPr>
        <w:t xml:space="preserve">Gausden, R. and Hasan, M. (2024). Discretionary household consumption expenditure in the UK: measurement and evaluation. </w:t>
      </w:r>
      <w:r>
        <w:rPr>
          <w:rFonts w:ascii="Times New Roman" w:hAnsi="Times New Roman" w:cs="Times New Roman" w:eastAsia="Times New Roman"/>
          <w:i w:val="1"/>
          <w:iCs w:val="1"/>
          <w:color w:val="000000" w:themeColor="text1"/>
          <w:sz w:val="24"/>
          <w:szCs w:val="24"/>
        </w:rPr>
        <w:t>Applied economics</w:t>
      </w:r>
      <w:r>
        <w:rPr>
          <w:rFonts w:ascii="Times New Roman" w:hAnsi="Times New Roman" w:cs="Times New Roman" w:eastAsia="Times New Roman"/>
          <w:color w:val="000000" w:themeColor="text1"/>
          <w:sz w:val="24"/>
          <w:szCs w:val="24"/>
        </w:rPr>
        <w:t>, 57(26), pp.1–16. doi:https://doi.org/10.1080/00036846.2024.2337812.</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themeColor="text1"/>
          <w:sz w:val="24"/>
          <w:szCs w:val="24"/>
        </w:rPr>
        <w:t xml:space="preserve">Ghodke, M. and Giri, P. (2023). Consumer price index (CPI)–Types &amp; sources. Indian journal of community health, 35(4), pp.520-525. Available at: </w:t>
      </w:r>
      <w:hyperlink xmlns:r="http://schemas.openxmlformats.org/officeDocument/2006/relationships" r:id="R6">
        <w:r>
          <w:rPr>
            <w:rFonts w:ascii="Times New Roman" w:hAnsi="Times New Roman" w:cs="Times New Roman" w:eastAsia="Times New Roman"/>
            <w:color w:val="000000" w:themeColor="text1"/>
            <w:sz w:val="24"/>
            <w:szCs w:val="24"/>
            <w:u w:val="single"/>
          </w:rPr>
          <w:t>https://doi.org/10.47203/IJCH.2023.v35i04.020</w:t>
        </w:r>
      </w:hyperlink>
      <w:r>
        <w:rPr>
          <w:rFonts w:ascii="Times New Roman" w:hAnsi="Times New Roman" w:cs="Times New Roman" w:eastAsia="Times New Roman"/>
          <w:color w:val="000000" w:themeColor="text1"/>
          <w:sz w:val="24"/>
          <w:szCs w:val="24"/>
        </w:rPr>
        <w:t xml:space="preserve"> (Access: 19 December 2025) </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themeColor="text1"/>
          <w:sz w:val="24"/>
          <w:szCs w:val="24"/>
        </w:rPr>
        <w:t xml:space="preserve">Globalen LLC (2025). </w:t>
      </w:r>
      <w:r>
        <w:rPr>
          <w:rFonts w:ascii="Times New Roman" w:hAnsi="Times New Roman" w:cs="Times New Roman" w:eastAsia="Times New Roman"/>
          <w:i w:val="1"/>
          <w:iCs w:val="1"/>
          <w:color w:val="000000" w:themeColor="text1"/>
          <w:sz w:val="24"/>
          <w:szCs w:val="24"/>
        </w:rPr>
        <w:t>Ireland Consumer Price Index (CPI), November, 2025 - data, chart | TheGlobalEconomy.com</w:t>
      </w:r>
      <w:r>
        <w:rPr>
          <w:rFonts w:ascii="Times New Roman" w:hAnsi="Times New Roman" w:cs="Times New Roman" w:eastAsia="Times New Roman"/>
          <w:color w:val="000000" w:themeColor="text1"/>
          <w:sz w:val="24"/>
          <w:szCs w:val="24"/>
        </w:rPr>
        <w:t>. [online] TheGlobalEconomy.com. Available at: https://www.theglobaleconomy.com/Ireland/cpi/ [Accessed 19 Dec. 2025].</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themeColor="text1"/>
          <w:sz w:val="24"/>
          <w:szCs w:val="24"/>
        </w:rPr>
        <w:t xml:space="preserve">Guan </w:t>
      </w:r>
      <w:r>
        <w:rPr>
          <w:rFonts w:ascii="Times New Roman" w:hAnsi="Times New Roman" w:cs="Times New Roman" w:eastAsia="Times New Roman"/>
          <w:i w:val="1"/>
          <w:iCs w:val="1"/>
          <w:color w:val="000000" w:themeColor="text1"/>
          <w:sz w:val="24"/>
          <w:szCs w:val="24"/>
        </w:rPr>
        <w:t>et al</w:t>
      </w:r>
      <w:r>
        <w:rPr>
          <w:rFonts w:ascii="Times New Roman" w:hAnsi="Times New Roman" w:cs="Times New Roman" w:eastAsia="Times New Roman"/>
          <w:color w:val="000000" w:themeColor="text1"/>
          <w:sz w:val="24"/>
          <w:szCs w:val="24"/>
        </w:rPr>
        <w:t xml:space="preserve">., (2023). Burden of the global energy price crisis on households. Nature Energy, 8(3), pp.304-316. Available at: </w:t>
      </w:r>
      <w:hyperlink xmlns:r="http://schemas.openxmlformats.org/officeDocument/2006/relationships" r:id="R7">
        <w:r>
          <w:rPr>
            <w:rFonts w:ascii="Times New Roman" w:hAnsi="Times New Roman" w:cs="Times New Roman" w:eastAsia="Times New Roman"/>
            <w:color w:val="000000" w:themeColor="text1"/>
            <w:sz w:val="24"/>
            <w:szCs w:val="24"/>
            <w:u w:val="single"/>
          </w:rPr>
          <w:t>https://doi.org/10.1038/s41560-023-01209-8</w:t>
        </w:r>
      </w:hyperlink>
      <w:r>
        <w:rPr>
          <w:rFonts w:ascii="Times New Roman" w:hAnsi="Times New Roman" w:cs="Times New Roman" w:eastAsia="Times New Roman"/>
          <w:color w:val="000000" w:themeColor="text1"/>
          <w:sz w:val="24"/>
          <w:szCs w:val="24"/>
        </w:rPr>
        <w:t xml:space="preserve"> (Accessed: 19 December 2025).</w:t>
      </w:r>
    </w:p>
    <w:p>
      <w:pPr>
        <w:spacing w:lineRule="auto" w:line="360" w:before="240" w:after="240" w:beforeAutospacing="0" w:afterAutospacing="0"/>
        <w:jc w:val="both"/>
        <w:rPr>
          <w:rFonts w:ascii="Times New Roman" w:hAnsi="Times New Roman" w:cs="Times New Roman"/>
          <w:color w:val="000000" w:themeColor="text1"/>
        </w:rPr>
      </w:pPr>
      <w:bookmarkStart w:id="68" w:name="_Hlk217138499"/>
      <w:r>
        <w:rPr>
          <w:rFonts w:ascii="Times New Roman" w:hAnsi="Times New Roman" w:cs="Times New Roman"/>
          <w:color w:val="000000" w:themeColor="text1"/>
        </w:rPr>
        <w:t>Ha, J., Kose, M.A. and Ohnsorge</w:t>
      </w:r>
      <w:bookmarkEnd w:id="68"/>
      <w:r>
        <w:rPr>
          <w:rFonts w:ascii="Times New Roman" w:hAnsi="Times New Roman" w:cs="Times New Roman"/>
          <w:color w:val="000000" w:themeColor="text1"/>
        </w:rPr>
        <w:t>, F., 2023. One-stop source: A global database of inflation. </w:t>
      </w:r>
      <w:r>
        <w:rPr>
          <w:rFonts w:ascii="Times New Roman" w:hAnsi="Times New Roman" w:cs="Times New Roman"/>
          <w:i w:val="1"/>
          <w:iCs w:val="1"/>
          <w:color w:val="000000" w:themeColor="text1"/>
        </w:rPr>
        <w:t>Journal of International Money and Finance</w:t>
      </w:r>
      <w:r>
        <w:rPr>
          <w:rFonts w:ascii="Times New Roman" w:hAnsi="Times New Roman" w:cs="Times New Roman"/>
          <w:color w:val="000000" w:themeColor="text1"/>
        </w:rPr>
        <w:t>, </w:t>
      </w:r>
      <w:r>
        <w:rPr>
          <w:rFonts w:ascii="Times New Roman" w:hAnsi="Times New Roman" w:cs="Times New Roman"/>
          <w:i w:val="1"/>
          <w:iCs w:val="1"/>
          <w:color w:val="000000" w:themeColor="text1"/>
        </w:rPr>
        <w:t>137</w:t>
      </w:r>
      <w:r>
        <w:rPr>
          <w:rFonts w:ascii="Times New Roman" w:hAnsi="Times New Roman" w:cs="Times New Roman"/>
          <w:color w:val="000000" w:themeColor="text1"/>
        </w:rPr>
        <w:t>, p.102896. Available at: https://doi.org/10.1016/j.jimonfin.2023.102896 (Accessed: 16 December 2025).</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themeColor="text1"/>
          <w:sz w:val="24"/>
          <w:szCs w:val="24"/>
        </w:rPr>
        <w:t xml:space="preserve">Horrell, S.(2023). Household consumption patterns and the consumer price index, England, 1260–1869. The Economic History Review, 76(4), pp.1023-1050. Available at: </w:t>
      </w:r>
      <w:hyperlink xmlns:r="http://schemas.openxmlformats.org/officeDocument/2006/relationships" r:id="R8">
        <w:r>
          <w:rPr>
            <w:rFonts w:ascii="Times New Roman" w:hAnsi="Times New Roman" w:cs="Times New Roman" w:eastAsia="Times New Roman"/>
            <w:color w:val="000000" w:themeColor="text1"/>
            <w:sz w:val="24"/>
            <w:szCs w:val="24"/>
            <w:u w:val="single"/>
          </w:rPr>
          <w:t>https://doi.org/10.1111/ehr.13236</w:t>
        </w:r>
      </w:hyperlink>
      <w:r>
        <w:rPr>
          <w:rFonts w:ascii="Times New Roman" w:hAnsi="Times New Roman" w:cs="Times New Roman" w:eastAsia="Times New Roman"/>
          <w:color w:val="000000" w:themeColor="text1"/>
          <w:sz w:val="24"/>
          <w:szCs w:val="24"/>
        </w:rPr>
        <w:t xml:space="preserve">  (Access: 19 December 2025)</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themeColor="text1"/>
          <w:sz w:val="24"/>
          <w:szCs w:val="24"/>
        </w:rPr>
        <w:t xml:space="preserve">Ioannidis, J.P., Cripps, S. and Tanner, M.A. (2022). Forecasting for COVID-19 has failed. International journal of forecasting, 38(2), pp.423-438. Available at: </w:t>
      </w:r>
      <w:hyperlink xmlns:r="http://schemas.openxmlformats.org/officeDocument/2006/relationships" r:id="R9">
        <w:r>
          <w:rPr>
            <w:rFonts w:ascii="Times New Roman" w:hAnsi="Times New Roman" w:cs="Times New Roman" w:eastAsia="Times New Roman"/>
            <w:color w:val="000000" w:themeColor="text1"/>
            <w:sz w:val="24"/>
            <w:szCs w:val="24"/>
            <w:u w:val="single"/>
          </w:rPr>
          <w:t>https://doi.org/10.1016/j.ijforecast.2020.08.004</w:t>
        </w:r>
      </w:hyperlink>
      <w:r>
        <w:rPr>
          <w:rFonts w:ascii="Times New Roman" w:hAnsi="Times New Roman" w:cs="Times New Roman" w:eastAsia="Times New Roman"/>
          <w:color w:val="000000" w:themeColor="text1"/>
          <w:sz w:val="24"/>
          <w:szCs w:val="24"/>
        </w:rPr>
        <w:t xml:space="preserve"> (Access: 19 December 2025) </w:t>
      </w:r>
    </w:p>
    <w:p>
      <w:pPr>
        <w:spacing w:lineRule="auto" w:line="360" w:before="240" w:after="240" w:beforeAutospacing="0" w:afterAutospacing="0"/>
        <w:jc w:val="both"/>
        <w:rPr>
          <w:rFonts w:ascii="Times New Roman" w:hAnsi="Times New Roman" w:cs="Times New Roman" w:eastAsia="Times New Roman"/>
          <w:color w:val="000000"/>
          <w:sz w:val="24"/>
          <w:szCs w:val="24"/>
          <w:lang w:eastAsia="en-IN"/>
        </w:rPr>
      </w:pPr>
      <w:r>
        <w:rPr>
          <w:rFonts w:ascii="Times New Roman" w:hAnsi="Times New Roman" w:cs="Times New Roman" w:eastAsia="Times New Roman"/>
          <w:color w:val="000000"/>
          <w:sz w:val="24"/>
          <w:szCs w:val="24"/>
          <w:lang w:eastAsia="en-IN"/>
        </w:rPr>
        <w:t xml:space="preserve">Irabor, B.O., Abdul, A.A., Ashiwaju, B.I. and Oladayo, G.O., (2022). Food Inflation in the United States: A Data-Driven Approach to Understanding and Mitigating Rising Costs. </w:t>
      </w:r>
      <w:r>
        <w:rPr>
          <w:rFonts w:ascii="Times New Roman" w:hAnsi="Times New Roman" w:cs="Times New Roman" w:eastAsia="Times New Roman"/>
          <w:i w:val="1"/>
          <w:iCs w:val="1"/>
          <w:color w:val="000000"/>
          <w:sz w:val="24"/>
          <w:szCs w:val="24"/>
          <w:lang w:eastAsia="en-IN"/>
        </w:rPr>
        <w:t>Sch Acad J Pharm</w:t>
      </w:r>
      <w:r>
        <w:rPr>
          <w:rFonts w:ascii="Times New Roman" w:hAnsi="Times New Roman" w:cs="Times New Roman" w:eastAsia="Times New Roman"/>
          <w:color w:val="000000"/>
          <w:sz w:val="24"/>
          <w:szCs w:val="24"/>
          <w:lang w:eastAsia="en-IN"/>
        </w:rPr>
        <w:t xml:space="preserve">, </w:t>
      </w:r>
      <w:r>
        <w:rPr>
          <w:rFonts w:ascii="Times New Roman" w:hAnsi="Times New Roman" w:cs="Times New Roman" w:eastAsia="Times New Roman"/>
          <w:i w:val="1"/>
          <w:iCs w:val="1"/>
          <w:color w:val="000000"/>
          <w:sz w:val="24"/>
          <w:szCs w:val="24"/>
          <w:lang w:eastAsia="en-IN"/>
        </w:rPr>
        <w:t>12</w:t>
      </w:r>
      <w:r>
        <w:rPr>
          <w:rFonts w:ascii="Times New Roman" w:hAnsi="Times New Roman" w:cs="Times New Roman" w:eastAsia="Times New Roman"/>
          <w:color w:val="000000"/>
          <w:sz w:val="24"/>
          <w:szCs w:val="24"/>
          <w:lang w:eastAsia="en-IN"/>
        </w:rPr>
        <w:t>, pp.291-305.</w:t>
      </w:r>
    </w:p>
    <w:p>
      <w:pPr>
        <w:spacing w:lineRule="auto" w:line="360" w:before="240" w:after="240" w:beforeAutospacing="0" w:afterAutospacing="0"/>
        <w:jc w:val="both"/>
        <w:rPr>
          <w:rFonts w:ascii="Times New Roman" w:hAnsi="Times New Roman" w:cs="Times New Roman" w:eastAsia="Times New Roman"/>
          <w:color w:val="000000"/>
          <w:sz w:val="24"/>
          <w:szCs w:val="24"/>
          <w:lang w:eastAsia="en-IN"/>
        </w:rPr>
      </w:pPr>
      <w:r>
        <w:rPr>
          <w:rFonts w:ascii="Times New Roman" w:hAnsi="Times New Roman" w:cs="Times New Roman" w:eastAsia="Times New Roman"/>
          <w:color w:val="000000"/>
          <w:sz w:val="24"/>
          <w:szCs w:val="24"/>
          <w:lang w:eastAsia="en-IN"/>
        </w:rPr>
        <w:t xml:space="preserve">Jansen, B.J., Jung, S.G. and Salminen, J., (2022). Measuring user interactions with websites: A comparison of two industry standard analytics approaches using data of 86 websites. </w:t>
      </w:r>
      <w:r>
        <w:rPr>
          <w:rFonts w:ascii="Times New Roman" w:hAnsi="Times New Roman" w:cs="Times New Roman" w:eastAsia="Times New Roman"/>
          <w:i w:val="1"/>
          <w:iCs w:val="1"/>
          <w:color w:val="000000"/>
          <w:sz w:val="24"/>
          <w:szCs w:val="24"/>
          <w:lang w:eastAsia="en-IN"/>
        </w:rPr>
        <w:t>Plos one</w:t>
      </w:r>
      <w:r>
        <w:rPr>
          <w:rFonts w:ascii="Times New Roman" w:hAnsi="Times New Roman" w:cs="Times New Roman" w:eastAsia="Times New Roman"/>
          <w:color w:val="000000"/>
          <w:sz w:val="24"/>
          <w:szCs w:val="24"/>
          <w:lang w:eastAsia="en-IN"/>
        </w:rPr>
        <w:t xml:space="preserve">, </w:t>
      </w:r>
      <w:r>
        <w:rPr>
          <w:rFonts w:ascii="Times New Roman" w:hAnsi="Times New Roman" w:cs="Times New Roman" w:eastAsia="Times New Roman"/>
          <w:i w:val="1"/>
          <w:iCs w:val="1"/>
          <w:color w:val="000000"/>
          <w:sz w:val="24"/>
          <w:szCs w:val="24"/>
          <w:lang w:eastAsia="en-IN"/>
        </w:rPr>
        <w:t>17</w:t>
      </w:r>
      <w:r>
        <w:rPr>
          <w:rFonts w:ascii="Times New Roman" w:hAnsi="Times New Roman" w:cs="Times New Roman" w:eastAsia="Times New Roman"/>
          <w:color w:val="000000"/>
          <w:sz w:val="24"/>
          <w:szCs w:val="24"/>
          <w:lang w:eastAsia="en-IN"/>
        </w:rPr>
        <w:t>(5), p.e0268212.</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themeColor="text1"/>
          <w:sz w:val="24"/>
          <w:szCs w:val="24"/>
        </w:rPr>
        <w:t xml:space="preserve">Kaiser, N. and Barstow, C.K., (2022). Rural transportation infrastructure in low-and middle-income countries: a review of impacts, implications, and interventions. Sustainability, 14(4), p.2149. Available at: </w:t>
      </w:r>
      <w:hyperlink xmlns:r="http://schemas.openxmlformats.org/officeDocument/2006/relationships" r:id="RA">
        <w:r>
          <w:rPr>
            <w:rFonts w:ascii="Times New Roman" w:hAnsi="Times New Roman" w:cs="Times New Roman" w:eastAsia="Times New Roman"/>
            <w:color w:val="000000" w:themeColor="text1"/>
            <w:sz w:val="24"/>
            <w:szCs w:val="24"/>
            <w:u w:val="single"/>
          </w:rPr>
          <w:t>https://doi.org/10.3390/su14042149</w:t>
        </w:r>
      </w:hyperlink>
      <w:r>
        <w:rPr>
          <w:rFonts w:ascii="Times New Roman" w:hAnsi="Times New Roman" w:cs="Times New Roman" w:eastAsia="Times New Roman"/>
          <w:color w:val="000000" w:themeColor="text1"/>
          <w:sz w:val="24"/>
          <w:szCs w:val="24"/>
        </w:rPr>
        <w:t xml:space="preserve"> (Accessed: 19 December 2025).</w:t>
      </w:r>
    </w:p>
    <w:p>
      <w:pPr>
        <w:spacing w:lineRule="auto" w:line="360" w:before="240" w:after="240" w:beforeAutospacing="0" w:afterAutospacing="0"/>
        <w:jc w:val="both"/>
        <w:rPr>
          <w:rFonts w:ascii="Times New Roman" w:hAnsi="Times New Roman" w:cs="Times New Roman"/>
          <w:color w:val="000000" w:themeColor="text1"/>
        </w:rPr>
      </w:pPr>
      <w:r>
        <w:rPr>
          <w:rFonts w:ascii="Times New Roman" w:hAnsi="Times New Roman" w:cs="Times New Roman"/>
          <w:color w:val="000000" w:themeColor="text1"/>
        </w:rPr>
        <w:t>Kjosevski, J., 2025. Inflation movements in the EU in conditions of external shocks. </w:t>
      </w:r>
      <w:r>
        <w:rPr>
          <w:rFonts w:ascii="Times New Roman" w:hAnsi="Times New Roman" w:cs="Times New Roman"/>
          <w:i w:val="1"/>
          <w:iCs w:val="1"/>
          <w:color w:val="000000" w:themeColor="text1"/>
        </w:rPr>
        <w:t>Economic Annals</w:t>
      </w:r>
      <w:r>
        <w:rPr>
          <w:rFonts w:ascii="Times New Roman" w:hAnsi="Times New Roman" w:cs="Times New Roman"/>
          <w:color w:val="000000" w:themeColor="text1"/>
        </w:rPr>
        <w:t>, </w:t>
      </w:r>
      <w:r>
        <w:rPr>
          <w:rFonts w:ascii="Times New Roman" w:hAnsi="Times New Roman" w:cs="Times New Roman"/>
          <w:i w:val="1"/>
          <w:iCs w:val="1"/>
          <w:color w:val="000000" w:themeColor="text1"/>
        </w:rPr>
        <w:t>70</w:t>
      </w:r>
      <w:r>
        <w:rPr>
          <w:rFonts w:ascii="Times New Roman" w:hAnsi="Times New Roman" w:cs="Times New Roman"/>
          <w:color w:val="000000" w:themeColor="text1"/>
        </w:rPr>
        <w:t>(246), pp.7-35. Available at:  (Accessed: 16 December 2025).</w:t>
      </w:r>
    </w:p>
    <w:p>
      <w:pPr>
        <w:spacing w:lineRule="auto" w:line="360" w:before="240" w:after="240" w:beforeAutospacing="0" w:afterAutospacing="0"/>
        <w:jc w:val="both"/>
        <w:rPr>
          <w:rFonts w:ascii="Times New Roman" w:hAnsi="Times New Roman" w:cs="Times New Roman"/>
          <w:color w:val="000000"/>
          <w:sz w:val="24"/>
          <w:szCs w:val="24"/>
          <w:spacing w:val="-2"/>
          <w:lang w:val="en-US"/>
        </w:rPr>
      </w:pPr>
      <w:r>
        <w:rPr>
          <w:rFonts w:ascii="Times New Roman" w:hAnsi="Times New Roman" w:cs="Times New Roman" w:eastAsia="Times New Roman"/>
          <w:color w:val="000000"/>
          <w:sz w:val="24"/>
          <w:szCs w:val="24"/>
          <w:lang w:eastAsia="en-IN"/>
        </w:rPr>
        <w:t xml:space="preserve">Kpodar, K. and Liu, B., (2022). The distributional implications of the impact of fuel price increases on inflation. </w:t>
      </w:r>
      <w:r>
        <w:rPr>
          <w:rFonts w:ascii="Times New Roman" w:hAnsi="Times New Roman" w:cs="Times New Roman" w:eastAsia="Times New Roman"/>
          <w:i w:val="1"/>
          <w:iCs w:val="1"/>
          <w:color w:val="000000"/>
          <w:sz w:val="24"/>
          <w:szCs w:val="24"/>
          <w:lang w:eastAsia="en-IN"/>
        </w:rPr>
        <w:t>Energy economics</w:t>
      </w:r>
      <w:r>
        <w:rPr>
          <w:rFonts w:ascii="Times New Roman" w:hAnsi="Times New Roman" w:cs="Times New Roman" w:eastAsia="Times New Roman"/>
          <w:color w:val="000000"/>
          <w:sz w:val="24"/>
          <w:szCs w:val="24"/>
          <w:lang w:eastAsia="en-IN"/>
        </w:rPr>
        <w:t xml:space="preserve">, </w:t>
      </w:r>
      <w:r>
        <w:rPr>
          <w:rFonts w:ascii="Times New Roman" w:hAnsi="Times New Roman" w:cs="Times New Roman" w:eastAsia="Times New Roman"/>
          <w:i w:val="1"/>
          <w:iCs w:val="1"/>
          <w:color w:val="000000"/>
          <w:sz w:val="24"/>
          <w:szCs w:val="24"/>
          <w:lang w:eastAsia="en-IN"/>
        </w:rPr>
        <w:t>108</w:t>
      </w:r>
      <w:r>
        <w:rPr>
          <w:rFonts w:ascii="Times New Roman" w:hAnsi="Times New Roman" w:cs="Times New Roman" w:eastAsia="Times New Roman"/>
          <w:color w:val="000000"/>
          <w:sz w:val="24"/>
          <w:szCs w:val="24"/>
          <w:lang w:eastAsia="en-IN"/>
        </w:rPr>
        <w:t>, p.105909.</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Lydon, R., (2022). Household characteristics, Irish inflation and the cost of living. </w:t>
      </w:r>
      <w:r>
        <w:rPr>
          <w:rFonts w:ascii="Times New Roman" w:hAnsi="Times New Roman" w:cs="Times New Roman" w:eastAsia="Times New Roman"/>
          <w:i w:val="1"/>
          <w:iCs w:val="1"/>
          <w:color w:val="000000"/>
          <w:sz w:val="24"/>
          <w:szCs w:val="24"/>
        </w:rPr>
        <w:t xml:space="preserve">Economic Letter, </w:t>
      </w:r>
      <w:r>
        <w:rPr>
          <w:rFonts w:ascii="Times New Roman" w:hAnsi="Times New Roman" w:cs="Times New Roman" w:eastAsia="Times New Roman"/>
          <w:color w:val="000000"/>
          <w:sz w:val="24"/>
          <w:szCs w:val="24"/>
        </w:rPr>
        <w:t xml:space="preserve">2022(1), pp.1-6. Available at: </w:t>
      </w:r>
      <w:hyperlink xmlns:r="http://schemas.openxmlformats.org/officeDocument/2006/relationships" r:id="RB">
        <w:r>
          <w:rPr>
            <w:rFonts w:ascii="Times New Roman" w:hAnsi="Times New Roman" w:cs="Times New Roman" w:eastAsia="Times New Roman"/>
            <w:color w:val="000000"/>
            <w:sz w:val="24"/>
            <w:szCs w:val="24"/>
            <w:u w:val="single"/>
          </w:rPr>
          <w:t>https://www.rte.ie/documents/news/2022/02/centralbank.pdf</w:t>
        </w:r>
      </w:hyperlink>
      <w:r>
        <w:rPr>
          <w:rFonts w:ascii="Times New Roman" w:hAnsi="Times New Roman" w:cs="Times New Roman" w:eastAsia="Times New Roman"/>
          <w:color w:val="000000"/>
          <w:sz w:val="24"/>
          <w:szCs w:val="24"/>
        </w:rPr>
        <w:t xml:space="preserve"> (Accessed: 19 December 2025).</w:t>
      </w:r>
    </w:p>
    <w:p>
      <w:pPr>
        <w:spacing w:lineRule="auto" w:line="360" w:before="240" w:after="240" w:beforeAutospacing="0" w:afterAutospacing="0"/>
        <w:jc w:val="both"/>
        <w:rPr>
          <w:rFonts w:ascii="Times New Roman" w:hAnsi="Times New Roman" w:cs="Times New Roman" w:eastAsia="Times New Roman"/>
          <w:color w:val="000000"/>
          <w:sz w:val="24"/>
          <w:szCs w:val="24"/>
          <w:lang w:eastAsia="en-IN"/>
        </w:rPr>
      </w:pPr>
      <w:r>
        <w:rPr>
          <w:rFonts w:ascii="Times New Roman" w:hAnsi="Times New Roman" w:cs="Times New Roman" w:eastAsia="Times New Roman"/>
          <w:color w:val="000000"/>
          <w:sz w:val="24"/>
          <w:szCs w:val="24"/>
          <w:lang w:eastAsia="en-IN"/>
        </w:rPr>
        <w:t xml:space="preserve">Mahmud, M. and Riley, E., (2023). Adapting to an aggregate shock: The impact of the Covid-19 crisis on rural households. </w:t>
      </w:r>
      <w:r>
        <w:rPr>
          <w:rFonts w:ascii="Times New Roman" w:hAnsi="Times New Roman" w:cs="Times New Roman" w:eastAsia="Times New Roman"/>
          <w:i w:val="1"/>
          <w:iCs w:val="1"/>
          <w:color w:val="000000"/>
          <w:sz w:val="24"/>
          <w:szCs w:val="24"/>
          <w:lang w:eastAsia="en-IN"/>
        </w:rPr>
        <w:t>Review of Economics of the Household</w:t>
      </w:r>
      <w:r>
        <w:rPr>
          <w:rFonts w:ascii="Times New Roman" w:hAnsi="Times New Roman" w:cs="Times New Roman" w:eastAsia="Times New Roman"/>
          <w:color w:val="000000"/>
          <w:sz w:val="24"/>
          <w:szCs w:val="24"/>
          <w:lang w:eastAsia="en-IN"/>
        </w:rPr>
        <w:t xml:space="preserve">, </w:t>
      </w:r>
      <w:r>
        <w:rPr>
          <w:rFonts w:ascii="Times New Roman" w:hAnsi="Times New Roman" w:cs="Times New Roman" w:eastAsia="Times New Roman"/>
          <w:i w:val="1"/>
          <w:iCs w:val="1"/>
          <w:color w:val="000000"/>
          <w:sz w:val="24"/>
          <w:szCs w:val="24"/>
          <w:lang w:eastAsia="en-IN"/>
        </w:rPr>
        <w:t>21</w:t>
      </w:r>
      <w:r>
        <w:rPr>
          <w:rFonts w:ascii="Times New Roman" w:hAnsi="Times New Roman" w:cs="Times New Roman" w:eastAsia="Times New Roman"/>
          <w:color w:val="000000"/>
          <w:sz w:val="24"/>
          <w:szCs w:val="24"/>
          <w:lang w:eastAsia="en-IN"/>
        </w:rPr>
        <w:t>(1), pp.19-36.</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sz w:val="24"/>
          <w:szCs w:val="24"/>
        </w:rPr>
        <w:t>Mas</w:t>
      </w:r>
      <w:r>
        <w:rPr>
          <w:rFonts w:ascii="Times New Roman" w:hAnsi="Times New Roman" w:cs="Times New Roman" w:eastAsia="Times New Roman"/>
          <w:color w:val="000000" w:themeColor="text1"/>
          <w:sz w:val="24"/>
          <w:szCs w:val="24"/>
        </w:rPr>
        <w:t xml:space="preserve">runik et al. (2024). Household Financial Planning in Achieving a Balanced Budget. JASF: Journal of Accounting and Strategic Finance, 7(1), pp.82-95. Available at: </w:t>
      </w:r>
      <w:hyperlink xmlns:r="http://schemas.openxmlformats.org/officeDocument/2006/relationships" r:id="RC">
        <w:r>
          <w:rPr>
            <w:rFonts w:ascii="Times New Roman" w:hAnsi="Times New Roman" w:cs="Times New Roman" w:eastAsia="Times New Roman"/>
            <w:color w:val="000000" w:themeColor="text1"/>
            <w:sz w:val="24"/>
            <w:szCs w:val="24"/>
            <w:u w:val="single"/>
          </w:rPr>
          <w:t>https://doi.org/10.33005/jasf.v7i1.476</w:t>
        </w:r>
      </w:hyperlink>
      <w:r>
        <w:rPr>
          <w:rFonts w:ascii="Times New Roman" w:hAnsi="Times New Roman" w:cs="Times New Roman" w:eastAsia="Times New Roman"/>
          <w:color w:val="000000" w:themeColor="text1"/>
          <w:sz w:val="24"/>
          <w:szCs w:val="24"/>
        </w:rPr>
        <w:t xml:space="preserve"> (Access: 19 December 2025)</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themeColor="text1"/>
          <w:sz w:val="24"/>
          <w:szCs w:val="24"/>
        </w:rPr>
        <w:t xml:space="preserve">Moya, S. (2019). </w:t>
      </w:r>
      <w:r>
        <w:rPr>
          <w:rFonts w:ascii="Times New Roman" w:hAnsi="Times New Roman" w:cs="Times New Roman" w:eastAsia="Times New Roman"/>
          <w:i w:val="1"/>
          <w:iCs w:val="1"/>
          <w:color w:val="000000" w:themeColor="text1"/>
          <w:sz w:val="24"/>
          <w:szCs w:val="24"/>
        </w:rPr>
        <w:t>Ireland September Inflation Rate Rises to 0.9%</w:t>
      </w:r>
      <w:r>
        <w:rPr>
          <w:rFonts w:ascii="Times New Roman" w:hAnsi="Times New Roman" w:cs="Times New Roman" w:eastAsia="Times New Roman"/>
          <w:color w:val="000000" w:themeColor="text1"/>
          <w:sz w:val="24"/>
          <w:szCs w:val="24"/>
        </w:rPr>
        <w:t>. [online] Tradingeconomics.com. Available at: https://tradingeconomics.com/ireland/inflation-cpi.</w:t>
      </w:r>
    </w:p>
    <w:p>
      <w:pPr>
        <w:spacing w:lineRule="auto" w:line="360" w:before="240" w:after="240" w:beforeAutospacing="0" w:afterAutospacing="0"/>
        <w:jc w:val="both"/>
        <w:rPr>
          <w:rFonts w:ascii="Times New Roman" w:hAnsi="Times New Roman" w:cs="Times New Roman"/>
          <w:color w:val="000000" w:themeColor="text1"/>
        </w:rPr>
      </w:pPr>
      <w:r>
        <w:rPr>
          <w:rFonts w:ascii="Times New Roman" w:hAnsi="Times New Roman" w:cs="Times New Roman"/>
          <w:color w:val="000000" w:themeColor="text1"/>
        </w:rPr>
        <w:t>Musarat, M.A., Alaloul, W.S. and Liew, M.S., 2021. Impact of inflation rate on construction projects budget: A review. </w:t>
      </w:r>
      <w:r>
        <w:rPr>
          <w:rFonts w:ascii="Times New Roman" w:hAnsi="Times New Roman" w:cs="Times New Roman"/>
          <w:i w:val="1"/>
          <w:iCs w:val="1"/>
          <w:color w:val="000000" w:themeColor="text1"/>
        </w:rPr>
        <w:t>Ain Shams Engineering Journal</w:t>
      </w:r>
      <w:r>
        <w:rPr>
          <w:rFonts w:ascii="Times New Roman" w:hAnsi="Times New Roman" w:cs="Times New Roman"/>
          <w:color w:val="000000" w:themeColor="text1"/>
        </w:rPr>
        <w:t>, </w:t>
      </w:r>
      <w:r>
        <w:rPr>
          <w:rFonts w:ascii="Times New Roman" w:hAnsi="Times New Roman" w:cs="Times New Roman"/>
          <w:i w:val="1"/>
          <w:iCs w:val="1"/>
          <w:color w:val="000000" w:themeColor="text1"/>
        </w:rPr>
        <w:t>12</w:t>
      </w:r>
      <w:r>
        <w:rPr>
          <w:rFonts w:ascii="Times New Roman" w:hAnsi="Times New Roman" w:cs="Times New Roman"/>
          <w:color w:val="000000" w:themeColor="text1"/>
        </w:rPr>
        <w:t>(1), pp.407-414. Available at:</w:t>
      </w:r>
      <w:r>
        <w:rPr>
          <w:color w:val="000000" w:themeColor="text1"/>
        </w:rPr>
        <w:t xml:space="preserve"> </w:t>
      </w:r>
      <w:r>
        <w:rPr>
          <w:rFonts w:ascii="Times New Roman" w:hAnsi="Times New Roman" w:cs="Times New Roman"/>
          <w:color w:val="000000" w:themeColor="text1"/>
        </w:rPr>
        <w:t>https://doi.org/10.1016/j.asej.2020.04.009  (Accessed: 16 December 2025).</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themeColor="text1"/>
          <w:sz w:val="24"/>
          <w:szCs w:val="24"/>
        </w:rPr>
        <w:t xml:space="preserve">Mwale, S. and Kabubi, M. (2025). Analyzing Inflation and its Effects on Household Economic Situation: A Case Study of Mitengo Ndola. International Journal of Innovative Science and Research Technology, 10(4), pp.4281-4293. Available at: </w:t>
      </w:r>
      <w:hyperlink xmlns:r="http://schemas.openxmlformats.org/officeDocument/2006/relationships" r:id="RD">
        <w:r>
          <w:rPr>
            <w:rFonts w:ascii="Times New Roman" w:hAnsi="Times New Roman" w:cs="Times New Roman" w:eastAsia="Times New Roman"/>
            <w:color w:val="000000" w:themeColor="text1"/>
            <w:sz w:val="24"/>
            <w:szCs w:val="24"/>
            <w:u w:val="single"/>
          </w:rPr>
          <w:t>https://eprint.innovativepublication.org/id/eprint/84/</w:t>
        </w:r>
      </w:hyperlink>
      <w:r>
        <w:rPr>
          <w:rFonts w:ascii="Times New Roman" w:hAnsi="Times New Roman" w:cs="Times New Roman" w:eastAsia="Times New Roman"/>
          <w:color w:val="000000" w:themeColor="text1"/>
          <w:sz w:val="24"/>
          <w:szCs w:val="24"/>
        </w:rPr>
        <w:t xml:space="preserve">   (Access: 19 December 2025)</w:t>
      </w:r>
    </w:p>
    <w:p>
      <w:pPr>
        <w:spacing w:lineRule="auto" w:line="360" w:before="240" w:after="240" w:beforeAutospacing="0" w:afterAutospacing="0"/>
        <w:jc w:val="both"/>
        <w:rPr>
          <w:rFonts w:ascii="Times New Roman" w:hAnsi="Times New Roman" w:cs="Times New Roman"/>
          <w:color w:val="000000" w:themeColor="text1"/>
        </w:rPr>
      </w:pPr>
      <w:r>
        <w:rPr>
          <w:rFonts w:ascii="Times New Roman" w:hAnsi="Times New Roman" w:cs="Times New Roman"/>
          <w:color w:val="000000" w:themeColor="text1"/>
        </w:rPr>
        <w:t>Nikiforos, M., Grothe, S. and Weber, J.D., 2024. Markups, profit shares, and cost-push-profit-led inflation. </w:t>
      </w:r>
      <w:r>
        <w:rPr>
          <w:rFonts w:ascii="Times New Roman" w:hAnsi="Times New Roman" w:cs="Times New Roman"/>
          <w:i w:val="1"/>
          <w:iCs w:val="1"/>
          <w:color w:val="000000" w:themeColor="text1"/>
        </w:rPr>
        <w:t>Industrial and Corporate Change</w:t>
      </w:r>
      <w:r>
        <w:rPr>
          <w:rFonts w:ascii="Times New Roman" w:hAnsi="Times New Roman" w:cs="Times New Roman"/>
          <w:color w:val="000000" w:themeColor="text1"/>
        </w:rPr>
        <w:t>, </w:t>
      </w:r>
      <w:r>
        <w:rPr>
          <w:rFonts w:ascii="Times New Roman" w:hAnsi="Times New Roman" w:cs="Times New Roman"/>
          <w:i w:val="1"/>
          <w:iCs w:val="1"/>
          <w:color w:val="000000" w:themeColor="text1"/>
        </w:rPr>
        <w:t>33</w:t>
      </w:r>
      <w:r>
        <w:rPr>
          <w:rFonts w:ascii="Times New Roman" w:hAnsi="Times New Roman" w:cs="Times New Roman"/>
          <w:color w:val="000000" w:themeColor="text1"/>
        </w:rPr>
        <w:t>(2), pp.342-362. Available at:  https://www.ceeol.com/search/article-detail?id=1371294 (Accessed: 16 December 2025).</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themeColor="text1"/>
          <w:sz w:val="24"/>
          <w:szCs w:val="24"/>
        </w:rPr>
        <w:t xml:space="preserve">Reis, R. (2023). The burst of high inflation in 2021–22: how and why did we get here?. How Monetary Policy Got Behind the Curve–And How to Get it Back., ed. Michael Bordo, John Cochrane and John Taylor, pp.203-252. Available at: </w:t>
      </w:r>
      <w:hyperlink xmlns:r="http://schemas.openxmlformats.org/officeDocument/2006/relationships" r:id="RE" w:anchor="v=snippet&amp;q=DOI&amp;f=false">
        <w:r>
          <w:rPr>
            <w:rFonts w:ascii="Times New Roman" w:hAnsi="Times New Roman" w:cs="Times New Roman" w:eastAsia="Times New Roman"/>
            <w:color w:val="000000" w:themeColor="text1"/>
            <w:sz w:val="24"/>
            <w:szCs w:val="24"/>
            <w:u w:val="single"/>
          </w:rPr>
          <w:t>https://books.google.co.in/books?hl=en&amp;lr=&amp;id=graaEQAAQBAJ&amp;oi=fnd&amp;pg=PA203&amp;dq=models+with+future+data+available+after+2020+and+with+several+inflation+cycles+to+learn+and+enhance+their+strength&amp;ots=nsrlYkhUVK&amp;sig=3osh4XIYvuFnlWLnnKXg_MVRHmk&amp;redir_esc=y#v=snippet&amp;q=DOI&amp;f=false</w:t>
        </w:r>
      </w:hyperlink>
      <w:r>
        <w:rPr>
          <w:rFonts w:ascii="Times New Roman" w:hAnsi="Times New Roman" w:cs="Times New Roman" w:eastAsia="Times New Roman"/>
          <w:color w:val="000000" w:themeColor="text1"/>
          <w:sz w:val="24"/>
          <w:szCs w:val="24"/>
        </w:rPr>
        <w:t xml:space="preserve"> (Access: 19 December 2025)</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themeColor="text1"/>
          <w:sz w:val="24"/>
          <w:szCs w:val="24"/>
        </w:rPr>
        <w:t xml:space="preserve">Roddy, Á., (2022). Income and conversion handicaps: estimating the impact of child chronic illness/disability on family income and the extra cost of child chronic illness/child disability in Ireland using a standard of living approach. The European Journal of Health Economics, 23(3), pp.467-483. Available at: </w:t>
      </w:r>
      <w:hyperlink xmlns:r="http://schemas.openxmlformats.org/officeDocument/2006/relationships" r:id="RF">
        <w:r>
          <w:rPr>
            <w:rFonts w:ascii="Times New Roman" w:hAnsi="Times New Roman" w:cs="Times New Roman" w:eastAsia="Times New Roman"/>
            <w:color w:val="000000" w:themeColor="text1"/>
            <w:sz w:val="24"/>
            <w:szCs w:val="24"/>
            <w:u w:val="single"/>
          </w:rPr>
          <w:t>https://doi.org/10.1007/s10198-021-01371-4</w:t>
        </w:r>
      </w:hyperlink>
      <w:r>
        <w:rPr>
          <w:rFonts w:ascii="Times New Roman" w:hAnsi="Times New Roman" w:cs="Times New Roman" w:eastAsia="Times New Roman"/>
          <w:color w:val="000000" w:themeColor="text1"/>
          <w:sz w:val="24"/>
          <w:szCs w:val="24"/>
        </w:rPr>
        <w:t xml:space="preserve">  (Access: 19 December 2025)</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themeColor="text1"/>
          <w:sz w:val="24"/>
          <w:szCs w:val="24"/>
        </w:rPr>
        <w:t xml:space="preserve">Schmidt, K. (2025). 1 Macroeconomic developments and policy challenges. OECD Economic Surveys: Canada, p.18. Available at: </w:t>
      </w:r>
      <w:hyperlink xmlns:r="http://schemas.openxmlformats.org/officeDocument/2006/relationships" r:id="R10">
        <w:r>
          <w:rPr>
            <w:rFonts w:ascii="Times New Roman" w:hAnsi="Times New Roman" w:cs="Times New Roman" w:eastAsia="Times New Roman"/>
            <w:color w:val="000000" w:themeColor="text1"/>
            <w:sz w:val="24"/>
            <w:szCs w:val="24"/>
            <w:u w:val="single"/>
          </w:rPr>
          <w:t>https://doi.org/10.1787/28f9e02c-en</w:t>
        </w:r>
      </w:hyperlink>
      <w:r>
        <w:rPr>
          <w:rFonts w:ascii="Times New Roman" w:hAnsi="Times New Roman" w:cs="Times New Roman" w:eastAsia="Times New Roman"/>
          <w:color w:val="000000" w:themeColor="text1"/>
          <w:sz w:val="24"/>
          <w:szCs w:val="24"/>
        </w:rPr>
        <w:t xml:space="preserve"> (Access: 19 December 2025)</w:t>
      </w:r>
    </w:p>
    <w:p>
      <w:pPr>
        <w:spacing w:lineRule="auto" w:line="360" w:before="240" w:after="240" w:beforeAutospacing="0" w:afterAutospacing="0"/>
        <w:jc w:val="both"/>
        <w:rPr>
          <w:rFonts w:ascii="Times New Roman" w:hAnsi="Times New Roman" w:cs="Times New Roman"/>
          <w:color w:val="000000" w:themeColor="text1"/>
        </w:rPr>
      </w:pPr>
      <w:r>
        <w:rPr>
          <w:rFonts w:ascii="Times New Roman" w:hAnsi="Times New Roman" w:cs="Times New Roman"/>
          <w:color w:val="000000" w:themeColor="text1"/>
        </w:rPr>
        <w:t>Sek, S.K., 2023. A new look at asymmetric effect of oil price changes on inflation: Evidence from Malaysia. </w:t>
      </w:r>
      <w:r>
        <w:rPr>
          <w:rFonts w:ascii="Times New Roman" w:hAnsi="Times New Roman" w:cs="Times New Roman"/>
          <w:i w:val="1"/>
          <w:iCs w:val="1"/>
          <w:color w:val="000000" w:themeColor="text1"/>
        </w:rPr>
        <w:t>Energy &amp; Environment</w:t>
      </w:r>
      <w:r>
        <w:rPr>
          <w:rFonts w:ascii="Times New Roman" w:hAnsi="Times New Roman" w:cs="Times New Roman"/>
          <w:color w:val="000000" w:themeColor="text1"/>
        </w:rPr>
        <w:t>, </w:t>
      </w:r>
      <w:r>
        <w:rPr>
          <w:rFonts w:ascii="Times New Roman" w:hAnsi="Times New Roman" w:cs="Times New Roman"/>
          <w:i w:val="1"/>
          <w:iCs w:val="1"/>
          <w:color w:val="000000" w:themeColor="text1"/>
        </w:rPr>
        <w:t>34</w:t>
      </w:r>
      <w:r>
        <w:rPr>
          <w:rFonts w:ascii="Times New Roman" w:hAnsi="Times New Roman" w:cs="Times New Roman"/>
          <w:color w:val="000000" w:themeColor="text1"/>
        </w:rPr>
        <w:t>(5), pp.1524-1547. Available at:</w:t>
      </w:r>
      <w:r>
        <w:rPr>
          <w:color w:val="000000" w:themeColor="text1"/>
        </w:rPr>
        <w:t xml:space="preserve"> </w:t>
      </w:r>
      <w:r>
        <w:rPr>
          <w:rFonts w:ascii="Times New Roman" w:hAnsi="Times New Roman" w:cs="Times New Roman"/>
          <w:color w:val="000000" w:themeColor="text1"/>
        </w:rPr>
        <w:t>https://doi.org/10.1177/0958305X221077336  (Accessed: 16 December 2025).</w:t>
      </w:r>
    </w:p>
    <w:p>
      <w:pPr>
        <w:spacing w:lineRule="auto" w:line="360" w:before="240" w:after="240" w:beforeAutospacing="0" w:afterAutospacing="0"/>
        <w:jc w:val="both"/>
        <w:rPr>
          <w:rFonts w:ascii="Times New Roman" w:hAnsi="Times New Roman" w:cs="Times New Roman"/>
          <w:color w:val="000000" w:themeColor="text1"/>
        </w:rPr>
      </w:pPr>
      <w:r>
        <w:rPr>
          <w:rFonts w:ascii="Times New Roman" w:hAnsi="Times New Roman" w:cs="Times New Roman"/>
          <w:color w:val="000000" w:themeColor="text1"/>
        </w:rPr>
        <w:t>Shaikh, P.A., Muhammad, F. and Khan, S.K., 2022. The dynamic theories of inflation. </w:t>
      </w:r>
      <w:r>
        <w:rPr>
          <w:rFonts w:ascii="Times New Roman" w:hAnsi="Times New Roman" w:cs="Times New Roman"/>
          <w:i w:val="1"/>
          <w:iCs w:val="1"/>
          <w:color w:val="000000" w:themeColor="text1"/>
        </w:rPr>
        <w:t>Pakistan Journal of International Affairs</w:t>
      </w:r>
      <w:r>
        <w:rPr>
          <w:rFonts w:ascii="Times New Roman" w:hAnsi="Times New Roman" w:cs="Times New Roman"/>
          <w:color w:val="000000" w:themeColor="text1"/>
        </w:rPr>
        <w:t>, </w:t>
      </w:r>
      <w:r>
        <w:rPr>
          <w:rFonts w:ascii="Times New Roman" w:hAnsi="Times New Roman" w:cs="Times New Roman"/>
          <w:i w:val="1"/>
          <w:iCs w:val="1"/>
          <w:color w:val="000000" w:themeColor="text1"/>
        </w:rPr>
        <w:t>5</w:t>
      </w:r>
      <w:r>
        <w:rPr>
          <w:rFonts w:ascii="Times New Roman" w:hAnsi="Times New Roman" w:cs="Times New Roman"/>
          <w:color w:val="000000" w:themeColor="text1"/>
        </w:rPr>
        <w:t>(2), pp.956-971. Available at:</w:t>
      </w:r>
      <w:r>
        <w:rPr>
          <w:color w:val="000000" w:themeColor="text1"/>
        </w:rPr>
        <w:t xml:space="preserve"> </w:t>
      </w:r>
      <w:r>
        <w:rPr>
          <w:rFonts w:ascii="Times New Roman" w:hAnsi="Times New Roman" w:cs="Times New Roman"/>
          <w:color w:val="000000" w:themeColor="text1"/>
        </w:rPr>
        <w:t>https://www.researchgate.net/profile/Fida-Muhammad-11/publication/373649727_The_Dynamic_Theories_of_Inflation/links/64f5e87e48c07f3da3d864c7/The-Dynamic-Theories-of-Inflation.pdf?__cf_chl_rt_tk=cnplnmapFlSlRKWxuH1YJ94KGMVfJZADqObareX5kdo-1766225810-1.0.1.1-1MmkcBGDSFSG4pKpxVDi6S8OsU3VTwKlL64SCcH5tCk  (Accessed: 16 December 2025).</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themeColor="text1"/>
          <w:sz w:val="24"/>
          <w:szCs w:val="24"/>
        </w:rPr>
        <w:t xml:space="preserve">Sheremirov, V.(2021). The drivers of inflation dynamics during the pandemic:(early) evidence from disaggregated consumption data. Current Policy Perspectives, 92827. Available at: </w:t>
      </w:r>
      <w:r>
        <w:rPr>
          <w:rFonts w:ascii="Times New Roman" w:hAnsi="Times New Roman" w:cs="Times New Roman" w:eastAsia="Times New Roman"/>
          <w:color w:val="000000"/>
          <w:sz w:val="24"/>
          <w:szCs w:val="24"/>
        </w:rPr>
        <w:t>file:///C:/Users/Admin/Downloads/cpp20210623.pdf (Access: 19 December 2025)</w:t>
      </w:r>
    </w:p>
    <w:p>
      <w:pPr>
        <w:spacing w:lineRule="auto" w:line="360" w:before="240" w:after="240" w:beforeAutospacing="0" w:afterAutospacing="0"/>
        <w:jc w:val="both"/>
        <w:rPr>
          <w:rFonts w:ascii="Times New Roman" w:hAnsi="Times New Roman" w:cs="Times New Roman" w:eastAsia="Times New Roman"/>
          <w:color w:val="000000"/>
          <w:sz w:val="24"/>
          <w:szCs w:val="24"/>
          <w:lang w:eastAsia="en-IN"/>
        </w:rPr>
      </w:pPr>
      <w:r>
        <w:rPr>
          <w:rFonts w:ascii="Times New Roman" w:hAnsi="Times New Roman" w:cs="Times New Roman" w:eastAsia="Times New Roman"/>
          <w:color w:val="000000"/>
          <w:sz w:val="24"/>
          <w:szCs w:val="24"/>
          <w:lang w:eastAsia="en-IN"/>
        </w:rPr>
        <w:t xml:space="preserve">Sichel, D.E. and Mackie, C., (2025). Modernizing price measurement and evaluating recent critiques of the consumer price index. </w:t>
      </w:r>
      <w:r>
        <w:rPr>
          <w:rFonts w:ascii="Times New Roman" w:hAnsi="Times New Roman" w:cs="Times New Roman" w:eastAsia="Times New Roman"/>
          <w:i w:val="1"/>
          <w:iCs w:val="1"/>
          <w:color w:val="000000"/>
          <w:sz w:val="24"/>
          <w:szCs w:val="24"/>
          <w:lang w:eastAsia="en-IN"/>
        </w:rPr>
        <w:t>Peterson Institute for International Economics Working Paper</w:t>
      </w:r>
      <w:r>
        <w:rPr>
          <w:rFonts w:ascii="Times New Roman" w:hAnsi="Times New Roman" w:cs="Times New Roman" w:eastAsia="Times New Roman"/>
          <w:color w:val="000000"/>
          <w:sz w:val="24"/>
          <w:szCs w:val="24"/>
          <w:lang w:eastAsia="en-IN"/>
        </w:rPr>
        <w:t>, (25-3).</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sz w:val="24"/>
          <w:szCs w:val="24"/>
        </w:rPr>
        <w:t>Social</w:t>
      </w:r>
      <w:r>
        <w:rPr>
          <w:rFonts w:ascii="Times New Roman" w:hAnsi="Times New Roman" w:cs="Times New Roman" w:eastAsia="Times New Roman"/>
          <w:color w:val="000000" w:themeColor="text1"/>
          <w:sz w:val="24"/>
          <w:szCs w:val="24"/>
        </w:rPr>
        <w:t xml:space="preserve"> Justice Ireland (2022). </w:t>
      </w:r>
      <w:r>
        <w:rPr>
          <w:rFonts w:ascii="Times New Roman" w:hAnsi="Times New Roman" w:cs="Times New Roman" w:eastAsia="Times New Roman"/>
          <w:i w:val="1"/>
          <w:iCs w:val="1"/>
          <w:color w:val="000000" w:themeColor="text1"/>
          <w:sz w:val="24"/>
          <w:szCs w:val="24"/>
        </w:rPr>
        <w:t>Lower income, rural and older households most impacted by rising inflation</w:t>
      </w:r>
      <w:r>
        <w:rPr>
          <w:rFonts w:ascii="Times New Roman" w:hAnsi="Times New Roman" w:cs="Times New Roman" w:eastAsia="Times New Roman"/>
          <w:color w:val="000000" w:themeColor="text1"/>
          <w:sz w:val="24"/>
          <w:szCs w:val="24"/>
        </w:rPr>
        <w:t>. [online] Social Justice Ireland. Available at: https://www.socialjustice.ie/article/lower-income-rural-and-older-households-most-impacted-rising-inflation.</w:t>
      </w:r>
    </w:p>
    <w:p>
      <w:pPr>
        <w:spacing w:lineRule="auto" w:line="360" w:before="240" w:after="240" w:beforeAutospacing="0" w:afterAutospacing="0"/>
        <w:jc w:val="both"/>
        <w:rPr>
          <w:rFonts w:ascii="Times New Roman" w:hAnsi="Times New Roman" w:cs="Times New Roman" w:eastAsia="Times New Roman"/>
          <w:color w:val="000000"/>
          <w:sz w:val="24"/>
          <w:szCs w:val="24"/>
          <w:lang w:eastAsia="en-IN"/>
        </w:rPr>
      </w:pPr>
      <w:r>
        <w:rPr>
          <w:rFonts w:ascii="Times New Roman" w:hAnsi="Times New Roman" w:cs="Times New Roman" w:eastAsia="Times New Roman"/>
          <w:color w:val="000000"/>
          <w:sz w:val="24"/>
          <w:szCs w:val="24"/>
          <w:lang w:eastAsia="en-IN"/>
        </w:rPr>
        <w:t xml:space="preserve">Spyromitros, E. and Panagiotidis, M., (2022). The impact of corruption on economic growth in developing countries and a comparative analysis of corruption measurement indicators. </w:t>
      </w:r>
      <w:r>
        <w:rPr>
          <w:rFonts w:ascii="Times New Roman" w:hAnsi="Times New Roman" w:cs="Times New Roman" w:eastAsia="Times New Roman"/>
          <w:i w:val="1"/>
          <w:iCs w:val="1"/>
          <w:color w:val="000000"/>
          <w:sz w:val="24"/>
          <w:szCs w:val="24"/>
          <w:lang w:eastAsia="en-IN"/>
        </w:rPr>
        <w:t>Cogent Economics &amp; Finance</w:t>
      </w:r>
      <w:r>
        <w:rPr>
          <w:rFonts w:ascii="Times New Roman" w:hAnsi="Times New Roman" w:cs="Times New Roman" w:eastAsia="Times New Roman"/>
          <w:color w:val="000000"/>
          <w:sz w:val="24"/>
          <w:szCs w:val="24"/>
          <w:lang w:eastAsia="en-IN"/>
        </w:rPr>
        <w:t xml:space="preserve">, </w:t>
      </w:r>
      <w:r>
        <w:rPr>
          <w:rFonts w:ascii="Times New Roman" w:hAnsi="Times New Roman" w:cs="Times New Roman" w:eastAsia="Times New Roman"/>
          <w:i w:val="1"/>
          <w:iCs w:val="1"/>
          <w:color w:val="000000"/>
          <w:sz w:val="24"/>
          <w:szCs w:val="24"/>
          <w:lang w:eastAsia="en-IN"/>
        </w:rPr>
        <w:t>10</w:t>
      </w:r>
      <w:r>
        <w:rPr>
          <w:rFonts w:ascii="Times New Roman" w:hAnsi="Times New Roman" w:cs="Times New Roman" w:eastAsia="Times New Roman"/>
          <w:color w:val="000000"/>
          <w:sz w:val="24"/>
          <w:szCs w:val="24"/>
          <w:lang w:eastAsia="en-IN"/>
        </w:rPr>
        <w:t>(1), p.2129368.</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sz w:val="24"/>
          <w:szCs w:val="24"/>
        </w:rPr>
        <w:t>S</w:t>
      </w:r>
      <w:r>
        <w:rPr>
          <w:rFonts w:ascii="Times New Roman" w:hAnsi="Times New Roman" w:cs="Times New Roman" w:eastAsia="Times New Roman"/>
          <w:color w:val="000000" w:themeColor="text1"/>
          <w:sz w:val="24"/>
          <w:szCs w:val="24"/>
        </w:rPr>
        <w:t xml:space="preserve">tantcheva, S., (2024). Why do we dislike inflation?. </w:t>
      </w:r>
      <w:r>
        <w:rPr>
          <w:rFonts w:ascii="Times New Roman" w:hAnsi="Times New Roman" w:cs="Times New Roman" w:eastAsia="Times New Roman"/>
          <w:i w:val="1"/>
          <w:iCs w:val="1"/>
          <w:color w:val="000000" w:themeColor="text1"/>
          <w:sz w:val="24"/>
          <w:szCs w:val="24"/>
        </w:rPr>
        <w:t>Brookings Papers on Economic Activity</w:t>
      </w:r>
      <w:r>
        <w:rPr>
          <w:rFonts w:ascii="Times New Roman" w:hAnsi="Times New Roman" w:cs="Times New Roman" w:eastAsia="Times New Roman"/>
          <w:color w:val="000000" w:themeColor="text1"/>
          <w:sz w:val="24"/>
          <w:szCs w:val="24"/>
        </w:rPr>
        <w:t xml:space="preserve">, 2004(1), pp.1-46. Available at: </w:t>
      </w:r>
      <w:hyperlink xmlns:r="http://schemas.openxmlformats.org/officeDocument/2006/relationships" r:id="R11">
        <w:r>
          <w:rPr>
            <w:rFonts w:ascii="Times New Roman" w:hAnsi="Times New Roman" w:cs="Times New Roman" w:eastAsia="Times New Roman"/>
            <w:color w:val="000000" w:themeColor="text1"/>
            <w:sz w:val="24"/>
            <w:szCs w:val="24"/>
            <w:u w:val="single"/>
          </w:rPr>
          <w:t>https://muse.jhu.edu/pub/1/article/943913/summary</w:t>
        </w:r>
      </w:hyperlink>
      <w:r>
        <w:rPr>
          <w:rFonts w:ascii="Times New Roman" w:hAnsi="Times New Roman" w:cs="Times New Roman" w:eastAsia="Times New Roman"/>
          <w:color w:val="000000" w:themeColor="text1"/>
          <w:sz w:val="24"/>
          <w:szCs w:val="24"/>
        </w:rPr>
        <w:t xml:space="preserve"> (Accessed: 19 December 2025).</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color w:val="000000" w:themeColor="text1"/>
          <w:sz w:val="24"/>
          <w:szCs w:val="24"/>
        </w:rPr>
      </w:pPr>
      <w:r>
        <w:rPr>
          <w:rFonts w:ascii="Times New Roman" w:hAnsi="Times New Roman" w:cs="Times New Roman" w:eastAsia="Times New Roman"/>
          <w:color w:val="000000" w:themeColor="text1"/>
          <w:sz w:val="24"/>
          <w:szCs w:val="24"/>
        </w:rPr>
        <w:t xml:space="preserve">Weisman-Pitts, J. (2025). </w:t>
      </w:r>
      <w:r>
        <w:rPr>
          <w:rFonts w:ascii="Times New Roman" w:hAnsi="Times New Roman" w:cs="Times New Roman" w:eastAsia="Times New Roman"/>
          <w:i w:val="1"/>
          <w:iCs w:val="1"/>
          <w:color w:val="000000" w:themeColor="text1"/>
          <w:sz w:val="24"/>
          <w:szCs w:val="24"/>
        </w:rPr>
        <w:t>The Persistent Shadow of Inflation in 2025: Navigating Economic Challenges</w:t>
      </w:r>
      <w:r>
        <w:rPr>
          <w:rFonts w:ascii="Times New Roman" w:hAnsi="Times New Roman" w:cs="Times New Roman" w:eastAsia="Times New Roman"/>
          <w:color w:val="000000" w:themeColor="text1"/>
          <w:sz w:val="24"/>
          <w:szCs w:val="24"/>
        </w:rPr>
        <w:t xml:space="preserve">. [online] Global Banking And Finance Review. Available at: </w:t>
      </w:r>
      <w:hyperlink xmlns:r="http://schemas.openxmlformats.org/officeDocument/2006/relationships" r:id="R12">
        <w:r>
          <w:rPr>
            <w:rStyle w:val="C2"/>
            <w:rFonts w:ascii="Times New Roman" w:hAnsi="Times New Roman" w:cs="Times New Roman" w:eastAsia="Times New Roman"/>
            <w:color w:val="000000" w:themeColor="text1"/>
            <w:sz w:val="24"/>
            <w:szCs w:val="24"/>
          </w:rPr>
          <w:t>https://www.globalbankingandfinance.com/the-persistent-shadow-of-inflation-in-2025-navigating-economic-challenges/</w:t>
        </w:r>
      </w:hyperlink>
      <w:r>
        <w:rPr>
          <w:rFonts w:ascii="Times New Roman" w:hAnsi="Times New Roman" w:cs="Times New Roman" w:eastAsia="Times New Roman"/>
          <w:color w:val="000000" w:themeColor="text1"/>
          <w:sz w:val="24"/>
          <w:szCs w:val="24"/>
        </w:rPr>
        <w:t>.</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color w:val="000000" w:themeColor="text1"/>
          <w:sz w:val="24"/>
          <w:szCs w:val="24"/>
        </w:rPr>
      </w:pP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color w:val="000000" w:themeColor="text1"/>
          <w:sz w:val="24"/>
          <w:szCs w:val="24"/>
        </w:rPr>
      </w:pP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color w:val="000000" w:themeColor="text1"/>
          <w:sz w:val="24"/>
          <w:szCs w:val="24"/>
        </w:rPr>
      </w:pP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lineRule="auto" w:line="360" w:before="240" w:after="240" w:beforeAutospacing="0" w:afterAutospacing="0"/>
        <w:jc w:val="both"/>
        <w:rPr>
          <w:rFonts w:ascii="Times New Roman" w:hAnsi="Times New Roman" w:cs="Times New Roman" w:eastAsia="Times New Roman"/>
          <w:b w:val="1"/>
          <w:bCs w:val="1"/>
          <w:color w:val="000000" w:themeColor="text1"/>
          <w:sz w:val="26"/>
          <w:szCs w:val="26"/>
        </w:rPr>
      </w:pPr>
    </w:p>
    <w:sectPr>
      <w:headerReference xmlns:r="http://schemas.openxmlformats.org/officeDocument/2006/relationships" w:type="default" r:id="RelHdr1"/>
      <w:footnotePr/>
      <w:endnotePr/>
      <w:type w:val="nextPage"/>
      <w:pgMar w:left="1700" w:right="850" w:top="1133" w:bottom="1133" w:header="708" w:footer="708" w:gutter="0"/>
      <w:pgNumType w:start="1" w:chapSep="period"/>
      <w:cols w:equalWidth="1" w:space="720"/>
    </w:sectPr>
  </w:body>
</w:document>
</file>

<file path=word/endnotes.xml><?xml version="1.0" encoding="utf-8"?>
<w:endnotes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endnote w:type="separator" w:id="-1">
    <w:p>
      <w:r>
        <w:separator/>
      </w:r>
    </w:p>
  </w:endnote>
  <w:endnote w:type="continuationSeparator" w:id="0">
    <w:p>
      <w:r>
        <w:continuationSeparator/>
      </w:r>
    </w:p>
  </w:endnote>
</w:endnotes>
</file>

<file path=word/footnotes.xml><?xml version="1.0" encoding="utf-8"?>
<w:footnotes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footnote w:type="separator" w:id="-1">
    <w:p>
      <w:r>
        <w:separator/>
      </w:r>
    </w:p>
  </w:footnote>
  <w:footnote w:type="continuationSeparator" w:id="0">
    <w:p>
      <w:r>
        <w:continuationSeparator/>
      </w:r>
    </w:p>
  </w:footnote>
</w:footnotes>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tabs>
        <w:tab w:val="center" w:pos="4513" w:leader="none"/>
        <w:tab w:val="right" w:pos="9026" w:leader="none"/>
      </w:tabs>
      <w:rPr>
        <w:color w:val="000000"/>
      </w:rPr>
    </w:pPr>
    <w:r>
      <w:rPr>
        <w:color w:val="000000"/>
      </w:rPr>
      <w:t xml:space="preserve"> </w:t>
    </w:r>
  </w:p>
</w:hdr>
</file>

<file path=word/numbering.xml><?xml version="1.0" encoding="utf-8"?>
<w:numbering xmlns:w="http://schemas.openxmlformats.org/wordprocessingml/2006/main">
  <w:abstractNum w:abstractNumId="0">
    <w:nsid w:val="0ED659BE"/>
    <w:multiLevelType w:val="multilevel"/>
    <w:lvl w:ilvl="0">
      <w:start w:val="2"/>
      <w:numFmt w:val="decimal"/>
      <w:suff w:val="tab"/>
      <w:lvlText w:val="%1"/>
      <w:lvlJc w:val="left"/>
      <w:pPr>
        <w:ind w:hanging="360" w:left="360"/>
      </w:pPr>
      <w:rPr>
        <w:rFonts w:hint="default"/>
      </w:rPr>
    </w:lvl>
    <w:lvl w:ilvl="1">
      <w:start w:val="4"/>
      <w:numFmt w:val="decimal"/>
      <w:suff w:val="tab"/>
      <w:lvlText w:val="%1.%2"/>
      <w:lvlJc w:val="left"/>
      <w:pPr>
        <w:ind w:hanging="360" w:left="360"/>
      </w:pPr>
      <w:rPr>
        <w:rFonts w:hint="default"/>
      </w:rPr>
    </w:lvl>
    <w:lvl w:ilvl="2">
      <w:start w:val="1"/>
      <w:numFmt w:val="decimal"/>
      <w:suff w:val="tab"/>
      <w:lvlText w:val="%1.%2.%3"/>
      <w:lvlJc w:val="left"/>
      <w:pPr>
        <w:ind w:hanging="720" w:left="720"/>
      </w:pPr>
      <w:rPr>
        <w:rFonts w:hint="default"/>
      </w:rPr>
    </w:lvl>
    <w:lvl w:ilvl="3">
      <w:start w:val="1"/>
      <w:numFmt w:val="decimal"/>
      <w:suff w:val="tab"/>
      <w:lvlText w:val="%1.%2.%3.%4"/>
      <w:lvlJc w:val="left"/>
      <w:pPr>
        <w:ind w:hanging="1080" w:left="1080"/>
      </w:pPr>
      <w:rPr>
        <w:rFonts w:hint="default"/>
      </w:rPr>
    </w:lvl>
    <w:lvl w:ilvl="4">
      <w:start w:val="1"/>
      <w:numFmt w:val="decimal"/>
      <w:suff w:val="tab"/>
      <w:lvlText w:val="%1.%2.%3.%4.%5"/>
      <w:lvlJc w:val="left"/>
      <w:pPr>
        <w:ind w:hanging="1080" w:left="1080"/>
      </w:pPr>
      <w:rPr>
        <w:rFonts w:hint="default"/>
      </w:rPr>
    </w:lvl>
    <w:lvl w:ilvl="5">
      <w:start w:val="1"/>
      <w:numFmt w:val="decimal"/>
      <w:suff w:val="tab"/>
      <w:lvlText w:val="%1.%2.%3.%4.%5.%6"/>
      <w:lvlJc w:val="left"/>
      <w:pPr>
        <w:ind w:hanging="1440" w:left="1440"/>
      </w:pPr>
      <w:rPr>
        <w:rFonts w:hint="default"/>
      </w:rPr>
    </w:lvl>
    <w:lvl w:ilvl="6">
      <w:start w:val="1"/>
      <w:numFmt w:val="decimal"/>
      <w:suff w:val="tab"/>
      <w:lvlText w:val="%1.%2.%3.%4.%5.%6.%7"/>
      <w:lvlJc w:val="left"/>
      <w:pPr>
        <w:ind w:hanging="1440" w:left="1440"/>
      </w:pPr>
      <w:rPr>
        <w:rFonts w:hint="default"/>
      </w:rPr>
    </w:lvl>
    <w:lvl w:ilvl="7">
      <w:start w:val="1"/>
      <w:numFmt w:val="decimal"/>
      <w:suff w:val="tab"/>
      <w:lvlText w:val="%1.%2.%3.%4.%5.%6.%7.%8"/>
      <w:lvlJc w:val="left"/>
      <w:pPr>
        <w:ind w:hanging="1800" w:left="1800"/>
      </w:pPr>
      <w:rPr>
        <w:rFonts w:hint="default"/>
      </w:rPr>
    </w:lvl>
    <w:lvl w:ilvl="8">
      <w:start w:val="1"/>
      <w:numFmt w:val="decimal"/>
      <w:suff w:val="tab"/>
      <w:lvlText w:val="%1.%2.%3.%4.%5.%6.%7.%8.%9"/>
      <w:lvlJc w:val="left"/>
      <w:pPr>
        <w:ind w:hanging="2160" w:left="2160"/>
      </w:pPr>
      <w:rPr>
        <w:rFonts w:hint="default"/>
      </w:rPr>
    </w:lvl>
  </w:abstractNum>
  <w:abstractNum w:abstractNumId="1">
    <w:nsid w:val="122C4804"/>
    <w:multiLevelType w:val="multilevel"/>
    <w:lvl w:ilvl="0">
      <w:start w:val="1"/>
      <w:numFmt w:val="bullet"/>
      <w:suff w:val="tab"/>
      <w:lvlText w:val="●"/>
      <w:lvlJc w:val="left"/>
      <w:pPr>
        <w:ind w:hanging="360" w:left="720"/>
      </w:pPr>
      <w:rPr>
        <w:rFonts w:ascii="Noto Sans Symbols" w:hAnsi="Noto Sans Symbols" w:cs="Noto Sans Symbols" w:eastAsia="Noto Sans Symbols"/>
      </w:rPr>
    </w:lvl>
    <w:lvl w:ilvl="1">
      <w:start w:val="1"/>
      <w:numFmt w:val="bullet"/>
      <w:suff w:val="tab"/>
      <w:lvlText w:val="ο"/>
      <w:lvlJc w:val="left"/>
      <w:pPr>
        <w:ind w:hanging="360" w:left="1440"/>
      </w:pPr>
      <w:rPr>
        <w:rFonts w:ascii="Noto Sans Symbols" w:hAnsi="Noto Sans Symbols" w:cs="Noto Sans Symbols" w:eastAsia="Noto Sans Symbols"/>
      </w:rPr>
    </w:lvl>
    <w:lvl w:ilvl="2">
      <w:start w:val="1"/>
      <w:numFmt w:val="bullet"/>
      <w:suff w:val="tab"/>
      <w:lvlText w:val="●"/>
      <w:lvlJc w:val="left"/>
      <w:pPr>
        <w:ind w:hanging="360" w:left="2160"/>
      </w:pPr>
      <w:rPr>
        <w:rFonts w:ascii="Noto Sans Symbols" w:hAnsi="Noto Sans Symbols" w:cs="Noto Sans Symbols" w:eastAsia="Noto Sans Symbols"/>
      </w:rPr>
    </w:lvl>
    <w:lvl w:ilvl="3">
      <w:start w:val="1"/>
      <w:numFmt w:val="bullet"/>
      <w:suff w:val="tab"/>
      <w:lvlText w:val="ο"/>
      <w:lvlJc w:val="left"/>
      <w:pPr>
        <w:ind w:hanging="360" w:left="2880"/>
      </w:pPr>
      <w:rPr>
        <w:rFonts w:ascii="Noto Sans Symbols" w:hAnsi="Noto Sans Symbols" w:cs="Noto Sans Symbols" w:eastAsia="Noto Sans Symbols"/>
      </w:rPr>
    </w:lvl>
    <w:lvl w:ilvl="4">
      <w:start w:val="1"/>
      <w:numFmt w:val="bullet"/>
      <w:suff w:val="tab"/>
      <w:lvlText w:val="●"/>
      <w:lvlJc w:val="left"/>
      <w:pPr>
        <w:ind w:hanging="360" w:left="3600"/>
      </w:pPr>
      <w:rPr>
        <w:rFonts w:ascii="Noto Sans Symbols" w:hAnsi="Noto Sans Symbols" w:cs="Noto Sans Symbols" w:eastAsia="Noto Sans Symbols"/>
      </w:rPr>
    </w:lvl>
    <w:lvl w:ilvl="5">
      <w:start w:val="1"/>
      <w:numFmt w:val="bullet"/>
      <w:suff w:val="tab"/>
      <w:lvlText w:val="ο"/>
      <w:lvlJc w:val="left"/>
      <w:pPr>
        <w:ind w:hanging="360" w:left="4320"/>
      </w:pPr>
      <w:rPr>
        <w:rFonts w:ascii="Noto Sans Symbols" w:hAnsi="Noto Sans Symbols" w:cs="Noto Sans Symbols" w:eastAsia="Noto Sans Symbols"/>
      </w:rPr>
    </w:lvl>
    <w:lvl w:ilvl="6">
      <w:start w:val="1"/>
      <w:numFmt w:val="bullet"/>
      <w:suff w:val="tab"/>
      <w:lvlText w:val="●"/>
      <w:lvlJc w:val="left"/>
      <w:pPr>
        <w:ind w:hanging="360" w:left="5040"/>
      </w:pPr>
      <w:rPr>
        <w:rFonts w:ascii="Noto Sans Symbols" w:hAnsi="Noto Sans Symbols" w:cs="Noto Sans Symbols" w:eastAsia="Noto Sans Symbols"/>
      </w:rPr>
    </w:lvl>
    <w:lvl w:ilvl="7">
      <w:start w:val="1"/>
      <w:numFmt w:val="bullet"/>
      <w:suff w:val="tab"/>
      <w:lvlText w:val="ο"/>
      <w:lvlJc w:val="left"/>
      <w:pPr>
        <w:ind w:hanging="360" w:left="5760"/>
      </w:pPr>
      <w:rPr>
        <w:rFonts w:ascii="Noto Sans Symbols" w:hAnsi="Noto Sans Symbols" w:cs="Noto Sans Symbols" w:eastAsia="Noto Sans Symbols"/>
      </w:rPr>
    </w:lvl>
    <w:lvl w:ilvl="8">
      <w:start w:val="1"/>
      <w:numFmt w:val="bullet"/>
      <w:suff w:val="tab"/>
      <w:lvlText w:val="●"/>
      <w:lvlJc w:val="left"/>
      <w:pPr>
        <w:ind w:hanging="360" w:left="6480"/>
      </w:pPr>
      <w:rPr>
        <w:rFonts w:ascii="Noto Sans Symbols" w:hAnsi="Noto Sans Symbols" w:cs="Noto Sans Symbols" w:eastAsia="Noto Sans Symbols"/>
      </w:rPr>
    </w:lvl>
  </w:abstractNum>
  <w:abstractNum w:abstractNumId="2">
    <w:nsid w:val="190B6602"/>
    <w:multiLevelType w:val="multilevel"/>
    <w:lvl w:ilvl="0">
      <w:start w:val="1"/>
      <w:numFmt w:val="decimal"/>
      <w:suff w:val="tab"/>
      <w:lvlText w:val="1.%1"/>
      <w:lvlJc w:val="left"/>
      <w:pPr>
        <w:ind w:hanging="360" w:left="360"/>
      </w:pPr>
      <w:rPr/>
    </w:lvl>
    <w:lvl w:ilvl="1">
      <w:start w:val="1"/>
      <w:numFmt w:val="lowerLetter"/>
      <w:suff w:val="tab"/>
      <w:lvlText w:val="%2."/>
      <w:lvlJc w:val="left"/>
      <w:pPr>
        <w:ind w:hanging="360" w:left="1299"/>
      </w:pPr>
      <w:rPr/>
    </w:lvl>
    <w:lvl w:ilvl="2">
      <w:start w:val="1"/>
      <w:numFmt w:val="lowerRoman"/>
      <w:suff w:val="tab"/>
      <w:lvlText w:val="%3."/>
      <w:lvlJc w:val="right"/>
      <w:pPr>
        <w:ind w:hanging="180" w:left="2019"/>
      </w:pPr>
      <w:rPr/>
    </w:lvl>
    <w:lvl w:ilvl="3">
      <w:start w:val="1"/>
      <w:numFmt w:val="decimal"/>
      <w:suff w:val="tab"/>
      <w:lvlText w:val="%4."/>
      <w:lvlJc w:val="left"/>
      <w:pPr>
        <w:ind w:hanging="360" w:left="2739"/>
      </w:pPr>
      <w:rPr/>
    </w:lvl>
    <w:lvl w:ilvl="4">
      <w:start w:val="1"/>
      <w:numFmt w:val="lowerLetter"/>
      <w:suff w:val="tab"/>
      <w:lvlText w:val="%5."/>
      <w:lvlJc w:val="left"/>
      <w:pPr>
        <w:ind w:hanging="360" w:left="3459"/>
      </w:pPr>
      <w:rPr/>
    </w:lvl>
    <w:lvl w:ilvl="5">
      <w:start w:val="1"/>
      <w:numFmt w:val="lowerRoman"/>
      <w:suff w:val="tab"/>
      <w:lvlText w:val="%6."/>
      <w:lvlJc w:val="right"/>
      <w:pPr>
        <w:ind w:hanging="180" w:left="4179"/>
      </w:pPr>
      <w:rPr/>
    </w:lvl>
    <w:lvl w:ilvl="6">
      <w:start w:val="1"/>
      <w:numFmt w:val="decimal"/>
      <w:suff w:val="tab"/>
      <w:lvlText w:val="%7."/>
      <w:lvlJc w:val="left"/>
      <w:pPr>
        <w:ind w:hanging="360" w:left="4899"/>
      </w:pPr>
      <w:rPr/>
    </w:lvl>
    <w:lvl w:ilvl="7">
      <w:start w:val="1"/>
      <w:numFmt w:val="lowerLetter"/>
      <w:suff w:val="tab"/>
      <w:lvlText w:val="%8."/>
      <w:lvlJc w:val="left"/>
      <w:pPr>
        <w:ind w:hanging="360" w:left="5619"/>
      </w:pPr>
      <w:rPr/>
    </w:lvl>
    <w:lvl w:ilvl="8">
      <w:start w:val="1"/>
      <w:numFmt w:val="lowerRoman"/>
      <w:suff w:val="tab"/>
      <w:lvlText w:val="%9."/>
      <w:lvlJc w:val="right"/>
      <w:pPr>
        <w:ind w:hanging="180" w:left="6339"/>
      </w:pPr>
      <w:rPr/>
    </w:lvl>
  </w:abstractNum>
  <w:abstractNum w:abstractNumId="3">
    <w:nsid w:val="20BB5AE7"/>
    <w:multiLevelType w:val="multilevel"/>
    <w:lvl w:ilvl="0">
      <w:start w:val="1"/>
      <w:numFmt w:val="bullet"/>
      <w:suff w:val="tab"/>
      <w:lvlText w:val="●"/>
      <w:lvlJc w:val="left"/>
      <w:pPr>
        <w:ind w:hanging="360" w:left="720"/>
      </w:pPr>
      <w:rPr>
        <w:rFonts w:ascii="Noto Sans Symbols" w:hAnsi="Noto Sans Symbols" w:cs="Noto Sans Symbols" w:eastAsia="Noto Sans Symbols"/>
      </w:rPr>
    </w:lvl>
    <w:lvl w:ilvl="1">
      <w:start w:val="1"/>
      <w:numFmt w:val="bullet"/>
      <w:suff w:val="tab"/>
      <w:lvlText w:val="o"/>
      <w:lvlJc w:val="left"/>
      <w:pPr>
        <w:ind w:hanging="360" w:left="1440"/>
      </w:pPr>
      <w:rPr>
        <w:rFonts w:ascii="Courier New" w:hAnsi="Courier New" w:cs="Courier New" w:eastAsia="Courier New"/>
      </w:rPr>
    </w:lvl>
    <w:lvl w:ilvl="2">
      <w:start w:val="1"/>
      <w:numFmt w:val="bullet"/>
      <w:suff w:val="tab"/>
      <w:lvlText w:val="▪"/>
      <w:lvlJc w:val="left"/>
      <w:pPr>
        <w:ind w:hanging="360" w:left="2160"/>
      </w:pPr>
      <w:rPr>
        <w:rFonts w:ascii="Noto Sans Symbols" w:hAnsi="Noto Sans Symbols" w:cs="Noto Sans Symbols" w:eastAsia="Noto Sans Symbols"/>
      </w:rPr>
    </w:lvl>
    <w:lvl w:ilvl="3">
      <w:start w:val="1"/>
      <w:numFmt w:val="bullet"/>
      <w:suff w:val="tab"/>
      <w:lvlText w:val="●"/>
      <w:lvlJc w:val="left"/>
      <w:pPr>
        <w:ind w:hanging="360" w:left="2880"/>
      </w:pPr>
      <w:rPr>
        <w:rFonts w:ascii="Noto Sans Symbols" w:hAnsi="Noto Sans Symbols" w:cs="Noto Sans Symbols" w:eastAsia="Noto Sans Symbols"/>
      </w:rPr>
    </w:lvl>
    <w:lvl w:ilvl="4">
      <w:start w:val="1"/>
      <w:numFmt w:val="bullet"/>
      <w:suff w:val="tab"/>
      <w:lvlText w:val="o"/>
      <w:lvlJc w:val="left"/>
      <w:pPr>
        <w:ind w:hanging="360" w:left="3600"/>
      </w:pPr>
      <w:rPr>
        <w:rFonts w:ascii="Courier New" w:hAnsi="Courier New" w:cs="Courier New" w:eastAsia="Courier New"/>
      </w:rPr>
    </w:lvl>
    <w:lvl w:ilvl="5">
      <w:start w:val="1"/>
      <w:numFmt w:val="bullet"/>
      <w:suff w:val="tab"/>
      <w:lvlText w:val="▪"/>
      <w:lvlJc w:val="left"/>
      <w:pPr>
        <w:ind w:hanging="360" w:left="4320"/>
      </w:pPr>
      <w:rPr>
        <w:rFonts w:ascii="Noto Sans Symbols" w:hAnsi="Noto Sans Symbols" w:cs="Noto Sans Symbols" w:eastAsia="Noto Sans Symbols"/>
      </w:rPr>
    </w:lvl>
    <w:lvl w:ilvl="6">
      <w:start w:val="1"/>
      <w:numFmt w:val="bullet"/>
      <w:suff w:val="tab"/>
      <w:lvlText w:val="●"/>
      <w:lvlJc w:val="left"/>
      <w:pPr>
        <w:ind w:hanging="360" w:left="5040"/>
      </w:pPr>
      <w:rPr>
        <w:rFonts w:ascii="Noto Sans Symbols" w:hAnsi="Noto Sans Symbols" w:cs="Noto Sans Symbols" w:eastAsia="Noto Sans Symbols"/>
      </w:rPr>
    </w:lvl>
    <w:lvl w:ilvl="7">
      <w:start w:val="1"/>
      <w:numFmt w:val="bullet"/>
      <w:suff w:val="tab"/>
      <w:lvlText w:val="o"/>
      <w:lvlJc w:val="left"/>
      <w:pPr>
        <w:ind w:hanging="360" w:left="5760"/>
      </w:pPr>
      <w:rPr>
        <w:rFonts w:ascii="Courier New" w:hAnsi="Courier New" w:cs="Courier New" w:eastAsia="Courier New"/>
      </w:rPr>
    </w:lvl>
    <w:lvl w:ilvl="8">
      <w:start w:val="1"/>
      <w:numFmt w:val="bullet"/>
      <w:suff w:val="tab"/>
      <w:lvlText w:val="▪"/>
      <w:lvlJc w:val="left"/>
      <w:pPr>
        <w:ind w:hanging="360" w:left="6480"/>
      </w:pPr>
      <w:rPr>
        <w:rFonts w:ascii="Noto Sans Symbols" w:hAnsi="Noto Sans Symbols" w:cs="Noto Sans Symbols" w:eastAsia="Noto Sans Symbols"/>
      </w:rPr>
    </w:lvl>
  </w:abstractNum>
  <w:abstractNum w:abstractNumId="4">
    <w:nsid w:val="27622760"/>
    <w:multiLevelType w:val="multilevel"/>
    <w:lvl w:ilvl="0">
      <w:start w:val="1"/>
      <w:numFmt w:val="decimal"/>
      <w:suff w:val="tab"/>
      <w:lvlText w:val="%1."/>
      <w:lvlJc w:val="left"/>
      <w:pPr>
        <w:ind w:hanging="384" w:left="384"/>
      </w:pPr>
      <w:rPr>
        <w:rFonts w:hint="default"/>
      </w:rPr>
    </w:lvl>
    <w:lvl w:ilvl="1">
      <w:start w:val="1"/>
      <w:numFmt w:val="decimal"/>
      <w:suff w:val="tab"/>
      <w:lvlText w:val="1.%2"/>
      <w:lvlJc w:val="left"/>
      <w:pPr>
        <w:ind w:hanging="360" w:left="360"/>
      </w:pPr>
      <w:rPr>
        <w:rFonts w:hint="default"/>
      </w:rPr>
    </w:lvl>
    <w:lvl w:ilvl="2">
      <w:start w:val="1"/>
      <w:numFmt w:val="decimal"/>
      <w:suff w:val="tab"/>
      <w:lvlText w:val="%1.%2.%3"/>
      <w:lvlJc w:val="left"/>
      <w:pPr>
        <w:ind w:hanging="720" w:left="720"/>
      </w:pPr>
      <w:rPr>
        <w:rFonts w:hint="default"/>
      </w:rPr>
    </w:lvl>
    <w:lvl w:ilvl="3">
      <w:start w:val="1"/>
      <w:numFmt w:val="decimal"/>
      <w:suff w:val="tab"/>
      <w:lvlText w:val="%1.%2.%3.%4"/>
      <w:lvlJc w:val="left"/>
      <w:pPr>
        <w:ind w:hanging="720" w:left="720"/>
      </w:pPr>
      <w:rPr>
        <w:rFonts w:hint="default"/>
      </w:rPr>
    </w:lvl>
    <w:lvl w:ilvl="4">
      <w:start w:val="1"/>
      <w:numFmt w:val="decimal"/>
      <w:suff w:val="tab"/>
      <w:lvlText w:val="%1.%2.%3.%4.%5"/>
      <w:lvlJc w:val="left"/>
      <w:pPr>
        <w:ind w:hanging="1080" w:left="1080"/>
      </w:pPr>
      <w:rPr>
        <w:rFonts w:hint="default"/>
      </w:rPr>
    </w:lvl>
    <w:lvl w:ilvl="5">
      <w:start w:val="1"/>
      <w:numFmt w:val="decimal"/>
      <w:suff w:val="tab"/>
      <w:lvlText w:val="%1.%2.%3.%4.%5.%6"/>
      <w:lvlJc w:val="left"/>
      <w:pPr>
        <w:ind w:hanging="1440" w:left="1440"/>
      </w:pPr>
      <w:rPr>
        <w:rFonts w:hint="default"/>
      </w:rPr>
    </w:lvl>
    <w:lvl w:ilvl="6">
      <w:start w:val="1"/>
      <w:numFmt w:val="decimal"/>
      <w:suff w:val="tab"/>
      <w:lvlText w:val="%1.%2.%3.%4.%5.%6.%7"/>
      <w:lvlJc w:val="left"/>
      <w:pPr>
        <w:ind w:hanging="1440" w:left="1440"/>
      </w:pPr>
      <w:rPr>
        <w:rFonts w:hint="default"/>
      </w:rPr>
    </w:lvl>
    <w:lvl w:ilvl="7">
      <w:start w:val="1"/>
      <w:numFmt w:val="decimal"/>
      <w:suff w:val="tab"/>
      <w:lvlText w:val="%1.%2.%3.%4.%5.%6.%7.%8"/>
      <w:lvlJc w:val="left"/>
      <w:pPr>
        <w:ind w:hanging="1800" w:left="1800"/>
      </w:pPr>
      <w:rPr>
        <w:rFonts w:hint="default"/>
      </w:rPr>
    </w:lvl>
    <w:lvl w:ilvl="8">
      <w:start w:val="1"/>
      <w:numFmt w:val="decimal"/>
      <w:suff w:val="tab"/>
      <w:lvlText w:val="%1.%2.%3.%4.%5.%6.%7.%8.%9"/>
      <w:lvlJc w:val="left"/>
      <w:pPr>
        <w:ind w:hanging="1800" w:left="1800"/>
      </w:pPr>
      <w:rPr>
        <w:rFonts w:hint="default"/>
      </w:rPr>
    </w:lvl>
  </w:abstractNum>
  <w:abstractNum w:abstractNumId="5">
    <w:nsid w:val="2BF75E33"/>
    <w:multiLevelType w:val="multilevel"/>
    <w:lvl w:ilvl="0">
      <w:start w:val="1"/>
      <w:numFmt w:val="decimal"/>
      <w:suff w:val="tab"/>
      <w:lvlText w:val="%1"/>
      <w:lvlJc w:val="left"/>
      <w:pPr>
        <w:ind w:hanging="384" w:left="384"/>
      </w:pPr>
      <w:rPr/>
    </w:lvl>
    <w:lvl w:ilvl="1">
      <w:start w:val="1"/>
      <w:numFmt w:val="decimal"/>
      <w:suff w:val="tab"/>
      <w:lvlText w:val="1.%2"/>
      <w:lvlJc w:val="left"/>
      <w:pPr>
        <w:ind w:hanging="360" w:left="360"/>
      </w:pPr>
      <w:rPr/>
    </w:lvl>
    <w:lvl w:ilvl="2">
      <w:start w:val="1"/>
      <w:numFmt w:val="decimal"/>
      <w:suff w:val="tab"/>
      <w:lvlText w:val="%1.%2.%3"/>
      <w:lvlJc w:val="left"/>
      <w:pPr>
        <w:ind w:hanging="720" w:left="720"/>
      </w:pPr>
      <w:rPr/>
    </w:lvl>
    <w:lvl w:ilvl="3">
      <w:start w:val="1"/>
      <w:numFmt w:val="decimal"/>
      <w:suff w:val="tab"/>
      <w:lvlText w:val="%1.%2.%3.%4"/>
      <w:lvlJc w:val="left"/>
      <w:pPr>
        <w:ind w:hanging="720" w:left="720"/>
      </w:pPr>
      <w:rPr/>
    </w:lvl>
    <w:lvl w:ilvl="4">
      <w:start w:val="1"/>
      <w:numFmt w:val="decimal"/>
      <w:suff w:val="tab"/>
      <w:lvlText w:val="%1.%2.%3.%4.%5"/>
      <w:lvlJc w:val="left"/>
      <w:pPr>
        <w:ind w:hanging="1080" w:left="1080"/>
      </w:pPr>
      <w:rPr/>
    </w:lvl>
    <w:lvl w:ilvl="5">
      <w:start w:val="1"/>
      <w:numFmt w:val="decimal"/>
      <w:suff w:val="tab"/>
      <w:lvlText w:val="%1.%2.%3.%4.%5.%6"/>
      <w:lvlJc w:val="left"/>
      <w:pPr>
        <w:ind w:hanging="1440" w:left="1440"/>
      </w:pPr>
      <w:rPr/>
    </w:lvl>
    <w:lvl w:ilvl="6">
      <w:start w:val="1"/>
      <w:numFmt w:val="decimal"/>
      <w:suff w:val="tab"/>
      <w:lvlText w:val="%1.%2.%3.%4.%5.%6.%7"/>
      <w:lvlJc w:val="left"/>
      <w:pPr>
        <w:ind w:hanging="1440" w:left="1440"/>
      </w:pPr>
      <w:rPr/>
    </w:lvl>
    <w:lvl w:ilvl="7">
      <w:start w:val="1"/>
      <w:numFmt w:val="decimal"/>
      <w:suff w:val="tab"/>
      <w:lvlText w:val="%1.%2.%3.%4.%5.%6.%7.%8"/>
      <w:lvlJc w:val="left"/>
      <w:pPr>
        <w:ind w:hanging="1800" w:left="1800"/>
      </w:pPr>
      <w:rPr/>
    </w:lvl>
    <w:lvl w:ilvl="8">
      <w:start w:val="1"/>
      <w:numFmt w:val="decimal"/>
      <w:suff w:val="tab"/>
      <w:lvlText w:val="%1.%2.%3.%4.%5.%6.%7.%8.%9"/>
      <w:lvlJc w:val="left"/>
      <w:pPr>
        <w:ind w:hanging="1800" w:left="1800"/>
      </w:pPr>
      <w:rPr/>
    </w:lvl>
  </w:abstractNum>
  <w:abstractNum w:abstractNumId="6">
    <w:nsid w:val="3FCF2414"/>
    <w:multiLevelType w:val="multilevel"/>
    <w:lvl w:ilvl="0">
      <w:start w:val="1"/>
      <w:numFmt w:val="decimal"/>
      <w:suff w:val="tab"/>
      <w:lvlText w:val="%1"/>
      <w:lvlJc w:val="left"/>
      <w:pPr>
        <w:ind w:hanging="384" w:left="384"/>
      </w:pPr>
      <w:rPr>
        <w:rFonts w:hint="default"/>
      </w:rPr>
    </w:lvl>
    <w:lvl w:ilvl="1">
      <w:start w:val="1"/>
      <w:numFmt w:val="decimal"/>
      <w:suff w:val="tab"/>
      <w:lvlText w:val="1.%2"/>
      <w:lvlJc w:val="left"/>
      <w:pPr>
        <w:ind w:hanging="360" w:left="360"/>
      </w:pPr>
      <w:rPr>
        <w:rFonts w:hint="default"/>
      </w:rPr>
    </w:lvl>
    <w:lvl w:ilvl="2">
      <w:start w:val="1"/>
      <w:numFmt w:val="decimal"/>
      <w:suff w:val="tab"/>
      <w:lvlText w:val="%1.%2.%3"/>
      <w:lvlJc w:val="left"/>
      <w:pPr>
        <w:ind w:hanging="720" w:left="720"/>
      </w:pPr>
      <w:rPr>
        <w:rFonts w:hint="default"/>
      </w:rPr>
    </w:lvl>
    <w:lvl w:ilvl="3">
      <w:start w:val="1"/>
      <w:numFmt w:val="decimal"/>
      <w:suff w:val="tab"/>
      <w:lvlText w:val="%1.%2.%3.%4"/>
      <w:lvlJc w:val="left"/>
      <w:pPr>
        <w:ind w:hanging="720" w:left="720"/>
      </w:pPr>
      <w:rPr>
        <w:rFonts w:hint="default"/>
      </w:rPr>
    </w:lvl>
    <w:lvl w:ilvl="4">
      <w:start w:val="1"/>
      <w:numFmt w:val="decimal"/>
      <w:suff w:val="tab"/>
      <w:lvlText w:val="%1.%2.%3.%4.%5"/>
      <w:lvlJc w:val="left"/>
      <w:pPr>
        <w:ind w:hanging="1080" w:left="1080"/>
      </w:pPr>
      <w:rPr>
        <w:rFonts w:hint="default"/>
      </w:rPr>
    </w:lvl>
    <w:lvl w:ilvl="5">
      <w:start w:val="1"/>
      <w:numFmt w:val="decimal"/>
      <w:suff w:val="tab"/>
      <w:lvlText w:val="%1.%2.%3.%4.%5.%6"/>
      <w:lvlJc w:val="left"/>
      <w:pPr>
        <w:ind w:hanging="1440" w:left="1440"/>
      </w:pPr>
      <w:rPr>
        <w:rFonts w:hint="default"/>
      </w:rPr>
    </w:lvl>
    <w:lvl w:ilvl="6">
      <w:start w:val="1"/>
      <w:numFmt w:val="decimal"/>
      <w:suff w:val="tab"/>
      <w:lvlText w:val="%1.%2.%3.%4.%5.%6.%7"/>
      <w:lvlJc w:val="left"/>
      <w:pPr>
        <w:ind w:hanging="1440" w:left="1440"/>
      </w:pPr>
      <w:rPr>
        <w:rFonts w:hint="default"/>
      </w:rPr>
    </w:lvl>
    <w:lvl w:ilvl="7">
      <w:start w:val="1"/>
      <w:numFmt w:val="decimal"/>
      <w:suff w:val="tab"/>
      <w:lvlText w:val="%1.%2.%3.%4.%5.%6.%7.%8"/>
      <w:lvlJc w:val="left"/>
      <w:pPr>
        <w:ind w:hanging="1800" w:left="1800"/>
      </w:pPr>
      <w:rPr>
        <w:rFonts w:hint="default"/>
      </w:rPr>
    </w:lvl>
    <w:lvl w:ilvl="8">
      <w:start w:val="1"/>
      <w:numFmt w:val="decimal"/>
      <w:suff w:val="tab"/>
      <w:lvlText w:val="%1.%2.%3.%4.%5.%6.%7.%8.%9"/>
      <w:lvlJc w:val="left"/>
      <w:pPr>
        <w:ind w:hanging="1800" w:left="1800"/>
      </w:pPr>
      <w:rPr>
        <w:rFonts w:hint="default"/>
      </w:rPr>
    </w:lvl>
  </w:abstractNum>
  <w:abstractNum w:abstractNumId="7">
    <w:nsid w:val="436E1B70"/>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8">
    <w:nsid w:val="46626CDA"/>
    <w:multiLevelType w:val="multilevel"/>
    <w:lvl w:ilvl="0">
      <w:start w:val="1"/>
      <w:numFmt w:val="decimal"/>
      <w:suff w:val="tab"/>
      <w:lvlText w:val="%1."/>
      <w:lvlJc w:val="left"/>
      <w:pPr>
        <w:ind w:hanging="360" w:left="501"/>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4FFF21B9"/>
    <w:multiLevelType w:val="hybridMultilevel"/>
    <w:lvl w:ilvl="0" w:tplc="15843310">
      <w:start w:val="1"/>
      <w:numFmt w:val="bullet"/>
      <w:suff w:val="tab"/>
      <w:lvlText w:val="·"/>
      <w:lvlJc w:val="left"/>
      <w:pPr>
        <w:ind w:hanging="360" w:left="720"/>
      </w:pPr>
      <w:rPr>
        <w:rFonts w:ascii="Symbol" w:hAnsi="Symbol" w:cs="Symbol" w:eastAsia="Symbol"/>
      </w:rPr>
    </w:lvl>
    <w:lvl w:ilvl="1" w:tplc="5B825FA8">
      <w:start w:val="1"/>
      <w:numFmt w:val="bullet"/>
      <w:suff w:val="tab"/>
      <w:lvlText w:val="o"/>
      <w:lvlJc w:val="left"/>
      <w:pPr>
        <w:ind w:hanging="360" w:left="1440"/>
      </w:pPr>
      <w:rPr>
        <w:rFonts w:ascii="Symbol" w:hAnsi="Symbol"/>
      </w:rPr>
    </w:lvl>
    <w:lvl w:ilvl="2" w:tplc="6D3DBD98">
      <w:start w:val="1"/>
      <w:numFmt w:val="bullet"/>
      <w:suff w:val="tab"/>
      <w:lvlText w:val="·"/>
      <w:lvlJc w:val="left"/>
      <w:pPr>
        <w:ind w:hanging="360" w:left="2160"/>
      </w:pPr>
      <w:rPr>
        <w:rFonts w:ascii="Symbol" w:hAnsi="Symbol"/>
      </w:rPr>
    </w:lvl>
    <w:lvl w:ilvl="3" w:tplc="661060AC">
      <w:start w:val="1"/>
      <w:numFmt w:val="bullet"/>
      <w:suff w:val="tab"/>
      <w:lvlText w:val="o"/>
      <w:lvlJc w:val="left"/>
      <w:pPr>
        <w:ind w:hanging="360" w:left="2880"/>
      </w:pPr>
      <w:rPr>
        <w:rFonts w:ascii="Symbol" w:hAnsi="Symbol"/>
      </w:rPr>
    </w:lvl>
    <w:lvl w:ilvl="4" w:tplc="4110CA80">
      <w:start w:val="1"/>
      <w:numFmt w:val="bullet"/>
      <w:suff w:val="tab"/>
      <w:lvlText w:val="·"/>
      <w:lvlJc w:val="left"/>
      <w:pPr>
        <w:ind w:hanging="360" w:left="3600"/>
      </w:pPr>
      <w:rPr>
        <w:rFonts w:ascii="Symbol" w:hAnsi="Symbol"/>
      </w:rPr>
    </w:lvl>
    <w:lvl w:ilvl="5" w:tplc="7FB662A3">
      <w:start w:val="1"/>
      <w:numFmt w:val="bullet"/>
      <w:suff w:val="tab"/>
      <w:lvlText w:val="o"/>
      <w:lvlJc w:val="left"/>
      <w:pPr>
        <w:ind w:hanging="360" w:left="4320"/>
      </w:pPr>
      <w:rPr>
        <w:rFonts w:ascii="Symbol" w:hAnsi="Symbol"/>
      </w:rPr>
    </w:lvl>
    <w:lvl w:ilvl="6" w:tplc="4691CBCE">
      <w:start w:val="1"/>
      <w:numFmt w:val="bullet"/>
      <w:suff w:val="tab"/>
      <w:lvlText w:val="·"/>
      <w:lvlJc w:val="left"/>
      <w:pPr>
        <w:ind w:hanging="360" w:left="5040"/>
      </w:pPr>
      <w:rPr>
        <w:rFonts w:ascii="Symbol" w:hAnsi="Symbol"/>
      </w:rPr>
    </w:lvl>
    <w:lvl w:ilvl="7" w:tplc="710629D0">
      <w:start w:val="1"/>
      <w:numFmt w:val="bullet"/>
      <w:suff w:val="tab"/>
      <w:lvlText w:val="o"/>
      <w:lvlJc w:val="left"/>
      <w:pPr>
        <w:ind w:hanging="360" w:left="5760"/>
      </w:pPr>
      <w:rPr>
        <w:rFonts w:ascii="Symbol" w:hAnsi="Symbol"/>
      </w:rPr>
    </w:lvl>
    <w:lvl w:ilvl="8" w:tplc="72630648">
      <w:start w:val="1"/>
      <w:numFmt w:val="bullet"/>
      <w:suff w:val="tab"/>
      <w:lvlText w:val="·"/>
      <w:lvlJc w:val="left"/>
      <w:pPr>
        <w:ind w:hanging="360" w:left="6480"/>
      </w:pPr>
      <w:rPr>
        <w:rFonts w:ascii="Symbol" w:hAnsi="Symbol"/>
      </w:rPr>
    </w:lvl>
  </w:abstractNum>
  <w:abstractNum w:abstractNumId="10">
    <w:nsid w:val="576631E4"/>
    <w:multiLevelType w:val="multilevel"/>
    <w:lvl w:ilvl="0">
      <w:start w:val="1"/>
      <w:numFmt w:val="decimal"/>
      <w:suff w:val="tab"/>
      <w:lvlText w:val="%1"/>
      <w:lvlJc w:val="left"/>
      <w:pPr>
        <w:ind w:hanging="384" w:left="384"/>
      </w:pPr>
      <w:rPr/>
    </w:lvl>
    <w:lvl w:ilvl="1">
      <w:start w:val="1"/>
      <w:numFmt w:val="decimal"/>
      <w:suff w:val="tab"/>
      <w:lvlText w:val="2.%2"/>
      <w:lvlJc w:val="left"/>
      <w:pPr>
        <w:ind w:hanging="360" w:left="360"/>
      </w:pPr>
      <w:rPr/>
    </w:lvl>
    <w:lvl w:ilvl="2">
      <w:start w:val="1"/>
      <w:numFmt w:val="decimal"/>
      <w:suff w:val="tab"/>
      <w:lvlText w:val="%1.%2.%3"/>
      <w:lvlJc w:val="left"/>
      <w:pPr>
        <w:ind w:hanging="720" w:left="720"/>
      </w:pPr>
      <w:rPr/>
    </w:lvl>
    <w:lvl w:ilvl="3">
      <w:start w:val="1"/>
      <w:numFmt w:val="decimal"/>
      <w:suff w:val="tab"/>
      <w:lvlText w:val="%1.%2.%3.%4"/>
      <w:lvlJc w:val="left"/>
      <w:pPr>
        <w:ind w:hanging="720" w:left="720"/>
      </w:pPr>
      <w:rPr/>
    </w:lvl>
    <w:lvl w:ilvl="4">
      <w:start w:val="1"/>
      <w:numFmt w:val="decimal"/>
      <w:suff w:val="tab"/>
      <w:lvlText w:val="%1.%2.%3.%4.%5"/>
      <w:lvlJc w:val="left"/>
      <w:pPr>
        <w:ind w:hanging="1080" w:left="1080"/>
      </w:pPr>
      <w:rPr/>
    </w:lvl>
    <w:lvl w:ilvl="5">
      <w:start w:val="1"/>
      <w:numFmt w:val="decimal"/>
      <w:suff w:val="tab"/>
      <w:lvlText w:val="%1.%2.%3.%4.%5.%6"/>
      <w:lvlJc w:val="left"/>
      <w:pPr>
        <w:ind w:hanging="1440" w:left="1440"/>
      </w:pPr>
      <w:rPr/>
    </w:lvl>
    <w:lvl w:ilvl="6">
      <w:start w:val="1"/>
      <w:numFmt w:val="decimal"/>
      <w:suff w:val="tab"/>
      <w:lvlText w:val="%1.%2.%3.%4.%5.%6.%7"/>
      <w:lvlJc w:val="left"/>
      <w:pPr>
        <w:ind w:hanging="1440" w:left="1440"/>
      </w:pPr>
      <w:rPr/>
    </w:lvl>
    <w:lvl w:ilvl="7">
      <w:start w:val="1"/>
      <w:numFmt w:val="decimal"/>
      <w:suff w:val="tab"/>
      <w:lvlText w:val="%1.%2.%3.%4.%5.%6.%7.%8"/>
      <w:lvlJc w:val="left"/>
      <w:pPr>
        <w:ind w:hanging="1800" w:left="1800"/>
      </w:pPr>
      <w:rPr/>
    </w:lvl>
    <w:lvl w:ilvl="8">
      <w:start w:val="1"/>
      <w:numFmt w:val="decimal"/>
      <w:suff w:val="tab"/>
      <w:lvlText w:val="%1.%2.%3.%4.%5.%6.%7.%8.%9"/>
      <w:lvlJc w:val="left"/>
      <w:pPr>
        <w:ind w:hanging="1800" w:left="1800"/>
      </w:pPr>
      <w:rPr/>
    </w:lvl>
  </w:abstractNum>
  <w:abstractNum w:abstractNumId="11">
    <w:nsid w:val="5D6F2842"/>
    <w:multiLevelType w:val="multilevel"/>
    <w:lvl w:ilvl="0">
      <w:start w:val="1"/>
      <w:numFmt w:val="decimal"/>
      <w:suff w:val="tab"/>
      <w:lvlText w:val="3.%1"/>
      <w:lvlJc w:val="left"/>
      <w:pPr>
        <w:ind w:hanging="360" w:left="36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6785219A"/>
    <w:multiLevelType w:val="multilevel"/>
    <w:lvl w:ilvl="0">
      <w:start w:val="2"/>
      <w:numFmt w:val="decimal"/>
      <w:suff w:val="tab"/>
      <w:lvlText w:val="%1"/>
      <w:lvlJc w:val="left"/>
      <w:pPr>
        <w:ind w:hanging="480" w:left="480"/>
      </w:pPr>
      <w:rPr>
        <w:rFonts w:hint="default"/>
      </w:rPr>
    </w:lvl>
    <w:lvl w:ilvl="1">
      <w:start w:val="1"/>
      <w:numFmt w:val="decimal"/>
      <w:suff w:val="tab"/>
      <w:lvlText w:val="%1.%2"/>
      <w:lvlJc w:val="left"/>
      <w:pPr>
        <w:ind w:hanging="480" w:left="480"/>
      </w:pPr>
      <w:rPr>
        <w:rFonts w:hint="default"/>
      </w:rPr>
    </w:lvl>
    <w:lvl w:ilvl="2">
      <w:start w:val="2"/>
      <w:numFmt w:val="decimal"/>
      <w:suff w:val="tab"/>
      <w:lvlText w:val="%1.%2.%3"/>
      <w:lvlJc w:val="left"/>
      <w:pPr>
        <w:ind w:hanging="720" w:left="720"/>
      </w:pPr>
      <w:rPr>
        <w:rFonts w:hint="default"/>
      </w:rPr>
    </w:lvl>
    <w:lvl w:ilvl="3">
      <w:start w:val="1"/>
      <w:numFmt w:val="decimal"/>
      <w:suff w:val="tab"/>
      <w:lvlText w:val="%1.%2.%3.%4"/>
      <w:lvlJc w:val="left"/>
      <w:pPr>
        <w:ind w:hanging="720" w:left="720"/>
      </w:pPr>
      <w:rPr>
        <w:rFonts w:hint="default"/>
      </w:rPr>
    </w:lvl>
    <w:lvl w:ilvl="4">
      <w:start w:val="1"/>
      <w:numFmt w:val="decimal"/>
      <w:suff w:val="tab"/>
      <w:lvlText w:val="%1.%2.%3.%4.%5"/>
      <w:lvlJc w:val="left"/>
      <w:pPr>
        <w:ind w:hanging="1080" w:left="1080"/>
      </w:pPr>
      <w:rPr>
        <w:rFonts w:hint="default"/>
      </w:rPr>
    </w:lvl>
    <w:lvl w:ilvl="5">
      <w:start w:val="1"/>
      <w:numFmt w:val="decimal"/>
      <w:suff w:val="tab"/>
      <w:lvlText w:val="%1.%2.%3.%4.%5.%6"/>
      <w:lvlJc w:val="left"/>
      <w:pPr>
        <w:ind w:hanging="1080" w:left="1080"/>
      </w:pPr>
      <w:rPr>
        <w:rFonts w:hint="default"/>
      </w:rPr>
    </w:lvl>
    <w:lvl w:ilvl="6">
      <w:start w:val="1"/>
      <w:numFmt w:val="decimal"/>
      <w:suff w:val="tab"/>
      <w:lvlText w:val="%1.%2.%3.%4.%5.%6.%7"/>
      <w:lvlJc w:val="left"/>
      <w:pPr>
        <w:ind w:hanging="1440" w:left="1440"/>
      </w:pPr>
      <w:rPr>
        <w:rFonts w:hint="default"/>
      </w:rPr>
    </w:lvl>
    <w:lvl w:ilvl="7">
      <w:start w:val="1"/>
      <w:numFmt w:val="decimal"/>
      <w:suff w:val="tab"/>
      <w:lvlText w:val="%1.%2.%3.%4.%5.%6.%7.%8"/>
      <w:lvlJc w:val="left"/>
      <w:pPr>
        <w:ind w:hanging="1440" w:left="1440"/>
      </w:pPr>
      <w:rPr>
        <w:rFonts w:hint="default"/>
      </w:rPr>
    </w:lvl>
    <w:lvl w:ilvl="8">
      <w:start w:val="1"/>
      <w:numFmt w:val="decimal"/>
      <w:suff w:val="tab"/>
      <w:lvlText w:val="%1.%2.%3.%4.%5.%6.%7.%8.%9"/>
      <w:lvlJc w:val="left"/>
      <w:pPr>
        <w:ind w:hanging="1800" w:left="1800"/>
      </w:pPr>
      <w:rPr>
        <w:rFonts w:hint="default"/>
      </w:rPr>
    </w:lvl>
  </w:abstractNum>
  <w:abstractNum w:abstractNumId="13">
    <w:nsid w:val="697875BB"/>
    <w:multiLevelType w:val="multilevel"/>
    <w:lvl w:ilvl="0">
      <w:start w:val="1"/>
      <w:numFmt w:val="decimal"/>
      <w:suff w:val="tab"/>
      <w:lvlText w:val="%1."/>
      <w:lvlJc w:val="left"/>
      <w:pPr>
        <w:ind w:hanging="360" w:left="720"/>
      </w:pPr>
      <w:rPr/>
    </w:lvl>
    <w:lvl w:ilvl="1">
      <w:start w:val="1"/>
      <w:numFmt w:val="decimal"/>
      <w:suff w:val="tab"/>
      <w:lvlText w:val="%2."/>
      <w:lvlJc w:val="left"/>
      <w:pPr>
        <w:ind w:hanging="360" w:left="1440"/>
      </w:pPr>
      <w:rPr/>
    </w:lvl>
    <w:lvl w:ilvl="2">
      <w:start w:val="1"/>
      <w:numFmt w:val="decimal"/>
      <w:suff w:val="tab"/>
      <w:lvlText w:val="%3."/>
      <w:lvlJc w:val="left"/>
      <w:pPr>
        <w:ind w:hanging="360" w:left="2160"/>
      </w:pPr>
      <w:rPr/>
    </w:lvl>
    <w:lvl w:ilvl="3">
      <w:start w:val="1"/>
      <w:numFmt w:val="decimal"/>
      <w:suff w:val="tab"/>
      <w:lvlText w:val="%4."/>
      <w:lvlJc w:val="left"/>
      <w:pPr>
        <w:ind w:hanging="360" w:left="2880"/>
      </w:pPr>
      <w:rPr/>
    </w:lvl>
    <w:lvl w:ilvl="4">
      <w:start w:val="1"/>
      <w:numFmt w:val="decimal"/>
      <w:suff w:val="tab"/>
      <w:lvlText w:val="%5."/>
      <w:lvlJc w:val="left"/>
      <w:pPr>
        <w:ind w:hanging="360" w:left="3600"/>
      </w:pPr>
      <w:rPr/>
    </w:lvl>
    <w:lvl w:ilvl="5">
      <w:start w:val="1"/>
      <w:numFmt w:val="decimal"/>
      <w:suff w:val="tab"/>
      <w:lvlText w:val="%6."/>
      <w:lvlJc w:val="left"/>
      <w:pPr>
        <w:ind w:hanging="360" w:left="4320"/>
      </w:pPr>
      <w:rPr/>
    </w:lvl>
    <w:lvl w:ilvl="6">
      <w:start w:val="1"/>
      <w:numFmt w:val="decimal"/>
      <w:suff w:val="tab"/>
      <w:lvlText w:val="%7."/>
      <w:lvlJc w:val="left"/>
      <w:pPr>
        <w:ind w:hanging="360" w:left="5040"/>
      </w:pPr>
      <w:rPr/>
    </w:lvl>
    <w:lvl w:ilvl="7">
      <w:start w:val="1"/>
      <w:numFmt w:val="decimal"/>
      <w:suff w:val="tab"/>
      <w:lvlText w:val="%8."/>
      <w:lvlJc w:val="left"/>
      <w:pPr>
        <w:ind w:hanging="360" w:left="5760"/>
      </w:pPr>
      <w:rPr/>
    </w:lvl>
    <w:lvl w:ilvl="8">
      <w:start w:val="1"/>
      <w:numFmt w:val="decimal"/>
      <w:suff w:val="tab"/>
      <w:lvlText w:val="%9."/>
      <w:lvlJc w:val="left"/>
      <w:pPr>
        <w:ind w:hanging="360" w:left="6480"/>
      </w:pPr>
      <w:rPr/>
    </w:lvl>
  </w:abstractNum>
  <w:abstractNum w:abstractNumId="14">
    <w:nsid w:val="797E1894"/>
    <w:multiLevelType w:val="multilevel"/>
    <w:lvl w:ilvl="0">
      <w:start w:val="2"/>
      <w:numFmt w:val="decimal"/>
      <w:suff w:val="tab"/>
      <w:lvlText w:val="%1"/>
      <w:lvlJc w:val="left"/>
      <w:pPr>
        <w:ind w:hanging="480" w:left="480"/>
      </w:pPr>
      <w:rPr>
        <w:rFonts w:hint="default"/>
      </w:rPr>
    </w:lvl>
    <w:lvl w:ilvl="1">
      <w:start w:val="3"/>
      <w:numFmt w:val="decimal"/>
      <w:suff w:val="tab"/>
      <w:lvlText w:val="%1.%2"/>
      <w:lvlJc w:val="left"/>
      <w:pPr>
        <w:ind w:hanging="480" w:left="480"/>
      </w:pPr>
      <w:rPr>
        <w:rFonts w:hint="default"/>
      </w:rPr>
    </w:lvl>
    <w:lvl w:ilvl="2">
      <w:start w:val="2"/>
      <w:numFmt w:val="decimal"/>
      <w:suff w:val="tab"/>
      <w:lvlText w:val="%1.%2.%3"/>
      <w:lvlJc w:val="left"/>
      <w:pPr>
        <w:ind w:hanging="720" w:left="720"/>
      </w:pPr>
      <w:rPr>
        <w:rFonts w:hint="default"/>
      </w:rPr>
    </w:lvl>
    <w:lvl w:ilvl="3">
      <w:start w:val="1"/>
      <w:numFmt w:val="decimal"/>
      <w:suff w:val="tab"/>
      <w:lvlText w:val="%1.%2.%3.%4"/>
      <w:lvlJc w:val="left"/>
      <w:pPr>
        <w:ind w:hanging="720" w:left="720"/>
      </w:pPr>
      <w:rPr>
        <w:rFonts w:hint="default"/>
      </w:rPr>
    </w:lvl>
    <w:lvl w:ilvl="4">
      <w:start w:val="1"/>
      <w:numFmt w:val="decimal"/>
      <w:suff w:val="tab"/>
      <w:lvlText w:val="%1.%2.%3.%4.%5"/>
      <w:lvlJc w:val="left"/>
      <w:pPr>
        <w:ind w:hanging="1080" w:left="1080"/>
      </w:pPr>
      <w:rPr>
        <w:rFonts w:hint="default"/>
      </w:rPr>
    </w:lvl>
    <w:lvl w:ilvl="5">
      <w:start w:val="1"/>
      <w:numFmt w:val="decimal"/>
      <w:suff w:val="tab"/>
      <w:lvlText w:val="%1.%2.%3.%4.%5.%6"/>
      <w:lvlJc w:val="left"/>
      <w:pPr>
        <w:ind w:hanging="1080" w:left="1080"/>
      </w:pPr>
      <w:rPr>
        <w:rFonts w:hint="default"/>
      </w:rPr>
    </w:lvl>
    <w:lvl w:ilvl="6">
      <w:start w:val="1"/>
      <w:numFmt w:val="decimal"/>
      <w:suff w:val="tab"/>
      <w:lvlText w:val="%1.%2.%3.%4.%5.%6.%7"/>
      <w:lvlJc w:val="left"/>
      <w:pPr>
        <w:ind w:hanging="1440" w:left="1440"/>
      </w:pPr>
      <w:rPr>
        <w:rFonts w:hint="default"/>
      </w:rPr>
    </w:lvl>
    <w:lvl w:ilvl="7">
      <w:start w:val="1"/>
      <w:numFmt w:val="decimal"/>
      <w:suff w:val="tab"/>
      <w:lvlText w:val="%1.%2.%3.%4.%5.%6.%7.%8"/>
      <w:lvlJc w:val="left"/>
      <w:pPr>
        <w:ind w:hanging="1440" w:left="1440"/>
      </w:pPr>
      <w:rPr>
        <w:rFonts w:hint="default"/>
      </w:rPr>
    </w:lvl>
    <w:lvl w:ilvl="8">
      <w:start w:val="1"/>
      <w:numFmt w:val="decimal"/>
      <w:suff w:val="tab"/>
      <w:lvlText w:val="%1.%2.%3.%4.%5.%6.%7.%8.%9"/>
      <w:lvlJc w:val="left"/>
      <w:pPr>
        <w:ind w:hanging="1800" w:left="1800"/>
      </w:pPr>
      <w:rPr>
        <w:rFonts w:hint="default"/>
      </w:rPr>
    </w:lvl>
  </w:abstractNum>
  <w:abstractNum w:abstractNumId="15">
    <w:nsid w:val="7EC9488A"/>
    <w:multiLevelType w:val="multilevel"/>
    <w:lvl w:ilvl="0">
      <w:start w:val="2"/>
      <w:numFmt w:val="decimal"/>
      <w:suff w:val="tab"/>
      <w:lvlText w:val="%1"/>
      <w:lvlJc w:val="left"/>
      <w:pPr>
        <w:ind w:hanging="360" w:left="360"/>
      </w:pPr>
      <w:rPr>
        <w:rFonts w:hint="default"/>
      </w:rPr>
    </w:lvl>
    <w:lvl w:ilvl="1">
      <w:start w:val="5"/>
      <w:numFmt w:val="decimal"/>
      <w:suff w:val="tab"/>
      <w:lvlText w:val="%1.%2"/>
      <w:lvlJc w:val="left"/>
      <w:pPr>
        <w:ind w:hanging="360" w:left="360"/>
      </w:pPr>
      <w:rPr>
        <w:rFonts w:hint="default"/>
      </w:rPr>
    </w:lvl>
    <w:lvl w:ilvl="2">
      <w:start w:val="1"/>
      <w:numFmt w:val="decimal"/>
      <w:suff w:val="tab"/>
      <w:lvlText w:val="%1.%2.%3"/>
      <w:lvlJc w:val="left"/>
      <w:pPr>
        <w:ind w:hanging="720" w:left="720"/>
      </w:pPr>
      <w:rPr>
        <w:rFonts w:hint="default"/>
      </w:rPr>
    </w:lvl>
    <w:lvl w:ilvl="3">
      <w:start w:val="1"/>
      <w:numFmt w:val="decimal"/>
      <w:suff w:val="tab"/>
      <w:lvlText w:val="%1.%2.%3.%4"/>
      <w:lvlJc w:val="left"/>
      <w:pPr>
        <w:ind w:hanging="720" w:left="720"/>
      </w:pPr>
      <w:rPr>
        <w:rFonts w:hint="default"/>
      </w:rPr>
    </w:lvl>
    <w:lvl w:ilvl="4">
      <w:start w:val="1"/>
      <w:numFmt w:val="decimal"/>
      <w:suff w:val="tab"/>
      <w:lvlText w:val="%1.%2.%3.%4.%5"/>
      <w:lvlJc w:val="left"/>
      <w:pPr>
        <w:ind w:hanging="1080" w:left="1080"/>
      </w:pPr>
      <w:rPr>
        <w:rFonts w:hint="default"/>
      </w:rPr>
    </w:lvl>
    <w:lvl w:ilvl="5">
      <w:start w:val="1"/>
      <w:numFmt w:val="decimal"/>
      <w:suff w:val="tab"/>
      <w:lvlText w:val="%1.%2.%3.%4.%5.%6"/>
      <w:lvlJc w:val="left"/>
      <w:pPr>
        <w:ind w:hanging="1440" w:left="1440"/>
      </w:pPr>
      <w:rPr>
        <w:rFonts w:hint="default"/>
      </w:rPr>
    </w:lvl>
    <w:lvl w:ilvl="6">
      <w:start w:val="1"/>
      <w:numFmt w:val="decimal"/>
      <w:suff w:val="tab"/>
      <w:lvlText w:val="%1.%2.%3.%4.%5.%6.%7"/>
      <w:lvlJc w:val="left"/>
      <w:pPr>
        <w:ind w:hanging="1440" w:left="1440"/>
      </w:pPr>
      <w:rPr>
        <w:rFonts w:hint="default"/>
      </w:rPr>
    </w:lvl>
    <w:lvl w:ilvl="7">
      <w:start w:val="1"/>
      <w:numFmt w:val="decimal"/>
      <w:suff w:val="tab"/>
      <w:lvlText w:val="%1.%2.%3.%4.%5.%6.%7.%8"/>
      <w:lvlJc w:val="left"/>
      <w:pPr>
        <w:ind w:hanging="1800" w:left="1800"/>
      </w:pPr>
      <w:rPr>
        <w:rFonts w:hint="default"/>
      </w:rPr>
    </w:lvl>
    <w:lvl w:ilvl="8">
      <w:start w:val="1"/>
      <w:numFmt w:val="decimal"/>
      <w:suff w:val="tab"/>
      <w:lvlText w:val="%1.%2.%3.%4.%5.%6.%7.%8.%9"/>
      <w:lvlJc w:val="left"/>
      <w:pPr>
        <w:ind w:hanging="1800" w:left="1800"/>
      </w:pPr>
      <w:rPr>
        <w:rFonts w:hint="default"/>
      </w:rPr>
    </w:lvl>
  </w:abstractNum>
  <w:num w:numId="1">
    <w:abstractNumId w:val="8"/>
  </w:num>
  <w:num w:numId="2">
    <w:abstractNumId w:val="11"/>
  </w:num>
  <w:num w:numId="3">
    <w:abstractNumId w:val="3"/>
  </w:num>
  <w:num w:numId="4">
    <w:abstractNumId w:val="1"/>
  </w:num>
  <w:num w:numId="5">
    <w:abstractNumId w:val="13"/>
  </w:num>
  <w:num w:numId="6">
    <w:abstractNumId w:val="5"/>
  </w:num>
  <w:num w:numId="7">
    <w:abstractNumId w:val="10"/>
  </w:num>
  <w:num w:numId="8">
    <w:abstractNumId w:val="2"/>
  </w:num>
  <w:num w:numId="9">
    <w:abstractNumId w:val="7"/>
  </w:num>
  <w:num w:numId="10">
    <w:abstractNumId w:val="15"/>
  </w:num>
  <w:num w:numId="11">
    <w:abstractNumId w:val="9"/>
  </w:num>
  <w:num w:numId="12">
    <w:abstractNumId w:val="6"/>
  </w:num>
  <w:num w:numId="13">
    <w:abstractNumId w:val="4"/>
  </w:num>
  <w:num w:numId="14">
    <w:abstractNumId w:val="12"/>
  </w:num>
  <w:num w:numId="15">
    <w:abstractNumId w:val="0"/>
  </w:num>
  <w:num w:numId="16">
    <w:abstractNumId w:val="14"/>
  </w:num>
</w:numbering>
</file>

<file path=word/settings.xml><?xml version="1.0" encoding="utf-8"?>
<w:settings xmlns:w="http://schemas.openxmlformats.org/wordprocessingml/2006/main">
  <w:displayBackgroundShape w:val="0"/>
  <w:defaultTabStop w:val="720"/>
  <w:autoHyphenation w:val="0"/>
  <w:evenAndOddHeaders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clrSchemeMapping w:bg1="light1" w:t1="dark1" w:bg2="light2" w:t2="dark2" w:accent1="accent1" w:accent2="accent2" w:accent3="accent3" w:accent4="accent4" w:accent5="accent5" w:accent6="accent6" w:hyperlink="hyperlink" w:followedHyperlink="followedHyperlink"/>
  <w:footnotePr>
    <w:footnote w:id="-1"/>
    <w:footnote w:id="0"/>
  </w:footnotePr>
  <w:endnotePr>
    <w:endnote w:id="-1"/>
    <w:endnote w:id="0"/>
  </w:endnotePr>
</w:settings>
</file>

<file path=word/styles.xml><?xml version="1.0" encoding="utf-8"?>
<w:styles xmlns:w="http://schemas.openxmlformats.org/wordprocessingml/2006/main">
  <w:docDefaults>
    <w:rPrDefault>
      <w:rPr>
        <w:rFonts w:ascii="Calibri" w:hAnsi="Calibri" w:cs="Calibri" w:eastAsia="Calibri"/>
        <w:sz w:val="22"/>
        <w:szCs w:val="22"/>
        <w:lang w:val="en-IN" w:bidi="ar-SA" w:eastAsia="en-US"/>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qFormat/>
    <w:pPr/>
    <w:rPr/>
  </w:style>
  <w:style w:type="paragraph" w:styleId="P1">
    <w:name w:val="Heading 1"/>
    <w:basedOn w:val="P0"/>
    <w:next w:val="P0"/>
    <w:qFormat/>
    <w:pPr>
      <w:widowControl w:val="0"/>
      <w:spacing w:before="60" w:beforeAutospacing="0" w:afterAutospacing="0"/>
      <w:ind w:left="360"/>
      <w:outlineLvl w:val="0"/>
    </w:pPr>
    <w:rPr>
      <w:rFonts w:ascii="Times New Roman" w:hAnsi="Times New Roman" w:cs="Times New Roman" w:eastAsia="Times New Roman"/>
      <w:b w:val="1"/>
      <w:bCs w:val="1"/>
      <w:sz w:val="28"/>
      <w:szCs w:val="28"/>
    </w:rPr>
  </w:style>
  <w:style w:type="paragraph" w:styleId="P2">
    <w:name w:val="Heading 2"/>
    <w:basedOn w:val="P0"/>
    <w:next w:val="P0"/>
    <w:qFormat/>
    <w:pPr>
      <w:widowControl w:val="0"/>
      <w:spacing w:before="3" w:beforeAutospacing="0" w:afterAutospacing="0"/>
      <w:ind w:hanging="387" w:left="747"/>
      <w:jc w:val="both"/>
      <w:outlineLvl w:val="1"/>
    </w:pPr>
    <w:rPr>
      <w:rFonts w:ascii="Times New Roman" w:hAnsi="Times New Roman" w:cs="Times New Roman" w:eastAsia="Times New Roman"/>
      <w:b w:val="1"/>
      <w:bCs w:val="1"/>
      <w:sz w:val="26"/>
      <w:szCs w:val="26"/>
    </w:rPr>
  </w:style>
  <w:style w:type="paragraph" w:styleId="P3">
    <w:name w:val="Heading 3"/>
    <w:basedOn w:val="P0"/>
    <w:next w:val="P0"/>
    <w:qFormat/>
    <w:pPr>
      <w:keepNext w:val="1"/>
      <w:keepLines w:val="1"/>
      <w:spacing w:before="280" w:after="80" w:beforeAutospacing="0" w:afterAutospacing="0"/>
      <w:outlineLvl w:val="2"/>
    </w:pPr>
    <w:rPr>
      <w:b w:val="1"/>
      <w:bCs w:val="1"/>
      <w:sz w:val="28"/>
      <w:szCs w:val="28"/>
    </w:rPr>
  </w:style>
  <w:style w:type="paragraph" w:styleId="P4">
    <w:name w:val="Heading 4"/>
    <w:basedOn w:val="P2"/>
    <w:next w:val="P0"/>
    <w:qFormat/>
    <w:pPr>
      <w:tabs>
        <w:tab w:val="left" w:pos="747" w:leader="none"/>
      </w:tabs>
      <w:spacing w:lineRule="auto" w:line="360" w:before="162" w:beforeAutospacing="0" w:afterAutospacing="0"/>
      <w:ind w:firstLine="0" w:left="0"/>
      <w:jc w:val="center"/>
      <w:outlineLvl w:val="3"/>
    </w:pPr>
    <w:rPr>
      <w:sz w:val="24"/>
      <w:szCs w:val="24"/>
    </w:rPr>
  </w:style>
  <w:style w:type="paragraph" w:styleId="P5">
    <w:name w:val="Heading 5"/>
    <w:basedOn w:val="P0"/>
    <w:next w:val="P0"/>
    <w:semiHidden/>
    <w:qFormat/>
    <w:pPr>
      <w:keepNext w:val="1"/>
      <w:keepLines w:val="1"/>
      <w:spacing w:before="220" w:after="40" w:beforeAutospacing="0" w:afterAutospacing="0"/>
      <w:outlineLvl w:val="4"/>
    </w:pPr>
    <w:rPr>
      <w:b w:val="1"/>
      <w:bCs w:val="1"/>
    </w:rPr>
  </w:style>
  <w:style w:type="paragraph" w:styleId="P6">
    <w:name w:val="Heading 6"/>
    <w:basedOn w:val="P0"/>
    <w:next w:val="P0"/>
    <w:semiHidden/>
    <w:qFormat/>
    <w:pPr>
      <w:keepNext w:val="1"/>
      <w:keepLines w:val="1"/>
      <w:spacing w:before="200" w:after="40" w:beforeAutospacing="0" w:afterAutospacing="0"/>
      <w:outlineLvl w:val="5"/>
    </w:pPr>
    <w:rPr>
      <w:b w:val="1"/>
      <w:bCs w:val="1"/>
      <w:sz w:val="20"/>
      <w:szCs w:val="20"/>
    </w:rPr>
  </w:style>
  <w:style w:type="paragraph" w:styleId="P7">
    <w:name w:val="Title"/>
    <w:basedOn w:val="P0"/>
    <w:next w:val="P0"/>
    <w:qFormat/>
    <w:pPr>
      <w:widowControl w:val="0"/>
      <w:ind w:hanging="1510" w:left="2037"/>
    </w:pPr>
    <w:rPr>
      <w:rFonts w:ascii="Times New Roman" w:hAnsi="Times New Roman" w:cs="Times New Roman" w:eastAsia="Times New Roman"/>
      <w:b w:val="1"/>
      <w:bCs w:val="1"/>
      <w:sz w:val="32"/>
      <w:szCs w:val="32"/>
    </w:rPr>
  </w:style>
  <w:style w:type="paragraph" w:styleId="P8">
    <w:name w:val="Subtitle"/>
    <w:basedOn w:val="P0"/>
    <w:next w:val="P0"/>
    <w:qFormat/>
    <w:pPr>
      <w:keepNext w:val="1"/>
      <w:keepLines w:val="1"/>
      <w:spacing w:before="360" w:after="80" w:beforeAutospacing="0" w:afterAutospacing="0"/>
    </w:pPr>
    <w:rPr>
      <w:rFonts w:ascii="Georgia" w:hAnsi="Georgia" w:cs="Georgia" w:eastAsia="Georgia"/>
      <w:i w:val="1"/>
      <w:iCs w:val="1"/>
      <w:color w:val="666666"/>
      <w:sz w:val="48"/>
      <w:szCs w:val="48"/>
    </w:rPr>
  </w:style>
  <w:style w:type="paragraph" w:styleId="P9">
    <w:name w:val="Header"/>
    <w:basedOn w:val="P0"/>
    <w:link w:val="C3"/>
    <w:pPr>
      <w:tabs>
        <w:tab w:val="center" w:pos="4680" w:leader="none"/>
        <w:tab w:val="right" w:pos="9360" w:leader="none"/>
      </w:tabs>
    </w:pPr>
    <w:rPr/>
  </w:style>
  <w:style w:type="paragraph" w:styleId="P10">
    <w:name w:val="Footer"/>
    <w:basedOn w:val="P0"/>
    <w:link w:val="C4"/>
    <w:pPr>
      <w:tabs>
        <w:tab w:val="center" w:pos="4680" w:leader="none"/>
        <w:tab w:val="right" w:pos="9360" w:leader="none"/>
      </w:tabs>
    </w:pPr>
    <w:rPr/>
  </w:style>
  <w:style w:type="paragraph" w:styleId="P11">
    <w:name w:val="Table of Figures"/>
    <w:basedOn w:val="P0"/>
    <w:next w:val="P0"/>
    <w:pPr>
      <w:jc w:val="both"/>
    </w:pPr>
    <w:rPr>
      <w:rFonts w:ascii="Times New Roman" w:hAnsi="Times New Roman"/>
      <w:sz w:val="24"/>
    </w:rPr>
  </w:style>
  <w:style w:type="paragraph" w:styleId="P12">
    <w:name w:val="List Paragraph"/>
    <w:basedOn w:val="P0"/>
    <w:qFormat/>
    <w:pPr>
      <w:ind w:left="720"/>
      <w:contextualSpacing w:val="1"/>
    </w:pPr>
    <w:rPr>
      <w:rFonts w:asciiTheme="minorHAnsi" w:hAnsiTheme="minorHAnsi" w:cstheme="minorBidi" w:eastAsiaTheme="minorEastAsia"/>
      <w:lang w:eastAsia="en-IN"/>
    </w:rPr>
  </w:style>
  <w:style w:type="paragraph" w:styleId="P13">
    <w:name w:val="Revision"/>
    <w:hidden/>
    <w:semiHidden/>
    <w:pPr/>
    <w:rPr/>
  </w:style>
  <w:style w:type="paragraph" w:styleId="P14">
    <w:name w:val="TOC 1"/>
    <w:basedOn w:val="P0"/>
    <w:next w:val="P0"/>
    <w:pPr>
      <w:spacing w:after="100" w:beforeAutospacing="0" w:afterAutospacing="0"/>
    </w:pPr>
    <w:rPr/>
  </w:style>
  <w:style w:type="paragraph" w:styleId="P15">
    <w:name w:val="TOC 2"/>
    <w:basedOn w:val="P0"/>
    <w:next w:val="P0"/>
    <w:pPr>
      <w:spacing w:after="100" w:beforeAutospacing="0" w:afterAutospacing="0"/>
      <w:ind w:left="220"/>
    </w:pPr>
    <w:rPr/>
  </w:style>
  <w:style w:type="paragraph" w:styleId="P16">
    <w:name w:val="Normal (Web)"/>
    <w:basedOn w:val="P0"/>
    <w:semiHidden/>
    <w:pPr/>
    <w:rPr>
      <w:rFonts w:ascii="Times New Roman" w:hAnsi="Times New Roman" w:cs="Times New Roman"/>
      <w:sz w:val="24"/>
      <w:szCs w:val="24"/>
    </w:rPr>
  </w:style>
  <w:style w:type="paragraph" w:styleId="P17">
    <w:name w:val="annotation text"/>
    <w:basedOn w:val="P0"/>
    <w:link w:val="C6"/>
    <w:pPr/>
    <w:rPr>
      <w:sz w:val="20"/>
      <w:szCs w:val="20"/>
    </w:rPr>
  </w:style>
  <w:style w:type="paragraph" w:styleId="P18">
    <w:name w:val="annotation subject"/>
    <w:basedOn w:val="P17"/>
    <w:next w:val="P17"/>
    <w:link w:val="C7"/>
    <w:semiHidden/>
    <w:pPr/>
    <w:rPr>
      <w:b w:val="1"/>
      <w:bCs w:val="1"/>
    </w:rPr>
  </w:style>
  <w:style w:type="paragraph" w:styleId="P19">
    <w:name w:val="Balloon Text"/>
    <w:basedOn w:val="P0"/>
    <w:link w:val="C9"/>
    <w:semiHidden/>
    <w:pPr/>
    <w:rPr>
      <w:rFonts w:ascii="Tahoma" w:hAnsi="Tahoma" w:cs="Tahoma"/>
      <w:sz w:val="16"/>
      <w:szCs w:val="16"/>
    </w:rPr>
  </w:style>
  <w:style w:type="paragraph" w:styleId="P20">
    <w:name w:val="TOC 3"/>
    <w:basedOn w:val="P0"/>
    <w:next w:val="P0"/>
    <w:pPr>
      <w:spacing w:after="100" w:beforeAutospacing="0" w:afterAutospacing="0"/>
      <w:ind w:left="440"/>
    </w:pPr>
    <w:rPr/>
  </w:style>
  <w:style w:type="paragraph" w:styleId="P21">
    <w:name w:val="Footnote Text"/>
    <w:link w:val="C11"/>
    <w:semiHidden/>
    <w:pPr>
      <w:spacing w:lineRule="auto" w:line="240" w:after="0" w:beforeAutospacing="0" w:afterAutospacing="0"/>
    </w:pPr>
    <w:rPr>
      <w:sz w:val="20"/>
      <w:szCs w:val="20"/>
    </w:rPr>
  </w:style>
  <w:style w:type="paragraph" w:styleId="P22">
    <w:name w:val="Endnote Text"/>
    <w:link w:val="C13"/>
    <w:semiHidden/>
    <w:pPr>
      <w:spacing w:lineRule="auto" w:line="240" w:after="0" w:beforeAutospacing="0" w:afterAutospacing="0"/>
    </w:pPr>
    <w:rPr>
      <w:sz w:val="20"/>
      <w:szCs w:val="20"/>
    </w:rPr>
  </w:style>
  <w:style w:type="character" w:styleId="C0" w:default="1">
    <w:name w:val="Default Paragraph Font"/>
    <w:semiHidden/>
    <w:rPr/>
  </w:style>
  <w:style w:type="character" w:styleId="C1">
    <w:name w:val="Line Number"/>
    <w:basedOn w:val="C0"/>
    <w:semiHidden/>
    <w:rPr/>
  </w:style>
  <w:style w:type="character" w:styleId="C2">
    <w:name w:val="Hyperlink"/>
    <w:basedOn w:val="C0"/>
    <w:rPr>
      <w:color w:val="0000FF" w:themeColor="hyperlink"/>
      <w:u w:val="single"/>
    </w:rPr>
  </w:style>
  <w:style w:type="character" w:styleId="C3">
    <w:name w:val="Header Char"/>
    <w:basedOn w:val="C0"/>
    <w:link w:val="P9"/>
    <w:rPr/>
  </w:style>
  <w:style w:type="character" w:styleId="C4">
    <w:name w:val="Footer Char"/>
    <w:basedOn w:val="C0"/>
    <w:link w:val="P10"/>
    <w:rPr/>
  </w:style>
  <w:style w:type="character" w:styleId="C5">
    <w:name w:val="annotation reference"/>
    <w:basedOn w:val="C0"/>
    <w:semiHidden/>
    <w:rPr>
      <w:sz w:val="16"/>
      <w:szCs w:val="16"/>
    </w:rPr>
  </w:style>
  <w:style w:type="character" w:styleId="C6">
    <w:name w:val="Comment Text Char"/>
    <w:basedOn w:val="C0"/>
    <w:link w:val="P17"/>
    <w:rPr>
      <w:sz w:val="20"/>
      <w:szCs w:val="20"/>
    </w:rPr>
  </w:style>
  <w:style w:type="character" w:styleId="C7">
    <w:name w:val="Comment Subject Char"/>
    <w:basedOn w:val="C6"/>
    <w:link w:val="P18"/>
    <w:semiHidden/>
    <w:rPr>
      <w:b w:val="1"/>
      <w:bCs w:val="1"/>
      <w:sz w:val="20"/>
      <w:szCs w:val="20"/>
    </w:rPr>
  </w:style>
  <w:style w:type="character" w:styleId="C8">
    <w:name w:val="Unresolved Mention1"/>
    <w:basedOn w:val="C0"/>
    <w:semiHidden/>
    <w:rPr>
      <w:color w:val="605E5C"/>
      <w:shd w:val="clear" w:color="auto" w:fill="E1DFDD"/>
    </w:rPr>
  </w:style>
  <w:style w:type="character" w:styleId="C9">
    <w:name w:val="Balloon Text Char"/>
    <w:basedOn w:val="C0"/>
    <w:link w:val="P19"/>
    <w:semiHidden/>
    <w:rPr>
      <w:rFonts w:ascii="Tahoma" w:hAnsi="Tahoma" w:cs="Tahoma"/>
      <w:sz w:val="16"/>
      <w:szCs w:val="16"/>
    </w:rPr>
  </w:style>
  <w:style w:type="character" w:styleId="C10">
    <w:name w:val="Footnote Reference"/>
    <w:semiHidden/>
    <w:rPr>
      <w:vertAlign w:val="superscript"/>
    </w:rPr>
  </w:style>
  <w:style w:type="character" w:styleId="C11">
    <w:name w:val="Footnote Text Char"/>
    <w:link w:val="P21"/>
    <w:semiHidden/>
    <w:rPr>
      <w:sz w:val="20"/>
      <w:szCs w:val="20"/>
    </w:rPr>
  </w:style>
  <w:style w:type="character" w:styleId="C12">
    <w:name w:val="Endnote Reference"/>
    <w:semiHidden/>
    <w:rPr>
      <w:vertAlign w:val="superscript"/>
    </w:rPr>
  </w:style>
  <w:style w:type="character" w:styleId="C13">
    <w:name w:val="Endnote Text Char"/>
    <w:link w:val="P22"/>
    <w:semiHidden/>
    <w:rPr>
      <w:sz w:val="20"/>
      <w:szCs w:val="20"/>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Normal"/>
    <w:tblPr>
      <w:tblCellMar>
        <w:top w:w="100" w:type="dxa"/>
        <w:left w:w="100" w:type="dxa"/>
        <w:bottom w:w="100" w:type="dxa"/>
        <w:right w:w="100" w:type="dxa"/>
      </w:tblCellMar>
    </w:tblPr>
    <w:trPr/>
    <w:tcPr/>
  </w:style>
  <w:style w:type="numbering" w:styleId="N0">
    <w:name w:val="No List"/>
  </w:style>
</w:styles>
</file>

<file path=word/_rels/document.xml.rels>&#65279;<?xml version="1.0" encoding="utf-8"?><Relationships xmlns="http://schemas.openxmlformats.org/package/2006/relationships"><Relationship Id="Relimage1" Type="http://schemas.openxmlformats.org/officeDocument/2006/relationships/image" Target="/media/image1.jpg" /><Relationship Id="Relimage2" Type="http://schemas.openxmlformats.org/officeDocument/2006/relationships/image" Target="/media/image2.png" /><Relationship Id="Relimage3" Type="http://schemas.openxmlformats.org/officeDocument/2006/relationships/image" Target="/media/image3.png" /><Relationship Id="Relimage4" Type="http://schemas.openxmlformats.org/officeDocument/2006/relationships/image" Target="/media/image4.png" /><Relationship Id="Relimage5" Type="http://schemas.openxmlformats.org/officeDocument/2006/relationships/image" Target="/media/image5.png" /><Relationship Id="Relimage6" Type="http://schemas.openxmlformats.org/officeDocument/2006/relationships/image" Target="/media/image6.png" /><Relationship Id="Relimage7" Type="http://schemas.openxmlformats.org/officeDocument/2006/relationships/image" Target="/media/image7.png" /><Relationship Id="Relimage8" Type="http://schemas.openxmlformats.org/officeDocument/2006/relationships/image" Target="/media/image8.jpg" /><Relationship Id="Relimage9" Type="http://schemas.openxmlformats.org/officeDocument/2006/relationships/image" Target="/media/image9.jpg" /><Relationship Id="Relimage10" Type="http://schemas.openxmlformats.org/officeDocument/2006/relationships/image" Target="/media/image10.png" /><Relationship Id="R2" Type="http://schemas.openxmlformats.org/officeDocument/2006/relationships/hyperlink" Target="https://doi.org/10.33003/fjorae.2025.0201.04" TargetMode="External" /><Relationship Id="R3" Type="http://schemas.openxmlformats.org/officeDocument/2006/relationships/hyperlink" Target="https://doi.org/10.1002/aepp.13378" TargetMode="External" /><Relationship Id="R4" Type="http://schemas.openxmlformats.org/officeDocument/2006/relationships/hyperlink" Target="https://doi.org/10.1016/j.resglo.2023.100125" TargetMode="External" /><Relationship Id="R5" Type="http://schemas.openxmlformats.org/officeDocument/2006/relationships/hyperlink" Target="https://www.investopedia.com/terms/c/consumerpriceindex.asp" TargetMode="External" /><Relationship Id="R6" Type="http://schemas.openxmlformats.org/officeDocument/2006/relationships/hyperlink" Target="https://doi.org/10.47203/IJCH.2023.v35i04.020" TargetMode="External" /><Relationship Id="R7" Type="http://schemas.openxmlformats.org/officeDocument/2006/relationships/hyperlink" Target="https://doi.org/10.1038/s41560-023-01209-8" TargetMode="External" /><Relationship Id="R8" Type="http://schemas.openxmlformats.org/officeDocument/2006/relationships/hyperlink" Target="https://doi.org/10.1111/ehr.13236" TargetMode="External" /><Relationship Id="R9" Type="http://schemas.openxmlformats.org/officeDocument/2006/relationships/hyperlink" Target="https://doi.org/10.1016/j.ijforecast.2020.08.004" TargetMode="External" /><Relationship Id="RA" Type="http://schemas.openxmlformats.org/officeDocument/2006/relationships/hyperlink" Target="https://doi.org/10.3390/su14042149" TargetMode="External" /><Relationship Id="RB" Type="http://schemas.openxmlformats.org/officeDocument/2006/relationships/hyperlink" Target="https://www.rte.ie/documents/news/2022/02/centralbank.pdf" TargetMode="External" /><Relationship Id="RC" Type="http://schemas.openxmlformats.org/officeDocument/2006/relationships/hyperlink" Target="https://doi.org/10.33005/jasf.v7i1.476" TargetMode="External" /><Relationship Id="RD" Type="http://schemas.openxmlformats.org/officeDocument/2006/relationships/hyperlink" Target="https://eprint.innovativepublication.org/id/eprint/84/" TargetMode="External" /><Relationship Id="RE" Type="http://schemas.openxmlformats.org/officeDocument/2006/relationships/hyperlink" Target="https://books.google.co.in/books?hl=en&amp;lr=&amp;id=graaEQAAQBAJ&amp;oi=fnd&amp;pg=PA203&amp;dq=models+with+future+data+available+after+2020+and+with+several+inflation+cycles+to+learn+and+enhance+their+strength&amp;ots=nsrlYkhUVK&amp;sig=3osh4XIYvuFnlWLnnKXg_MVRHmk&amp;redir_esc=y" TargetMode="External" /><Relationship Id="RF" Type="http://schemas.openxmlformats.org/officeDocument/2006/relationships/hyperlink" Target="https://doi.org/10.1007/s10198-021-01371-4" TargetMode="External" /><Relationship Id="R10" Type="http://schemas.openxmlformats.org/officeDocument/2006/relationships/hyperlink" Target="https://doi.org/10.1787/28f9e02c-en" TargetMode="External" /><Relationship Id="R11" Type="http://schemas.openxmlformats.org/officeDocument/2006/relationships/hyperlink" Target="https://muse.jhu.edu/pub/1/article/943913/summary" TargetMode="External" /><Relationship Id="R12" Type="http://schemas.openxmlformats.org/officeDocument/2006/relationships/hyperlink" Target="https://www.globalbankingandfinance.com/the-persistent-shadow-of-inflation-in-2025-navigating-economic-challenges/" TargetMode="External" /><Relationship Id="RelHdr1" Type="http://schemas.openxmlformats.org/officeDocument/2006/relationships/header" Target="header1.xml" /><Relationship Id="RelFnt1" Type="http://schemas.openxmlformats.org/officeDocument/2006/relationships/footnotes" Target="footnotes.xml" /><Relationship Id="RelEnt1" Type="http://schemas.openxmlformats.org/officeDocument/2006/relationships/endnotes" Target="endnotes.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RelItem1" Type="http://schemas.openxmlformats.org/officeDocument/2006/relationships/customXml" Target="../customXml/item1.xml" /></Relationships>
</file>

<file path=word/_rels/endnotes.xml.rels>&#65279;<?xml version="1.0" encoding="utf-8"?><Relationships xmlns="http://schemas.openxmlformats.org/package/2006/relationships" />
</file>

<file path=word/_rels/footnotes.xml.rels>&#65279;<?xml version="1.0" encoding="utf-8"?><Relationships xmlns="http://schemas.openxmlformats.org/package/2006/relationships" />
</file>

<file path=word/_rels/header1.xml.rels>&#65279;<?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tint val="100000"/>
                <a:shade val="100000"/>
                <a:satMod val="130000"/>
              </a:schemeClr>
            </a:gs>
            <a:gs pos="100000">
              <a:schemeClr val="phClr">
                <a:tint val="50000"/>
                <a:shade val="100000"/>
                <a:satMod val="350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87dd0e-af49-4b7b-8a91-4db1a66bc422}">
  <ds:schemaRefs>
    <ds:schemaRef ds:uri="http://schemas.microsoft.com/vsto/samples"/>
  </ds:schemaRefs>
</ds:datastoreItem>
</file>

<file path=docProps/app.xml><?xml version="1.0" encoding="utf-8"?>
<Properties xmlns="http://schemas.openxmlformats.org/officeDocument/2006/extended-properties">
  <Application>DevExpress Office File API/22.1.4.0</Application>
  <AppVersion>22.1</AppVersion>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Vikash</dc:creator>
  <dcterms:created xsi:type="dcterms:W3CDTF">2026-01-07T01:45:00Z</dcterms:created>
  <cp:lastModifiedBy>Alan Sha</cp:lastModifiedBy>
  <dcterms:modified xsi:type="dcterms:W3CDTF">2026-01-07T01:45:00Z</dcterms:modified>
  <cp:revision>2</cp:revision>
</cp:coreProperties>
</file>