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0"/>
        <w:jc w:val="center"/>
      </w:pPr>
      <w:r>
        <w:drawing>
          <wp:inline distT="0" distB="0" distL="0" distR="0">
            <wp:extent cx="31432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924050"/>
                    </a:xfrm>
                    <a:prstGeom prst="rect">
                      <a:avLst/>
                    </a:prstGeom>
                  </pic:spPr>
                </pic:pic>
              </a:graphicData>
            </a:graphic>
          </wp:inline>
        </w:drawing>
      </w:r>
    </w:p>
    <w:p>
      <w:pPr>
        <w:spacing w:after="120"/>
        <w:jc w:val="center"/>
      </w:pPr>
      <w:r>
        <w:rPr>
          <w:rFonts w:ascii="Poppins" w:cs="Poppins" w:eastAsia="Poppins" w:hAnsi="Poppins"/>
          <w:b/>
          <w:bCs/>
          <w:color w:val="1E2230"/>
          <w:sz w:val="64"/>
          <w:szCs w:val="64"/>
        </w:rPr>
        <w:t xml:space="preserve">Guía de marca</w:t>
      </w:r>
    </w:p>
    <w:p>
      <w:pPr>
        <w:spacing w:after="1600"/>
        <w:jc w:val="center"/>
      </w:pPr>
      <w:r>
        <w:rPr>
          <w:color w:val="5B6170"/>
          <w:sz w:val="26"/>
          <w:szCs w:val="26"/>
        </w:rPr>
        <w:t xml:space="preserve">Logo, color, tipografía, voz y aplicaciones</w:t>
      </w:r>
    </w:p>
    <w:p>
      <w:pPr>
        <w:pBdr>
          <w:top w:val="single" w:color="FF6A1A" w:sz="24" w:space="12"/>
        </w:pBdr>
        <w:jc w:val="center"/>
      </w:pPr>
      <w:r>
        <w:rPr>
          <w:color w:val="5B6170"/>
          <w:sz w:val="20"/>
          <w:szCs w:val="20"/>
        </w:rPr>
        <w:t xml:space="preserve">Versión 1.0 · Octubre 2026</w:t>
      </w:r>
    </w:p>
    <w:p>
      <w:pPr>
        <w:sectPr>
          <w:pgSz w:w="11906" w:h="16838" w:orient="portrait"/>
          <w:pgMar w:top="1134" w:right="1134" w:bottom="1134" w:left="1134" w:header="708" w:footer="708" w:gutter="0"/>
          <w:pgNumType/>
          <w:docGrid w:linePitch="360"/>
        </w:sectPr>
      </w:pPr>
    </w:p>
    <w:p>
      <w:pPr>
        <w:pStyle w:val="Heading1"/>
      </w:pPr>
      <w:r>
        <w:t xml:space="preserve">1. Esencia de marca</w:t>
      </w:r>
    </w:p>
    <w:p>
      <w:pPr>
        <w:spacing w:after="140"/>
      </w:pPr>
      <w:r>
        <w:rPr>
          <w:color w:val="5B6170"/>
          <w:sz w:val="24"/>
          <w:szCs w:val="24"/>
        </w:rPr>
        <w:t xml:space="preserve">Puente Oriente conecta a pymes y emprendedores argentinos con fábricas de China: búsqueda de proveedor, negociación en origen, logística y nacionalización.</w:t>
      </w:r>
    </w:p>
    <w:p>
      <w:pPr>
        <w:spacing w:after="140"/>
      </w:pPr>
      <w:r>
        <w:t xml:space="preserve">La marca toma el lenguaje visual de los marketplaces B2B chinos (naranja intenso, mucho blanco, formas redondas, información densa y clara) y lo cruza con dos símbolos: la </w:t>
      </w:r>
      <w:r>
        <w:rPr>
          <w:b/>
          <w:bCs/>
        </w:rPr>
        <w:t xml:space="preserve">moneda china de agujero cuadrado</w:t>
      </w:r>
      <w:r>
        <w:t xml:space="preserve">, que representa el comercio, y el </w:t>
      </w:r>
      <w:r>
        <w:rPr>
          <w:b/>
          <w:bCs/>
        </w:rPr>
        <w:t xml:space="preserve">puente arqueado con pabellón</w:t>
      </w:r>
      <w:r>
        <w:t xml:space="preserve">, que representa la conexión entre los dos mercados.</w:t>
      </w:r>
    </w:p>
    <w:p>
      <w:pPr>
        <w:pStyle w:val="Heading2"/>
      </w:pPr>
      <w:r>
        <w:t xml:space="preserve">Plataforma de marca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Concepto</w:t>
            </w:r>
          </w:p>
        </w:tc>
        <w:tc>
          <w:tcPr>
            <w:tcW w:type="dxa" w:w="7238"/>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Definición</w:t>
            </w:r>
          </w:p>
        </w:tc>
      </w:tr>
      <w:tr>
        <w:tc>
          <w:tcPr>
            <w:tcW w:type="dxa" w:w="24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b/>
                <w:bCs/>
                <w:sz w:val="19"/>
                <w:szCs w:val="19"/>
              </w:rPr>
              <w:t xml:space="preserve">Promesa</w:t>
            </w:r>
          </w:p>
        </w:tc>
        <w:tc>
          <w:tcPr>
            <w:tcW w:type="dxa" w:w="7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Importar de China sin intermediarios ni sorpresas.</w:t>
            </w:r>
          </w:p>
        </w:tc>
      </w:tr>
      <w:tr>
        <w:tc>
          <w:tcPr>
            <w:tcW w:type="dxa" w:w="24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b/>
                <w:bCs/>
                <w:sz w:val="19"/>
                <w:szCs w:val="19"/>
              </w:rPr>
              <w:t xml:space="preserve">Misión</w:t>
            </w:r>
          </w:p>
        </w:tc>
        <w:tc>
          <w:tcPr>
            <w:tcW w:type="dxa" w:w="72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Que cualquier comercio argentino pueda traer mercadería propia de China con la misma tranquilidad que si comprara acá.</w:t>
            </w:r>
          </w:p>
        </w:tc>
      </w:tr>
      <w:tr>
        <w:tc>
          <w:tcPr>
            <w:tcW w:type="dxa" w:w="24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b/>
                <w:bCs/>
                <w:sz w:val="19"/>
                <w:szCs w:val="19"/>
              </w:rPr>
              <w:t xml:space="preserve">Personalidad</w:t>
            </w:r>
          </w:p>
        </w:tc>
        <w:tc>
          <w:tcPr>
            <w:tcW w:type="dxa" w:w="7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Confiable, directa, práctica y cercana. Sabe de comercio exterior y lo explica sin jerga.</w:t>
            </w:r>
          </w:p>
        </w:tc>
      </w:tr>
      <w:tr>
        <w:tc>
          <w:tcPr>
            <w:tcW w:type="dxa" w:w="24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b/>
                <w:bCs/>
                <w:sz w:val="19"/>
                <w:szCs w:val="19"/>
              </w:rPr>
              <w:t xml:space="preserve">Público</w:t>
            </w:r>
          </w:p>
        </w:tc>
        <w:tc>
          <w:tcPr>
            <w:tcW w:type="dxa" w:w="72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Dueños de pymes, comercios y emprendedores en Argentina que quieren importar, desde una caja hasta un contenedor.</w:t>
            </w:r>
          </w:p>
        </w:tc>
      </w:tr>
      <w:tr>
        <w:tc>
          <w:tcPr>
            <w:tcW w:type="dxa" w:w="24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b/>
                <w:bCs/>
                <w:sz w:val="19"/>
                <w:szCs w:val="19"/>
              </w:rPr>
              <w:t xml:space="preserve">Diferencial</w:t>
            </w:r>
          </w:p>
        </w:tc>
        <w:tc>
          <w:tcPr>
            <w:tcW w:type="dxa" w:w="7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Presencia y negociación en origen, precios claros en dólares y acompañamiento hasta que la mercadería está en el depósito del cliente.</w:t>
            </w:r>
          </w:p>
        </w:tc>
      </w:tr>
      <w:tr>
        <w:tc>
          <w:tcPr>
            <w:tcW w:type="dxa" w:w="24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b/>
                <w:bCs/>
                <w:sz w:val="19"/>
                <w:szCs w:val="19"/>
              </w:rPr>
              <w:t xml:space="preserve">Tagline</w:t>
            </w:r>
          </w:p>
        </w:tc>
        <w:tc>
          <w:tcPr>
            <w:tcW w:type="dxa" w:w="72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Tu puente directo con China.</w:t>
            </w:r>
          </w:p>
        </w:tc>
      </w:tr>
    </w:tbl>
    <w:p>
      <w:pPr>
        <w:spacing w:after="200"/>
      </w:pPr>
    </w:p>
    <w:p>
      <w:pPr>
        <w:pStyle w:val="Heading2"/>
      </w:pPr>
      <w:r>
        <w:t xml:space="preserve">Nombre</w:t>
      </w:r>
    </w:p>
    <w:p>
      <w:pPr>
        <w:pStyle w:val="ListParagraph"/>
        <w:numPr>
          <w:ilvl w:val="0"/>
          <w:numId w:val="2"/>
        </w:numPr>
        <w:spacing w:after="80"/>
      </w:pPr>
      <w:r>
        <w:t xml:space="preserve">En textos se escribe </w:t>
      </w:r>
      <w:r>
        <w:rPr>
          <w:b/>
          <w:bCs/>
        </w:rPr>
        <w:t xml:space="preserve">Puente Oriente</w:t>
      </w:r>
      <w:r>
        <w:t xml:space="preserve">, con mayúsculas iniciales. Solo dentro del logotipo va en minúsculas.</w:t>
      </w:r>
    </w:p>
    <w:p>
      <w:pPr>
        <w:pStyle w:val="ListParagraph"/>
        <w:numPr>
          <w:ilvl w:val="0"/>
          <w:numId w:val="2"/>
        </w:numPr>
        <w:spacing w:after="80"/>
      </w:pPr>
      <w:r>
        <w:t xml:space="preserve">Nunca "P. Oriente", "PO", "Puente de Oriente" ni "PuenteOriente".</w:t>
      </w:r>
    </w:p>
    <w:p>
      <w:pPr>
        <w:pStyle w:val="ListParagraph"/>
        <w:numPr>
          <w:ilvl w:val="0"/>
          <w:numId w:val="2"/>
        </w:numPr>
        <w:spacing w:after="80"/>
      </w:pPr>
      <w:r>
        <w:t xml:space="preserve">Nombre en chino: </w:t>
      </w:r>
      <w:r>
        <w:rPr>
          <w:rFonts w:ascii="Microsoft YaHei" w:eastAsia="Microsoft YaHei" w:hAnsi="Microsoft YaHei"/>
          <w:b/>
          <w:bCs/>
          <w:color w:val="C2410C"/>
        </w:rPr>
        <w:t xml:space="preserve">东方桥</w:t>
      </w:r>
      <w:r>
        <w:t xml:space="preserve"> (Dōngfāng Qiáo, "puente del Este"). Va en tarjetas, firmas y documentos para proveedores, siempre junto al nombre en español.</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FF6A1A" w:sz="24"/>
              <w:bottom w:val="none" w:color="FFFFFF" w:sz="0"/>
              <w:right w:val="none" w:color="FFFFFF" w:sz="0"/>
            </w:tcBorders>
            <w:shd w:fill="FFF3EB" w:color="auto" w:val="clear"/>
            <w:tcMar>
              <w:top w:type="dxa" w:w="160"/>
              <w:left w:type="dxa" w:w="220"/>
              <w:bottom w:type="dxa" w:w="160"/>
              <w:right w:type="dxa" w:w="220"/>
            </w:tcMar>
          </w:tcPr>
          <w:p>
            <w:pPr>
              <w:spacing w:after="0"/>
            </w:pPr>
            <w:r>
              <w:rPr>
                <w:b/>
                <w:bCs/>
              </w:rPr>
              <w:t xml:space="preserve">Antes de imprimir:</w:t>
            </w:r>
            <w:r>
              <w:t xml:space="preserve"> validá 东方桥 con tu agente de compras o con un proveedor chino de confianza. Es gratis y evita un error en piezas que van a ver justamente ellos.</w:t>
            </w:r>
          </w:p>
        </w:tc>
      </w:tr>
    </w:tbl>
    <w:p>
      <w:pPr>
        <w:pStyle w:val="Heading1"/>
        <w:pageBreakBefore/>
      </w:pPr>
      <w:r>
        <w:t xml:space="preserve">2. El logo</w:t>
      </w:r>
    </w:p>
    <w:p>
      <w:pPr>
        <w:pStyle w:val="Heading2"/>
      </w:pPr>
      <w:r>
        <w:t xml:space="preserve">Concepto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c>
          <w:tcPr>
            <w:tcW w:type="dxa" w:w="3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905000"/>
                          </a:xfrm>
                          <a:prstGeom prst="rect">
                            <a:avLst/>
                          </a:prstGeom>
                        </pic:spPr>
                      </pic:pic>
                    </a:graphicData>
                  </a:graphic>
                </wp:inline>
              </w:drawing>
            </w:r>
          </w:p>
        </w:tc>
        <w:tc>
          <w:tcPr>
            <w:tcW w:type="dxa" w:w="6238"/>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40"/>
            </w:pPr>
            <w:r>
              <w:t xml:space="preserve">El isotipo es una </w:t>
            </w:r>
            <w:r>
              <w:rPr>
                <w:b/>
                <w:bCs/>
              </w:rPr>
              <w:t xml:space="preserve">moneda china</w:t>
            </w:r>
            <w:r>
              <w:t xml:space="preserve">: disco naranja, aro interior blanco y agujero cuadrado en el centro.</w:t>
            </w:r>
          </w:p>
          <w:p>
            <w:pPr>
              <w:spacing w:after="140"/>
            </w:pPr>
            <w:r>
              <w:t xml:space="preserve">Ese cuadrado es a la vez el </w:t>
            </w:r>
            <w:r>
              <w:rPr>
                <w:b/>
                <w:bCs/>
              </w:rPr>
              <w:t xml:space="preserve">pabellón</w:t>
            </w:r>
            <w:r>
              <w:t xml:space="preserve"> de un puente arqueado tradicional, con baranda de postes y bolitas. Debajo, dos líneas de </w:t>
            </w:r>
            <w:r>
              <w:rPr>
                <w:b/>
                <w:bCs/>
              </w:rPr>
              <w:t xml:space="preserve">agua</w:t>
            </w:r>
            <w:r>
              <w:t xml:space="preserve">.</w:t>
            </w:r>
          </w:p>
          <w:p>
            <w:pPr>
              <w:spacing w:after="0"/>
            </w:pPr>
            <w:r>
              <w:t xml:space="preserve">La forma redonda lo hace funcionar sin cambios en avatares, sellos, íconos de app y favicons.</w:t>
            </w:r>
          </w:p>
        </w:tc>
      </w:tr>
    </w:tbl>
    <w:p>
      <w:pPr>
        <w:spacing w:after="200"/>
      </w:pPr>
    </w:p>
    <w:p>
      <w:pPr>
        <w:spacing w:after="140"/>
      </w:pPr>
      <w:r>
        <w:t xml:space="preserve">El logotipo está compuesto en </w:t>
      </w:r>
      <w:r>
        <w:rPr>
          <w:b/>
          <w:bCs/>
        </w:rPr>
        <w:t xml:space="preserve">Poppins Bold</w:t>
      </w:r>
      <w:r>
        <w:t xml:space="preserve"> en minúsculas, y la tagline en </w:t>
      </w:r>
      <w:r>
        <w:rPr>
          <w:b/>
          <w:bCs/>
        </w:rPr>
        <w:t xml:space="preserve">Inter SemiBold</w:t>
      </w:r>
      <w:r>
        <w:t xml:space="preserve"> con espaciado amplio. Todos los archivos son vectoriales con el texto convertido a curvas: se abren en Illustrator, Inkscape o Figma sin instalar fuentes.</w:t>
      </w:r>
    </w:p>
    <w:p>
      <w:pPr>
        <w:pStyle w:val="Heading2"/>
      </w:pPr>
      <w:r>
        <w:t xml:space="preserve">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27622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1028700"/>
                          </a:xfrm>
                          <a:prstGeom prst="rect">
                            <a:avLst/>
                          </a:prstGeom>
                        </pic:spPr>
                      </pic:pic>
                    </a:graphicData>
                  </a:graphic>
                </wp:inline>
              </w:drawing>
            </w:r>
          </w:p>
          <w:p>
            <w:pPr>
              <w:spacing w:after="30"/>
              <w:jc w:val="center"/>
            </w:pPr>
            <w:r>
              <w:rPr>
                <w:b/>
                <w:bCs/>
                <w:sz w:val="19"/>
                <w:szCs w:val="19"/>
              </w:rPr>
              <w:t xml:space="preserve">Horizontal principal</w:t>
            </w:r>
          </w:p>
          <w:p>
            <w:pPr>
              <w:jc w:val="center"/>
            </w:pPr>
            <w:r>
              <w:rPr>
                <w:color w:val="5B6170"/>
                <w:sz w:val="17"/>
                <w:szCs w:val="17"/>
              </w:rPr>
              <w:t xml:space="preserve">Web, firmas, documentos, facturas. Es la versión por defecto.</w:t>
            </w:r>
          </w:p>
        </w:tc>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27622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028700"/>
                          </a:xfrm>
                          <a:prstGeom prst="rect">
                            <a:avLst/>
                          </a:prstGeom>
                        </pic:spPr>
                      </pic:pic>
                    </a:graphicData>
                  </a:graphic>
                </wp:inline>
              </w:drawing>
            </w:r>
          </w:p>
          <w:p>
            <w:pPr>
              <w:spacing w:after="30"/>
              <w:jc w:val="center"/>
            </w:pPr>
            <w:r>
              <w:rPr>
                <w:b/>
                <w:bCs/>
                <w:sz w:val="19"/>
                <w:szCs w:val="19"/>
              </w:rPr>
              <w:t xml:space="preserve">Horizontal naranja</w:t>
            </w:r>
          </w:p>
          <w:p>
            <w:pPr>
              <w:jc w:val="center"/>
            </w:pPr>
            <w:r>
              <w:rPr>
                <w:color w:val="5B6170"/>
                <w:sz w:val="17"/>
                <w:szCs w:val="17"/>
              </w:rPr>
              <w:t xml:space="preserve">Piezas de marketing sobre blanco que buscan más impacto.</w:t>
            </w:r>
          </w:p>
        </w:tc>
      </w:tr>
      <w:tr>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27622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1028700"/>
                          </a:xfrm>
                          <a:prstGeom prst="rect">
                            <a:avLst/>
                          </a:prstGeom>
                        </pic:spPr>
                      </pic:pic>
                    </a:graphicData>
                  </a:graphic>
                </wp:inline>
              </w:drawing>
            </w:r>
          </w:p>
          <w:p>
            <w:pPr>
              <w:spacing w:after="30"/>
              <w:jc w:val="center"/>
            </w:pPr>
            <w:r>
              <w:rPr>
                <w:b/>
                <w:bCs/>
                <w:sz w:val="19"/>
                <w:szCs w:val="19"/>
              </w:rPr>
              <w:t xml:space="preserve">Horizontal negativo</w:t>
            </w:r>
          </w:p>
          <w:p>
            <w:pPr>
              <w:jc w:val="center"/>
            </w:pPr>
            <w:r>
              <w:rPr>
                <w:color w:val="5B6170"/>
                <w:sz w:val="17"/>
                <w:szCs w:val="17"/>
              </w:rPr>
              <w:t xml:space="preserve">Sobre tinta, fotos oscuras o fondos de color.</w:t>
            </w:r>
          </w:p>
        </w:tc>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27622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028700"/>
                          </a:xfrm>
                          <a:prstGeom prst="rect">
                            <a:avLst/>
                          </a:prstGeom>
                        </pic:spPr>
                      </pic:pic>
                    </a:graphicData>
                  </a:graphic>
                </wp:inline>
              </w:drawing>
            </w:r>
          </w:p>
          <w:p>
            <w:pPr>
              <w:spacing w:after="30"/>
              <w:jc w:val="center"/>
            </w:pPr>
            <w:r>
              <w:rPr>
                <w:b/>
                <w:bCs/>
                <w:sz w:val="19"/>
                <w:szCs w:val="19"/>
              </w:rPr>
              <w:t xml:space="preserve">Horizontal con nombre en chino</w:t>
            </w:r>
          </w:p>
          <w:p>
            <w:pPr>
              <w:jc w:val="center"/>
            </w:pPr>
            <w:r>
              <w:rPr>
                <w:color w:val="5B6170"/>
                <w:sz w:val="17"/>
                <w:szCs w:val="17"/>
              </w:rPr>
              <w:t xml:space="preserve">Proveedores, ferias, tarjetas bilingües.</w:t>
            </w:r>
          </w:p>
        </w:tc>
      </w:tr>
      <w:tr>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27622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1866900"/>
                          </a:xfrm>
                          <a:prstGeom prst="rect">
                            <a:avLst/>
                          </a:prstGeom>
                        </pic:spPr>
                      </pic:pic>
                    </a:graphicData>
                  </a:graphic>
                </wp:inline>
              </w:drawing>
            </w:r>
          </w:p>
          <w:p>
            <w:pPr>
              <w:spacing w:after="30"/>
              <w:jc w:val="center"/>
            </w:pPr>
            <w:r>
              <w:rPr>
                <w:b/>
                <w:bCs/>
                <w:sz w:val="19"/>
                <w:szCs w:val="19"/>
              </w:rPr>
              <w:t xml:space="preserve">Vertical</w:t>
            </w:r>
          </w:p>
          <w:p>
            <w:pPr>
              <w:jc w:val="center"/>
            </w:pPr>
            <w:r>
              <w:rPr>
                <w:color w:val="5B6170"/>
                <w:sz w:val="17"/>
                <w:szCs w:val="17"/>
              </w:rPr>
              <w:t xml:space="preserve">Formatos cuadrados o angostos: posteos, carteles, packaging.</w:t>
            </w:r>
          </w:p>
        </w:tc>
        <w:tc>
          <w:tcPr>
            <w:tcW w:type="dxa" w:w="4819"/>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27622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1866900"/>
                          </a:xfrm>
                          <a:prstGeom prst="rect">
                            <a:avLst/>
                          </a:prstGeom>
                        </pic:spPr>
                      </pic:pic>
                    </a:graphicData>
                  </a:graphic>
                </wp:inline>
              </w:drawing>
            </w:r>
          </w:p>
          <w:p>
            <w:pPr>
              <w:spacing w:after="30"/>
              <w:jc w:val="center"/>
            </w:pPr>
            <w:r>
              <w:rPr>
                <w:b/>
                <w:bCs/>
                <w:sz w:val="19"/>
                <w:szCs w:val="19"/>
              </w:rPr>
              <w:t xml:space="preserve">Vertical negativo</w:t>
            </w:r>
          </w:p>
          <w:p>
            <w:pPr>
              <w:jc w:val="center"/>
            </w:pPr>
            <w:r>
              <w:rPr>
                <w:color w:val="5B6170"/>
                <w:sz w:val="17"/>
                <w:szCs w:val="17"/>
              </w:rPr>
              <w:t xml:space="preserve">Formatos cuadrados sobre fondos oscuros.</w:t>
            </w:r>
          </w:p>
        </w:tc>
      </w:tr>
    </w:tbl>
    <w:p>
      <w:pPr>
        <w:spacing w:after="200"/>
      </w:pPr>
    </w:p>
    <w:p>
      <w:pPr>
        <w:pStyle w:val="Heading2"/>
      </w:pPr>
      <w:r>
        <w:t xml:space="preserve">Isotipo</w:t>
      </w:r>
    </w:p>
    <w:p>
      <w:pPr>
        <w:spacing w:after="140"/>
      </w:pPr>
      <w:r>
        <w:t xml:space="preserve">El isotipo puede ir solo cuando la marca ya está presente en el contexto: avatar de redes, favicon, sello, packaging que ya lleva el nombre.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c>
          <w:tcPr>
            <w:tcW w:type="dxa" w:w="1927"/>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0" cy="952500"/>
                          </a:xfrm>
                          <a:prstGeom prst="rect">
                            <a:avLst/>
                          </a:prstGeom>
                        </pic:spPr>
                      </pic:pic>
                    </a:graphicData>
                  </a:graphic>
                </wp:inline>
              </w:drawing>
            </w:r>
          </w:p>
          <w:p>
            <w:pPr>
              <w:spacing w:after="30"/>
              <w:jc w:val="center"/>
            </w:pPr>
            <w:r>
              <w:rPr>
                <w:b/>
                <w:bCs/>
                <w:sz w:val="19"/>
                <w:szCs w:val="19"/>
              </w:rPr>
              <w:t xml:space="preserve">Isotipo naranja</w:t>
            </w:r>
          </w:p>
          <w:p>
            <w:pPr>
              <w:jc w:val="center"/>
            </w:pPr>
            <w:r>
              <w:rPr>
                <w:color w:val="5B6170"/>
                <w:sz w:val="17"/>
                <w:szCs w:val="17"/>
              </w:rPr>
              <w:t xml:space="preserve">Avatar, sello, ícono de app.</w:t>
            </w:r>
          </w:p>
        </w:tc>
        <w:tc>
          <w:tcPr>
            <w:tcW w:type="dxa" w:w="1927"/>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2500" cy="952500"/>
                          </a:xfrm>
                          <a:prstGeom prst="rect">
                            <a:avLst/>
                          </a:prstGeom>
                        </pic:spPr>
                      </pic:pic>
                    </a:graphicData>
                  </a:graphic>
                </wp:inline>
              </w:drawing>
            </w:r>
          </w:p>
          <w:p>
            <w:pPr>
              <w:spacing w:after="30"/>
              <w:jc w:val="center"/>
            </w:pPr>
            <w:r>
              <w:rPr>
                <w:b/>
                <w:bCs/>
                <w:sz w:val="19"/>
                <w:szCs w:val="19"/>
              </w:rPr>
              <w:t xml:space="preserve">Isotipo negativo</w:t>
            </w:r>
          </w:p>
          <w:p>
            <w:pPr>
              <w:jc w:val="center"/>
            </w:pPr>
            <w:r>
              <w:rPr>
                <w:color w:val="5B6170"/>
                <w:sz w:val="17"/>
                <w:szCs w:val="17"/>
              </w:rPr>
              <w:t xml:space="preserve">Sobre naranja o fondos de color.</w:t>
            </w:r>
          </w:p>
        </w:tc>
        <w:tc>
          <w:tcPr>
            <w:tcW w:type="dxa" w:w="1927"/>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52500" cy="952500"/>
                          </a:xfrm>
                          <a:prstGeom prst="rect">
                            <a:avLst/>
                          </a:prstGeom>
                        </pic:spPr>
                      </pic:pic>
                    </a:graphicData>
                  </a:graphic>
                </wp:inline>
              </w:drawing>
            </w:r>
          </w:p>
          <w:p>
            <w:pPr>
              <w:spacing w:after="30"/>
              <w:jc w:val="center"/>
            </w:pPr>
            <w:r>
              <w:rPr>
                <w:b/>
                <w:bCs/>
                <w:sz w:val="19"/>
                <w:szCs w:val="19"/>
              </w:rPr>
              <w:t xml:space="preserve">Isotipo tinta</w:t>
            </w:r>
          </w:p>
          <w:p>
            <w:pPr>
              <w:jc w:val="center"/>
            </w:pPr>
            <w:r>
              <w:rPr>
                <w:color w:val="5B6170"/>
                <w:sz w:val="17"/>
                <w:szCs w:val="17"/>
              </w:rPr>
              <w:t xml:space="preserve">Cuando el naranja compite con la pieza.</w:t>
            </w:r>
          </w:p>
        </w:tc>
        <w:tc>
          <w:tcPr>
            <w:tcW w:type="dxa" w:w="1927"/>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52500" cy="952500"/>
                          </a:xfrm>
                          <a:prstGeom prst="rect">
                            <a:avLst/>
                          </a:prstGeom>
                        </pic:spPr>
                      </pic:pic>
                    </a:graphicData>
                  </a:graphic>
                </wp:inline>
              </w:drawing>
            </w:r>
          </w:p>
          <w:p>
            <w:pPr>
              <w:spacing w:after="30"/>
              <w:jc w:val="center"/>
            </w:pPr>
            <w:r>
              <w:rPr>
                <w:b/>
                <w:bCs/>
                <w:sz w:val="19"/>
                <w:szCs w:val="19"/>
              </w:rPr>
              <w:t xml:space="preserve">Mono una tinta</w:t>
            </w:r>
          </w:p>
          <w:p>
            <w:pPr>
              <w:jc w:val="center"/>
            </w:pPr>
            <w:r>
              <w:rPr>
                <w:color w:val="5B6170"/>
                <w:sz w:val="17"/>
                <w:szCs w:val="17"/>
              </w:rPr>
              <w:t xml:space="preserve">Sellos, láser, stencil, vinilo de corte.</w:t>
            </w:r>
          </w:p>
        </w:tc>
        <w:tc>
          <w:tcPr>
            <w:tcW w:type="dxa" w:w="193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52500" cy="952500"/>
                          </a:xfrm>
                          <a:prstGeom prst="rect">
                            <a:avLst/>
                          </a:prstGeom>
                        </pic:spPr>
                      </pic:pic>
                    </a:graphicData>
                  </a:graphic>
                </wp:inline>
              </w:drawing>
            </w:r>
          </w:p>
          <w:p>
            <w:pPr>
              <w:spacing w:after="30"/>
              <w:jc w:val="center"/>
            </w:pPr>
            <w:r>
              <w:rPr>
                <w:b/>
                <w:bCs/>
                <w:sz w:val="19"/>
                <w:szCs w:val="19"/>
              </w:rPr>
              <w:t xml:space="preserve">Simplificado</w:t>
            </w:r>
          </w:p>
          <w:p>
            <w:pPr>
              <w:jc w:val="center"/>
            </w:pPr>
            <w:r>
              <w:rPr>
                <w:color w:val="5B6170"/>
                <w:sz w:val="17"/>
                <w:szCs w:val="17"/>
              </w:rPr>
              <w:t xml:space="preserve">Por debajo de 48 px: favicon, notificaciones.</w:t>
            </w:r>
          </w:p>
        </w:tc>
      </w:tr>
    </w:tbl>
    <w:p>
      <w:pPr>
        <w:pStyle w:val="Heading2"/>
      </w:pPr>
      <w:r>
        <w:t xml:space="preserve">Área de resguardo</w:t>
      </w:r>
    </w:p>
    <w:p>
      <w:pPr>
        <w:spacing w:after="140"/>
      </w:pPr>
      <w:r>
        <w:t xml:space="preserve">Dejá libre alrededor del logo un margen igual a </w:t>
      </w:r>
      <w:r>
        <w:rPr>
          <w:b/>
          <w:bCs/>
        </w:rPr>
        <w:t xml:space="preserve">1/4 del diámetro del isotipo</w:t>
      </w:r>
      <w:r>
        <w:t xml:space="preserve"> (X). Ningún texto, borde ni elemento gráfico entra en esa zona.</w:t>
      </w:r>
    </w:p>
    <w:p>
      <w:pPr>
        <w:spacing w:after="200"/>
        <w:jc w:val="center"/>
      </w:pPr>
      <w:r>
        <w:drawing>
          <wp:inline distT="0" distB="0" distL="0" distR="0">
            <wp:extent cx="2857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2257425"/>
                    </a:xfrm>
                    <a:prstGeom prst="rect">
                      <a:avLst/>
                    </a:prstGeom>
                  </pic:spPr>
                </pic:pic>
              </a:graphicData>
            </a:graphic>
          </wp:inline>
        </w:drawing>
      </w:r>
    </w:p>
    <w:p>
      <w:pPr>
        <w:pStyle w:val="Heading2"/>
      </w:pPr>
      <w:r>
        <w:t xml:space="preserve">Tamaños mínimos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100"/>
        <w:gridCol w:w="3138"/>
      </w:tblGrid>
      <w:tr>
        <w:trPr>
          <w:tblHeader/>
        </w:trPr>
        <w:tc>
          <w:tcPr>
            <w:tcW w:type="dxa" w:w="34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Pieza</w:t>
            </w:r>
          </w:p>
        </w:tc>
        <w:tc>
          <w:tcPr>
            <w:tcW w:type="dxa" w:w="31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Digital</w:t>
            </w:r>
          </w:p>
        </w:tc>
        <w:tc>
          <w:tcPr>
            <w:tcW w:type="dxa" w:w="3138"/>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Impreso</w:t>
            </w:r>
          </w:p>
        </w:tc>
      </w:tr>
      <w:tr>
        <w:tc>
          <w:tcPr>
            <w:tcW w:type="dxa" w:w="34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Isotipo completo</w:t>
            </w:r>
          </w:p>
        </w:tc>
        <w:tc>
          <w:tcPr>
            <w:tcW w:type="dxa" w:w="31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48 px</w:t>
            </w:r>
          </w:p>
        </w:tc>
        <w:tc>
          <w:tcPr>
            <w:tcW w:type="dxa" w:w="31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12 mm</w:t>
            </w:r>
          </w:p>
        </w:tc>
      </w:tr>
      <w:tr>
        <w:tc>
          <w:tcPr>
            <w:tcW w:type="dxa" w:w="34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Isotipo simplificado</w:t>
            </w:r>
          </w:p>
        </w:tc>
        <w:tc>
          <w:tcPr>
            <w:tcW w:type="dxa" w:w="31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16 px</w:t>
            </w:r>
          </w:p>
        </w:tc>
        <w:tc>
          <w:tcPr>
            <w:tcW w:type="dxa" w:w="31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5 mm</w:t>
            </w:r>
          </w:p>
        </w:tc>
      </w:tr>
      <w:tr>
        <w:tc>
          <w:tcPr>
            <w:tcW w:type="dxa" w:w="34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Logo horizontal</w:t>
            </w:r>
          </w:p>
        </w:tc>
        <w:tc>
          <w:tcPr>
            <w:tcW w:type="dxa" w:w="31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140 px de ancho</w:t>
            </w:r>
          </w:p>
        </w:tc>
        <w:tc>
          <w:tcPr>
            <w:tcW w:type="dxa" w:w="31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35 mm de ancho</w:t>
            </w:r>
          </w:p>
        </w:tc>
      </w:tr>
      <w:tr>
        <w:tc>
          <w:tcPr>
            <w:tcW w:type="dxa" w:w="34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Logo vertical</w:t>
            </w:r>
          </w:p>
        </w:tc>
        <w:tc>
          <w:tcPr>
            <w:tcW w:type="dxa" w:w="31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96 px de ancho</w:t>
            </w:r>
          </w:p>
        </w:tc>
        <w:tc>
          <w:tcPr>
            <w:tcW w:type="dxa" w:w="31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25 mm de ancho</w:t>
            </w:r>
          </w:p>
        </w:tc>
      </w:tr>
    </w:tbl>
    <w:p>
      <w:pPr>
        <w:spacing w:before="120"/>
      </w:pPr>
      <w:r>
        <w:t xml:space="preserve">Por debajo de 48 px usá siempre la versión simplificada: la baranda y el agua se empastan en tamaños chicos.</w:t>
      </w:r>
    </w:p>
    <w:p>
      <w:pPr>
        <w:pStyle w:val="Heading2"/>
      </w:pPr>
      <w:r>
        <w:t xml:space="preserve">Usos incorrectos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c>
          <w:tcPr>
            <w:tcW w:type="dxa" w:w="3212"/>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1428750"/>
                          </a:xfrm>
                          <a:prstGeom prst="rect">
                            <a:avLst/>
                          </a:prstGeom>
                        </pic:spPr>
                      </pic:pic>
                    </a:graphicData>
                  </a:graphic>
                </wp:inline>
              </w:drawing>
            </w:r>
          </w:p>
          <w:p>
            <w:pPr>
              <w:spacing w:after="30"/>
              <w:jc w:val="center"/>
            </w:pPr>
            <w:r>
              <w:rPr>
                <w:b/>
                <w:bCs/>
                <w:sz w:val="19"/>
                <w:szCs w:val="19"/>
              </w:rPr>
              <w:t xml:space="preserve">No deformar</w:t>
            </w:r>
          </w:p>
          <w:p>
            <w:pPr>
              <w:jc w:val="center"/>
            </w:pPr>
            <w:r>
              <w:rPr>
                <w:color w:val="5B6170"/>
                <w:sz w:val="17"/>
                <w:szCs w:val="17"/>
              </w:rPr>
              <w:t xml:space="preserve">Escalá siempre en proporción.</w:t>
            </w:r>
          </w:p>
        </w:tc>
        <w:tc>
          <w:tcPr>
            <w:tcW w:type="dxa" w:w="3212"/>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28750" cy="1428750"/>
                          </a:xfrm>
                          <a:prstGeom prst="rect">
                            <a:avLst/>
                          </a:prstGeom>
                        </pic:spPr>
                      </pic:pic>
                    </a:graphicData>
                  </a:graphic>
                </wp:inline>
              </w:drawing>
            </w:r>
          </w:p>
          <w:p>
            <w:pPr>
              <w:spacing w:after="30"/>
              <w:jc w:val="center"/>
            </w:pPr>
            <w:r>
              <w:rPr>
                <w:b/>
                <w:bCs/>
                <w:sz w:val="19"/>
                <w:szCs w:val="19"/>
              </w:rPr>
              <w:t xml:space="preserve">No cambiar colores</w:t>
            </w:r>
          </w:p>
          <w:p>
            <w:pPr>
              <w:jc w:val="center"/>
            </w:pPr>
            <w:r>
              <w:rPr>
                <w:color w:val="5B6170"/>
                <w:sz w:val="17"/>
                <w:szCs w:val="17"/>
              </w:rPr>
              <w:t xml:space="preserve">Solo las versiones de esta guía.</w:t>
            </w:r>
          </w:p>
        </w:tc>
        <w:tc>
          <w:tcPr>
            <w:tcW w:type="dxa" w:w="3214"/>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428750"/>
                          </a:xfrm>
                          <a:prstGeom prst="rect">
                            <a:avLst/>
                          </a:prstGeom>
                        </pic:spPr>
                      </pic:pic>
                    </a:graphicData>
                  </a:graphic>
                </wp:inline>
              </w:drawing>
            </w:r>
          </w:p>
          <w:p>
            <w:pPr>
              <w:spacing w:after="30"/>
              <w:jc w:val="center"/>
            </w:pPr>
            <w:r>
              <w:rPr>
                <w:b/>
                <w:bCs/>
                <w:sz w:val="19"/>
                <w:szCs w:val="19"/>
              </w:rPr>
              <w:t xml:space="preserve">No agregar efectos</w:t>
            </w:r>
          </w:p>
          <w:p>
            <w:pPr>
              <w:jc w:val="center"/>
            </w:pPr>
            <w:r>
              <w:rPr>
                <w:color w:val="5B6170"/>
                <w:sz w:val="17"/>
                <w:szCs w:val="17"/>
              </w:rPr>
              <w:t xml:space="preserve">Nada de sombras, degradés ni 3D.</w:t>
            </w:r>
          </w:p>
        </w:tc>
      </w:tr>
      <w:tr>
        <w:tc>
          <w:tcPr>
            <w:tcW w:type="dxa" w:w="3212"/>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428750"/>
                          </a:xfrm>
                          <a:prstGeom prst="rect">
                            <a:avLst/>
                          </a:prstGeom>
                        </pic:spPr>
                      </pic:pic>
                    </a:graphicData>
                  </a:graphic>
                </wp:inline>
              </w:drawing>
            </w:r>
          </w:p>
          <w:p>
            <w:pPr>
              <w:spacing w:after="30"/>
              <w:jc w:val="center"/>
            </w:pPr>
            <w:r>
              <w:rPr>
                <w:b/>
                <w:bCs/>
                <w:sz w:val="19"/>
                <w:szCs w:val="19"/>
              </w:rPr>
              <w:t xml:space="preserve">No naranja sobre naranja</w:t>
            </w:r>
          </w:p>
          <w:p>
            <w:pPr>
              <w:jc w:val="center"/>
            </w:pPr>
            <w:r>
              <w:rPr>
                <w:color w:val="5B6170"/>
                <w:sz w:val="17"/>
                <w:szCs w:val="17"/>
              </w:rPr>
              <w:t xml:space="preserve">Usá el isotipo negativo.</w:t>
            </w:r>
          </w:p>
        </w:tc>
        <w:tc>
          <w:tcPr>
            <w:tcW w:type="dxa" w:w="3212"/>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428750"/>
                          </a:xfrm>
                          <a:prstGeom prst="rect">
                            <a:avLst/>
                          </a:prstGeom>
                        </pic:spPr>
                      </pic:pic>
                    </a:graphicData>
                  </a:graphic>
                </wp:inline>
              </w:drawing>
            </w:r>
          </w:p>
          <w:p>
            <w:pPr>
              <w:spacing w:after="30"/>
              <w:jc w:val="center"/>
            </w:pPr>
            <w:r>
              <w:rPr>
                <w:b/>
                <w:bCs/>
                <w:sz w:val="19"/>
                <w:szCs w:val="19"/>
              </w:rPr>
              <w:t xml:space="preserve">No rotar</w:t>
            </w:r>
          </w:p>
          <w:p>
            <w:pPr>
              <w:jc w:val="center"/>
            </w:pPr>
            <w:r>
              <w:rPr>
                <w:color w:val="5B6170"/>
                <w:sz w:val="17"/>
                <w:szCs w:val="17"/>
              </w:rPr>
              <w:t xml:space="preserve">El logo va siempre derecho.</w:t>
            </w:r>
          </w:p>
        </w:tc>
        <w:tc>
          <w:tcPr>
            <w:tcW w:type="dxa" w:w="3214"/>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1428750"/>
                          </a:xfrm>
                          <a:prstGeom prst="rect">
                            <a:avLst/>
                          </a:prstGeom>
                        </pic:spPr>
                      </pic:pic>
                    </a:graphicData>
                  </a:graphic>
                </wp:inline>
              </w:drawing>
            </w:r>
          </w:p>
          <w:p>
            <w:pPr>
              <w:spacing w:after="30"/>
              <w:jc w:val="center"/>
            </w:pPr>
            <w:r>
              <w:rPr>
                <w:b/>
                <w:bCs/>
                <w:sz w:val="19"/>
                <w:szCs w:val="19"/>
              </w:rPr>
              <w:t xml:space="preserve">No recomponer</w:t>
            </w:r>
          </w:p>
          <w:p>
            <w:pPr>
              <w:jc w:val="center"/>
            </w:pPr>
            <w:r>
              <w:rPr>
                <w:color w:val="5B6170"/>
                <w:sz w:val="17"/>
                <w:szCs w:val="17"/>
              </w:rPr>
              <w:t xml:space="preserve">No cambies la tipografía ni la disposición.</w:t>
            </w:r>
          </w:p>
        </w:tc>
      </w:tr>
    </w:tbl>
    <w:p>
      <w:pPr>
        <w:pStyle w:val="Heading1"/>
        <w:pageBreakBefore/>
      </w:pPr>
      <w:r>
        <w:t xml:space="preserve">3. Color</w:t>
      </w:r>
    </w:p>
    <w:p>
      <w:pPr>
        <w:spacing w:after="140"/>
      </w:pPr>
      <w:r>
        <w:rPr>
          <w:color w:val="5B6170"/>
          <w:sz w:val="24"/>
          <w:szCs w:val="24"/>
        </w:rPr>
        <w:t xml:space="preserve">Una paleta corta: un naranja que identifica, un oscuro que ordena, mucho blanco y un rojo que se usa con cuentagotas.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300"/>
        <w:gridCol w:w="2500"/>
        <w:gridCol w:w="3538"/>
      </w:tblGrid>
      <w:tr>
        <w:trPr>
          <w:tblHeader/>
        </w:trPr>
        <w:tc>
          <w:tcPr>
            <w:tcW w:type="dxa" w:w="13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
            </w:r>
          </w:p>
        </w:tc>
        <w:tc>
          <w:tcPr>
            <w:tcW w:type="dxa" w:w="23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Color</w:t>
            </w:r>
          </w:p>
        </w:tc>
        <w:tc>
          <w:tcPr>
            <w:tcW w:type="dxa" w:w="25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Valores</w:t>
            </w:r>
          </w:p>
        </w:tc>
        <w:tc>
          <w:tcPr>
            <w:tcW w:type="dxa" w:w="3538"/>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Uso</w:t>
            </w:r>
          </w:p>
        </w:tc>
      </w:tr>
      <w:tr>
        <w:trPr>
          <w:trHeight w:val="900" w:hRule="atLeast"/>
        </w:trPr>
        <w:tc>
          <w:tcPr>
            <w:tcW w:type="dxa" w:w="1300"/>
            <w:tcBorders>
              <w:top w:val="single" w:color="E3E5EA" w:sz="4"/>
              <w:left w:val="single" w:color="E3E5EA" w:sz="4"/>
              <w:bottom w:val="single" w:color="E3E5EA" w:sz="4"/>
              <w:right w:val="single" w:color="E3E5EA" w:sz="4"/>
            </w:tcBorders>
            <w:shd w:fill="FF6A1A"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Naranja Puente</w:t>
            </w:r>
          </w:p>
          <w:p>
            <w:r>
              <w:rPr>
                <w:rFonts w:ascii="Consolas" w:cs="Consolas" w:eastAsia="Consolas" w:hAnsi="Consolas"/>
                <w:color w:val="5B6170"/>
                <w:sz w:val="17"/>
                <w:szCs w:val="17"/>
              </w:rPr>
              <w:t xml:space="preserve">naranja</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#FF6A1A</w:t>
            </w:r>
          </w:p>
          <w:p>
            <w:pPr>
              <w:spacing w:after="20"/>
            </w:pPr>
            <w:r>
              <w:rPr>
                <w:sz w:val="18"/>
                <w:szCs w:val="18"/>
              </w:rPr>
              <w:t xml:space="preserve">RGB  255 106 26</w:t>
            </w:r>
          </w:p>
          <w:p>
            <w:r>
              <w:rPr>
                <w:sz w:val="18"/>
                <w:szCs w:val="18"/>
              </w:rPr>
              <w:t xml:space="preserve">CMYK 0 70 95 0 · Pantone 1585 C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Color de marca. Isotipo, banners, relleno de botones primarios, íconos destacados. No se usa como color de texto sobre blanco.</w:t>
            </w:r>
          </w:p>
        </w:tc>
      </w:tr>
      <w:tr>
        <w:trPr>
          <w:trHeight w:val="900" w:hRule="atLeast"/>
        </w:trPr>
        <w:tc>
          <w:tcPr>
            <w:tcW w:type="dxa" w:w="1300"/>
            <w:tcBorders>
              <w:top w:val="single" w:color="E3E5EA" w:sz="4"/>
              <w:left w:val="single" w:color="E3E5EA" w:sz="4"/>
              <w:bottom w:val="single" w:color="E3E5EA" w:sz="4"/>
              <w:right w:val="single" w:color="E3E5EA" w:sz="4"/>
            </w:tcBorders>
            <w:shd w:fill="C2410C"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Naranja texto</w:t>
            </w:r>
          </w:p>
          <w:p>
            <w:r>
              <w:rPr>
                <w:rFonts w:ascii="Consolas" w:cs="Consolas" w:eastAsia="Consolas" w:hAnsi="Consolas"/>
                <w:color w:val="5B6170"/>
                <w:sz w:val="17"/>
                <w:szCs w:val="17"/>
              </w:rPr>
              <w:t xml:space="preserve">naranja-texto</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#C2410C</w:t>
            </w:r>
          </w:p>
          <w:p>
            <w:pPr>
              <w:spacing w:after="20"/>
            </w:pPr>
            <w:r>
              <w:rPr>
                <w:sz w:val="18"/>
                <w:szCs w:val="18"/>
              </w:rPr>
              <w:t xml:space="preserve">RGB  194 65 12</w:t>
            </w:r>
          </w:p>
          <w:p>
            <w:r>
              <w:rPr>
                <w:sz w:val="18"/>
                <w:szCs w:val="18"/>
              </w:rPr>
              <w:t xml:space="preserve">CMYK 0 66 94 24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Links, precios y cualquier texto naranja sobre fondos claros (5.2:1).</w:t>
            </w:r>
          </w:p>
        </w:tc>
      </w:tr>
      <w:tr>
        <w:trPr>
          <w:trHeight w:val="900" w:hRule="atLeast"/>
        </w:trPr>
        <w:tc>
          <w:tcPr>
            <w:tcW w:type="dxa" w:w="13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Tinta</w:t>
            </w:r>
          </w:p>
          <w:p>
            <w:r>
              <w:rPr>
                <w:rFonts w:ascii="Consolas" w:cs="Consolas" w:eastAsia="Consolas" w:hAnsi="Consolas"/>
                <w:color w:val="5B6170"/>
                <w:sz w:val="17"/>
                <w:szCs w:val="17"/>
              </w:rPr>
              <w:t xml:space="preserve">tinta</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#1E2230</w:t>
            </w:r>
          </w:p>
          <w:p>
            <w:pPr>
              <w:spacing w:after="20"/>
            </w:pPr>
            <w:r>
              <w:rPr>
                <w:sz w:val="18"/>
                <w:szCs w:val="18"/>
              </w:rPr>
              <w:t xml:space="preserve">RGB  30 34 48</w:t>
            </w:r>
          </w:p>
          <w:p>
            <w:r>
              <w:rPr>
                <w:sz w:val="18"/>
                <w:szCs w:val="18"/>
              </w:rPr>
              <w:t xml:space="preserve">CMYK 37 29 0 81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Texto principal, logotipo en positivo, fondos oscuros. Texto sobre naranja (5.5:1).</w:t>
            </w:r>
          </w:p>
        </w:tc>
      </w:tr>
      <w:tr>
        <w:trPr>
          <w:trHeight w:val="900" w:hRule="atLeast"/>
        </w:trPr>
        <w:tc>
          <w:tcPr>
            <w:tcW w:type="dxa" w:w="1300"/>
            <w:tcBorders>
              <w:top w:val="single" w:color="E3E5EA" w:sz="4"/>
              <w:left w:val="single" w:color="E3E5EA" w:sz="4"/>
              <w:bottom w:val="single" w:color="E3E5EA" w:sz="4"/>
              <w:right w:val="single" w:color="E3E5EA" w:sz="4"/>
            </w:tcBorders>
            <w:shd w:fill="5B6170"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Piedra</w:t>
            </w:r>
          </w:p>
          <w:p>
            <w:r>
              <w:rPr>
                <w:rFonts w:ascii="Consolas" w:cs="Consolas" w:eastAsia="Consolas" w:hAnsi="Consolas"/>
                <w:color w:val="5B6170"/>
                <w:sz w:val="17"/>
                <w:szCs w:val="17"/>
              </w:rPr>
              <w:t xml:space="preserve">piedra</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#5B6170</w:t>
            </w:r>
          </w:p>
          <w:p>
            <w:pPr>
              <w:spacing w:after="20"/>
            </w:pPr>
            <w:r>
              <w:rPr>
                <w:sz w:val="18"/>
                <w:szCs w:val="18"/>
              </w:rPr>
              <w:t xml:space="preserve">RGB  91 97 112</w:t>
            </w:r>
          </w:p>
          <w:p>
            <w:r>
              <w:rPr>
                <w:sz w:val="18"/>
                <w:szCs w:val="18"/>
              </w:rPr>
              <w:t xml:space="preserve">CMYK 19 13 0 56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Texto secundario, bajadas, tagline, metadatos (6.2:1 sobre blanco).</w:t>
            </w:r>
          </w:p>
        </w:tc>
      </w:tr>
      <w:tr>
        <w:trPr>
          <w:trHeight w:val="900" w:hRule="atLeast"/>
        </w:trPr>
        <w:tc>
          <w:tcPr>
            <w:tcW w:type="dxa" w:w="1300"/>
            <w:tcBorders>
              <w:top w:val="single" w:color="E3E5EA" w:sz="4"/>
              <w:left w:val="single" w:color="E3E5EA" w:sz="4"/>
              <w:bottom w:val="single" w:color="E3E5EA" w:sz="4"/>
              <w:right w:val="single" w:color="E3E5EA" w:sz="4"/>
            </w:tcBorders>
            <w:shd w:fill="C8102E"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Rojo laca</w:t>
            </w:r>
          </w:p>
          <w:p>
            <w:r>
              <w:rPr>
                <w:rFonts w:ascii="Consolas" w:cs="Consolas" w:eastAsia="Consolas" w:hAnsi="Consolas"/>
                <w:color w:val="5B6170"/>
                <w:sz w:val="17"/>
                <w:szCs w:val="17"/>
              </w:rPr>
              <w:t xml:space="preserve">rojo-laca</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#C8102E</w:t>
            </w:r>
          </w:p>
          <w:p>
            <w:pPr>
              <w:spacing w:after="20"/>
            </w:pPr>
            <w:r>
              <w:rPr>
                <w:sz w:val="18"/>
                <w:szCs w:val="18"/>
              </w:rPr>
              <w:t xml:space="preserve">RGB  200 16 46</w:t>
            </w:r>
          </w:p>
          <w:p>
            <w:r>
              <w:rPr>
                <w:sz w:val="18"/>
                <w:szCs w:val="18"/>
              </w:rPr>
              <w:t xml:space="preserve">CMYK 0 92 77 22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Acento puntual: sellos de oferta, "Nuevo", urgencia. Un solo elemento por pieza.</w:t>
            </w:r>
          </w:p>
        </w:tc>
      </w:tr>
      <w:tr>
        <w:trPr>
          <w:trHeight w:val="900" w:hRule="atLeast"/>
        </w:trPr>
        <w:tc>
          <w:tcPr>
            <w:tcW w:type="dxa" w:w="1300"/>
            <w:tcBorders>
              <w:top w:val="single" w:color="E3E5EA" w:sz="4"/>
              <w:left w:val="single" w:color="E3E5EA" w:sz="4"/>
              <w:bottom w:val="single" w:color="E3E5EA" w:sz="4"/>
              <w:right w:val="single" w:color="E3E5EA" w:sz="4"/>
            </w:tcBorders>
            <w:shd w:fill="FFF3EB"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Arena</w:t>
            </w:r>
          </w:p>
          <w:p>
            <w:r>
              <w:rPr>
                <w:rFonts w:ascii="Consolas" w:cs="Consolas" w:eastAsia="Consolas" w:hAnsi="Consolas"/>
                <w:color w:val="5B6170"/>
                <w:sz w:val="17"/>
                <w:szCs w:val="17"/>
              </w:rPr>
              <w:t xml:space="preserve">arena</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#FFF3EB</w:t>
            </w:r>
          </w:p>
          <w:p>
            <w:pPr>
              <w:spacing w:after="20"/>
            </w:pPr>
            <w:r>
              <w:rPr>
                <w:sz w:val="18"/>
                <w:szCs w:val="18"/>
              </w:rPr>
              <w:t xml:space="preserve">RGB  255 243 235</w:t>
            </w:r>
          </w:p>
          <w:p>
            <w:r>
              <w:rPr>
                <w:sz w:val="18"/>
                <w:szCs w:val="18"/>
              </w:rPr>
              <w:t xml:space="preserve">CMYK 0 5 8 0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Fondo tintado para bloques destacados: beneficios, cotizador, banners suaves.</w:t>
            </w:r>
          </w:p>
        </w:tc>
      </w:tr>
      <w:tr>
        <w:trPr>
          <w:trHeight w:val="900" w:hRule="atLeast"/>
        </w:trPr>
        <w:tc>
          <w:tcPr>
            <w:tcW w:type="dxa" w:w="13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Niebla</w:t>
            </w:r>
          </w:p>
          <w:p>
            <w:r>
              <w:rPr>
                <w:rFonts w:ascii="Consolas" w:cs="Consolas" w:eastAsia="Consolas" w:hAnsi="Consolas"/>
                <w:color w:val="5B6170"/>
                <w:sz w:val="17"/>
                <w:szCs w:val="17"/>
              </w:rPr>
              <w:t xml:space="preserve">superficie-alt</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#F4F5F7</w:t>
            </w:r>
          </w:p>
          <w:p>
            <w:pPr>
              <w:spacing w:after="20"/>
            </w:pPr>
            <w:r>
              <w:rPr>
                <w:sz w:val="18"/>
                <w:szCs w:val="18"/>
              </w:rPr>
              <w:t xml:space="preserve">RGB  244 245 247</w:t>
            </w:r>
          </w:p>
          <w:p>
            <w:r>
              <w:rPr>
                <w:sz w:val="18"/>
                <w:szCs w:val="18"/>
              </w:rPr>
              <w:t xml:space="preserve">CMYK 1 1 0 3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Secciones alternas, cards de producto, filas pares de tablas.</w:t>
            </w:r>
          </w:p>
        </w:tc>
      </w:tr>
      <w:tr>
        <w:trPr>
          <w:trHeight w:val="900" w:hRule="atLeast"/>
        </w:trPr>
        <w:tc>
          <w:tcPr>
            <w:tcW w:type="dxa" w:w="1300"/>
            <w:tcBorders>
              <w:top w:val="single" w:color="E3E5EA" w:sz="4"/>
              <w:left w:val="single" w:color="E3E5EA" w:sz="4"/>
              <w:bottom w:val="single" w:color="E3E5EA" w:sz="4"/>
              <w:right w:val="single" w:color="E3E5EA" w:sz="4"/>
            </w:tcBorders>
            <w:shd w:fill="FFFFFF" w:color="auto" w:val="clear"/>
            <w:tcMar>
              <w:top w:type="dxa" w:w="100"/>
              <w:left w:type="dxa" w:w="140"/>
              <w:bottom w:type="dxa" w:w="100"/>
              <w:right w:type="dxa" w:w="140"/>
            </w:tcMar>
            <w:vAlign w:val="center"/>
          </w:tcPr>
          <w:p/>
        </w:tc>
        <w:tc>
          <w:tcPr>
            <w:tcW w:type="dxa" w:w="23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rFonts w:ascii="Poppins" w:cs="Poppins" w:eastAsia="Poppins" w:hAnsi="Poppins"/>
                <w:b/>
                <w:bCs/>
                <w:sz w:val="21"/>
                <w:szCs w:val="21"/>
              </w:rPr>
              <w:t xml:space="preserve">Blanco</w:t>
            </w:r>
          </w:p>
          <w:p>
            <w:r>
              <w:rPr>
                <w:rFonts w:ascii="Consolas" w:cs="Consolas" w:eastAsia="Consolas" w:hAnsi="Consolas"/>
                <w:color w:val="5B6170"/>
                <w:sz w:val="17"/>
                <w:szCs w:val="17"/>
              </w:rPr>
              <w:t xml:space="preserve">superficie</w:t>
            </w:r>
          </w:p>
        </w:tc>
        <w:tc>
          <w:tcPr>
            <w:tcW w:type="dxa" w:w="2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20"/>
            </w:pPr>
            <w:r>
              <w:rPr>
                <w:sz w:val="18"/>
                <w:szCs w:val="18"/>
              </w:rPr>
              <w:t xml:space="preserve">HEX  #FFFFFF</w:t>
            </w:r>
          </w:p>
          <w:p>
            <w:pPr>
              <w:spacing w:after="20"/>
            </w:pPr>
            <w:r>
              <w:rPr>
                <w:sz w:val="18"/>
                <w:szCs w:val="18"/>
              </w:rPr>
              <w:t xml:space="preserve">RGB  255 255 255</w:t>
            </w:r>
          </w:p>
          <w:p>
            <w:r>
              <w:rPr>
                <w:sz w:val="18"/>
                <w:szCs w:val="18"/>
              </w:rPr>
              <w:t xml:space="preserve">CMYK 0 0 0 0 aprox.</w:t>
            </w:r>
          </w:p>
        </w:tc>
        <w:tc>
          <w:tcPr>
            <w:tcW w:type="dxa" w:w="35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r>
              <w:rPr>
                <w:sz w:val="18"/>
                <w:szCs w:val="18"/>
              </w:rPr>
              <w:t xml:space="preserve">Fondo por defecto. Es el 60 % de cualquier pieza.</w:t>
            </w:r>
          </w:p>
        </w:tc>
      </w:tr>
    </w:tbl>
    <w:p>
      <w:pPr>
        <w:spacing w:after="200"/>
      </w:pPr>
    </w:p>
    <w:p>
      <w:pPr>
        <w:pStyle w:val="Heading2"/>
      </w:pPr>
      <w:r>
        <w:t xml:space="preserve">Proporción</w:t>
      </w:r>
    </w:p>
    <w:p>
      <w:pPr>
        <w:spacing w:after="140"/>
      </w:pPr>
      <w:r>
        <w:t xml:space="preserve">En cualquier pieza, la proporción aproximada es 60 % blanco y superficies claras, 30 % naranja y 10 % tinta. El rojo laca aparece como mucho en un elemento.</w:t>
      </w:r>
    </w:p>
    <w:p>
      <w:pPr>
        <w:spacing w:after="200"/>
        <w:jc w:val="center"/>
      </w:pPr>
      <w:r>
        <w:drawing>
          <wp:inline distT="0" distB="0" distL="0" distR="0">
            <wp:extent cx="5715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790575"/>
                    </a:xfrm>
                    <a:prstGeom prst="rect">
                      <a:avLst/>
                    </a:prstGeom>
                  </pic:spPr>
                </pic:pic>
              </a:graphicData>
            </a:graphic>
          </wp:inline>
        </w:drawing>
      </w:r>
    </w:p>
    <w:p>
      <w:pPr>
        <w:pStyle w:val="Heading2"/>
      </w:pPr>
      <w:r>
        <w:t xml:space="preserve">Reglas de contraste</w:t>
      </w:r>
    </w:p>
    <w:p>
      <w:pPr>
        <w:spacing w:after="140"/>
      </w:pPr>
      <w:r>
        <w:t xml:space="preserve">El blanco sobre el naranja de marca da 2.9:1 y no alcanza el contraste mínimo para texto (4.5:1). Por eso:</w:t>
      </w:r>
    </w:p>
    <w:p>
      <w:pPr>
        <w:pStyle w:val="ListParagraph"/>
        <w:numPr>
          <w:ilvl w:val="0"/>
          <w:numId w:val="2"/>
        </w:numPr>
        <w:spacing w:after="80"/>
      </w:pPr>
      <w:r>
        <w:rPr>
          <w:b/>
          <w:bCs/>
        </w:rPr>
        <w:t xml:space="preserve">Botón primario:</w:t>
      </w:r>
      <w:r>
        <w:t xml:space="preserve"> relleno naranja </w:t>
      </w:r>
      <w:r>
        <w:rPr>
          <w:rFonts w:ascii="Consolas" w:cs="Consolas" w:eastAsia="Consolas" w:hAnsi="Consolas"/>
          <w:color w:val="C2410C"/>
        </w:rPr>
        <w:t xml:space="preserve">#FF6A1A</w:t>
      </w:r>
      <w:r>
        <w:t xml:space="preserve"> con texto tinta </w:t>
      </w:r>
      <w:r>
        <w:rPr>
          <w:rFonts w:ascii="Consolas" w:cs="Consolas" w:eastAsia="Consolas" w:hAnsi="Consolas"/>
          <w:color w:val="C2410C"/>
        </w:rPr>
        <w:t xml:space="preserve">#1E2230</w:t>
      </w:r>
      <w:r>
        <w:t xml:space="preserve"> (5.5:1). Hover en </w:t>
      </w:r>
      <w:r>
        <w:rPr>
          <w:rFonts w:ascii="Consolas" w:cs="Consolas" w:eastAsia="Consolas" w:hAnsi="Consolas"/>
          <w:color w:val="C2410C"/>
        </w:rPr>
        <w:t xml:space="preserve">#E85A0C</w:t>
      </w:r>
      <w:r>
        <w:t xml:space="preserve">.</w:t>
      </w:r>
    </w:p>
    <w:p>
      <w:pPr>
        <w:pStyle w:val="ListParagraph"/>
        <w:numPr>
          <w:ilvl w:val="0"/>
          <w:numId w:val="2"/>
        </w:numPr>
        <w:spacing w:after="80"/>
      </w:pPr>
      <w:r>
        <w:rPr>
          <w:b/>
          <w:bCs/>
        </w:rPr>
        <w:t xml:space="preserve">Texto naranja</w:t>
      </w:r>
      <w:r>
        <w:t xml:space="preserve"> sobre fondos claros: siempre </w:t>
      </w:r>
      <w:r>
        <w:rPr>
          <w:rFonts w:ascii="Consolas" w:cs="Consolas" w:eastAsia="Consolas" w:hAnsi="Consolas"/>
          <w:color w:val="C2410C"/>
        </w:rPr>
        <w:t xml:space="preserve">#C2410C</w:t>
      </w:r>
      <w:r>
        <w:t xml:space="preserve">, nunca el naranja de marca.</w:t>
      </w:r>
    </w:p>
    <w:p>
      <w:pPr>
        <w:pStyle w:val="ListParagraph"/>
        <w:numPr>
          <w:ilvl w:val="0"/>
          <w:numId w:val="2"/>
        </w:numPr>
        <w:spacing w:after="80"/>
      </w:pPr>
      <w:r>
        <w:rPr>
          <w:b/>
          <w:bCs/>
        </w:rPr>
        <w:t xml:space="preserve">Blanco sobre naranja:</w:t>
      </w:r>
      <w:r>
        <w:t xml:space="preserve"> solo en el isotipo, ilustraciones y titulares de banner de 32 px o más en bold.</w:t>
      </w:r>
    </w:p>
    <w:p>
      <w:pPr>
        <w:pStyle w:val="ListParagraph"/>
        <w:numPr>
          <w:ilvl w:val="0"/>
          <w:numId w:val="2"/>
        </w:numPr>
        <w:spacing w:after="80"/>
      </w:pPr>
      <w:r>
        <w:rPr>
          <w:b/>
          <w:bCs/>
        </w:rPr>
        <w:t xml:space="preserve">Estados:</w:t>
      </w:r>
      <w:r>
        <w:t xml:space="preserve"> éxito </w:t>
      </w:r>
      <w:r>
        <w:rPr>
          <w:rFonts w:ascii="Consolas" w:cs="Consolas" w:eastAsia="Consolas" w:hAnsi="Consolas"/>
          <w:color w:val="C2410C"/>
        </w:rPr>
        <w:t xml:space="preserve">#067647</w:t>
      </w:r>
      <w:r>
        <w:t xml:space="preserve"> y error </w:t>
      </w:r>
      <w:r>
        <w:rPr>
          <w:rFonts w:ascii="Consolas" w:cs="Consolas" w:eastAsia="Consolas" w:hAnsi="Consolas"/>
          <w:color w:val="C2410C"/>
        </w:rPr>
        <w:t xml:space="preserve">#B42318</w:t>
      </w:r>
      <w:r>
        <w:t xml:space="preserve">, siempre acompañados de una palabra o ícono.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FF6A1A" w:sz="24"/>
              <w:bottom w:val="none" w:color="FFFFFF" w:sz="0"/>
              <w:right w:val="none" w:color="FFFFFF" w:sz="0"/>
            </w:tcBorders>
            <w:shd w:fill="FFF3EB" w:color="auto" w:val="clear"/>
            <w:tcMar>
              <w:top w:type="dxa" w:w="160"/>
              <w:left w:type="dxa" w:w="220"/>
              <w:bottom w:type="dxa" w:w="160"/>
              <w:right w:type="dxa" w:w="220"/>
            </w:tcMar>
          </w:tcPr>
          <w:p>
            <w:pPr>
              <w:spacing w:after="0"/>
            </w:pPr>
            <w:r>
              <w:rPr>
                <w:b/>
                <w:bCs/>
              </w:rPr>
              <w:t xml:space="preserve">Alternativa de botón:</w:t>
            </w:r>
            <w:r>
              <w:t xml:space="preserve"> si preferís el look de marketplace con texto blanco, usá relleno </w:t>
            </w:r>
            <w:r>
              <w:rPr>
                <w:rFonts w:ascii="Consolas" w:cs="Consolas" w:eastAsia="Consolas" w:hAnsi="Consolas"/>
                <w:color w:val="C2410C"/>
              </w:rPr>
              <w:t xml:space="preserve">#C2410C</w:t>
            </w:r>
            <w:r>
              <w:t xml:space="preserve"> (5.2:1). Es más accesible pero el botón pierde brillo. Elegí una de las dos y mantenela en todas las piezas.</w:t>
            </w:r>
          </w:p>
        </w:tc>
      </w:tr>
    </w:tbl>
    <w:p>
      <w:pPr>
        <w:pStyle w:val="Heading2"/>
      </w:pPr>
      <w:r>
        <w:t xml:space="preserve">Impresión</w:t>
      </w:r>
    </w:p>
    <w:p>
      <w:pPr>
        <w:spacing w:after="140"/>
      </w:pPr>
      <w:r>
        <w:t xml:space="preserve">El naranja es aproximadamente </w:t>
      </w:r>
      <w:r>
        <w:rPr>
          <w:b/>
          <w:bCs/>
        </w:rPr>
        <w:t xml:space="preserve">Pantone 1585 C</w:t>
      </w:r>
      <w:r>
        <w:t xml:space="preserve">. Los valores CMYK de la tabla son orientativos: pedí siempre una prueba de color a la imprenta, porque el naranja en papel sale más apagado que en pantalla.</w:t>
      </w:r>
    </w:p>
    <w:p>
      <w:pPr>
        <w:pStyle w:val="Heading1"/>
        <w:pageBreakBefore/>
      </w:pPr>
      <w:r>
        <w:t xml:space="preserve">4. Tipografía</w:t>
      </w:r>
    </w:p>
    <w:p>
      <w:pPr>
        <w:spacing w:after="140"/>
      </w:pPr>
      <w:r>
        <w:rPr>
          <w:color w:val="5B6170"/>
          <w:sz w:val="24"/>
          <w:szCs w:val="24"/>
        </w:rPr>
        <w:t xml:space="preserve">Tres familias, todas gratuitas en Google Fonts.</w:t>
      </w:r>
    </w:p>
    <w:p>
      <w:pPr>
        <w:pStyle w:val="Heading2"/>
      </w:pPr>
      <w:r>
        <w:t xml:space="preserve">Poppins · titulares</w:t>
      </w:r>
    </w:p>
    <w:p>
      <w:pPr>
        <w:spacing w:after="140"/>
      </w:pPr>
      <w:r>
        <w:rPr>
          <w:rFonts w:ascii="Poppins" w:cs="Poppins" w:eastAsia="Poppins" w:hAnsi="Poppins"/>
          <w:b/>
          <w:bCs/>
          <w:color w:val="1E2230"/>
          <w:sz w:val="48"/>
          <w:szCs w:val="48"/>
        </w:rPr>
        <w:t xml:space="preserve">Tu puente directo con China</w:t>
      </w:r>
    </w:p>
    <w:p>
      <w:pPr>
        <w:spacing w:after="140"/>
      </w:pPr>
      <w:r>
        <w:t xml:space="preserve">Geométrica y redonda, acompaña al círculo del isotipo. Es la tipografía del logotipo. Pesos: SemiBold (600) y Bold (700).</w:t>
      </w:r>
    </w:p>
    <w:p>
      <w:pPr>
        <w:pStyle w:val="Heading2"/>
      </w:pPr>
      <w:r>
        <w:t xml:space="preserve">Inter · texto e interfaz</w:t>
      </w:r>
    </w:p>
    <w:p>
      <w:pPr>
        <w:spacing w:after="140"/>
      </w:pPr>
      <w:r>
        <w:rPr>
          <w:rFonts w:ascii="Inter" w:cs="Inter" w:eastAsia="Inter" w:hAnsi="Inter"/>
          <w:sz w:val="24"/>
          <w:szCs w:val="24"/>
        </w:rPr>
        <w:t xml:space="preserve">Buscamos el proveedor, negociamos en origen y te entregamos la mercadería nacionalizada en tu depósito.</w:t>
      </w:r>
    </w:p>
    <w:p>
      <w:pPr>
        <w:spacing w:after="140"/>
      </w:pPr>
      <w:r>
        <w:t xml:space="preserve">Muy legible en tamaños chicos y con números tabulares para precios, cantidades y specs. Pesos: Regular (400) y SemiBold (600).</w:t>
      </w:r>
    </w:p>
    <w:p>
      <w:pPr>
        <w:pStyle w:val="Heading2"/>
      </w:pPr>
      <w:r>
        <w:t xml:space="preserve">Noto Sans SC · chino</w:t>
      </w:r>
    </w:p>
    <w:p>
      <w:pPr>
        <w:spacing w:after="140"/>
      </w:pPr>
      <w:r>
        <w:rPr>
          <w:rFonts w:ascii="Microsoft YaHei" w:eastAsia="Microsoft YaHei" w:hAnsi="Microsoft YaHei"/>
          <w:b/>
          <w:bCs/>
          <w:color w:val="C2410C"/>
          <w:sz w:val="44"/>
          <w:szCs w:val="44"/>
        </w:rPr>
        <w:t xml:space="preserve">东方桥</w:t>
      </w:r>
    </w:p>
    <w:p>
      <w:pPr>
        <w:spacing w:after="140"/>
      </w:pPr>
      <w:r>
        <w:t xml:space="preserve">Para todo texto en chino simplificado. En Windows, si no está instalada, el reemplazo es Microsoft YaHei.</w:t>
      </w:r>
    </w:p>
    <w:p>
      <w:pPr>
        <w:pStyle w:val="Heading2"/>
      </w:pPr>
      <w:r>
        <w:t xml:space="preserve">Escala tipográfica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2000"/>
        <w:gridCol w:w="1000"/>
        <w:gridCol w:w="3038"/>
      </w:tblGrid>
      <w:tr>
        <w:trPr>
          <w:tblHeader/>
        </w:trPr>
        <w:tc>
          <w:tcPr>
            <w:tcW w:type="dxa" w:w="19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Estilo</w:t>
            </w:r>
          </w:p>
        </w:tc>
        <w:tc>
          <w:tcPr>
            <w:tcW w:type="dxa" w:w="17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Familia</w:t>
            </w:r>
          </w:p>
        </w:tc>
        <w:tc>
          <w:tcPr>
            <w:tcW w:type="dxa" w:w="20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Tamaño / interlineado</w:t>
            </w:r>
          </w:p>
        </w:tc>
        <w:tc>
          <w:tcPr>
            <w:tcW w:type="dxa" w:w="10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Peso</w:t>
            </w:r>
          </w:p>
        </w:tc>
        <w:tc>
          <w:tcPr>
            <w:tcW w:type="dxa" w:w="3038"/>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Uso</w:t>
            </w:r>
          </w:p>
        </w:tc>
      </w:tr>
      <w:tr>
        <w:tc>
          <w:tcPr>
            <w:tcW w:type="dxa" w:w="1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Display</w:t>
            </w:r>
          </w:p>
        </w:tc>
        <w:tc>
          <w:tcPr>
            <w:tcW w:type="dxa" w:w="17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Poppins</w:t>
            </w:r>
          </w:p>
        </w:tc>
        <w:tc>
          <w:tcPr>
            <w:tcW w:type="dxa" w:w="2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48 / 52 px</w:t>
            </w:r>
          </w:p>
        </w:tc>
        <w:tc>
          <w:tcPr>
            <w:tcW w:type="dxa" w:w="1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700</w:t>
            </w:r>
          </w:p>
        </w:tc>
        <w:tc>
          <w:tcPr>
            <w:tcW w:type="dxa" w:w="30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Una vez por pieza: hero, portada.</w:t>
            </w:r>
          </w:p>
        </w:tc>
      </w:tr>
      <w:tr>
        <w:tc>
          <w:tcPr>
            <w:tcW w:type="dxa" w:w="1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H1</w:t>
            </w:r>
          </w:p>
        </w:tc>
        <w:tc>
          <w:tcPr>
            <w:tcW w:type="dxa" w:w="17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Poppins</w:t>
            </w:r>
          </w:p>
        </w:tc>
        <w:tc>
          <w:tcPr>
            <w:tcW w:type="dxa" w:w="2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32 / 40 px</w:t>
            </w:r>
          </w:p>
        </w:tc>
        <w:tc>
          <w:tcPr>
            <w:tcW w:type="dxa" w:w="1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700</w:t>
            </w:r>
          </w:p>
        </w:tc>
        <w:tc>
          <w:tcPr>
            <w:tcW w:type="dxa" w:w="30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Título de página o slide.</w:t>
            </w:r>
          </w:p>
        </w:tc>
      </w:tr>
      <w:tr>
        <w:tc>
          <w:tcPr>
            <w:tcW w:type="dxa" w:w="1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H2</w:t>
            </w:r>
          </w:p>
        </w:tc>
        <w:tc>
          <w:tcPr>
            <w:tcW w:type="dxa" w:w="17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Poppins</w:t>
            </w:r>
          </w:p>
        </w:tc>
        <w:tc>
          <w:tcPr>
            <w:tcW w:type="dxa" w:w="2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24 / 32 px</w:t>
            </w:r>
          </w:p>
        </w:tc>
        <w:tc>
          <w:tcPr>
            <w:tcW w:type="dxa" w:w="1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600</w:t>
            </w:r>
          </w:p>
        </w:tc>
        <w:tc>
          <w:tcPr>
            <w:tcW w:type="dxa" w:w="30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Títulos de sección.</w:t>
            </w:r>
          </w:p>
        </w:tc>
      </w:tr>
      <w:tr>
        <w:tc>
          <w:tcPr>
            <w:tcW w:type="dxa" w:w="1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Título de card</w:t>
            </w:r>
          </w:p>
        </w:tc>
        <w:tc>
          <w:tcPr>
            <w:tcW w:type="dxa" w:w="17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Inter</w:t>
            </w:r>
          </w:p>
        </w:tc>
        <w:tc>
          <w:tcPr>
            <w:tcW w:type="dxa" w:w="2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18 / 26 px</w:t>
            </w:r>
          </w:p>
        </w:tc>
        <w:tc>
          <w:tcPr>
            <w:tcW w:type="dxa" w:w="1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600</w:t>
            </w:r>
          </w:p>
        </w:tc>
        <w:tc>
          <w:tcPr>
            <w:tcW w:type="dxa" w:w="30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Producto, card, fila destacada.</w:t>
            </w:r>
          </w:p>
        </w:tc>
      </w:tr>
      <w:tr>
        <w:tc>
          <w:tcPr>
            <w:tcW w:type="dxa" w:w="1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Cuerpo</w:t>
            </w:r>
          </w:p>
        </w:tc>
        <w:tc>
          <w:tcPr>
            <w:tcW w:type="dxa" w:w="17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Inter</w:t>
            </w:r>
          </w:p>
        </w:tc>
        <w:tc>
          <w:tcPr>
            <w:tcW w:type="dxa" w:w="2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16 / 24 px</w:t>
            </w:r>
          </w:p>
        </w:tc>
        <w:tc>
          <w:tcPr>
            <w:tcW w:type="dxa" w:w="1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400</w:t>
            </w:r>
          </w:p>
        </w:tc>
        <w:tc>
          <w:tcPr>
            <w:tcW w:type="dxa" w:w="30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Texto corrido.</w:t>
            </w:r>
          </w:p>
        </w:tc>
      </w:tr>
      <w:tr>
        <w:tc>
          <w:tcPr>
            <w:tcW w:type="dxa" w:w="1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Chico</w:t>
            </w:r>
          </w:p>
        </w:tc>
        <w:tc>
          <w:tcPr>
            <w:tcW w:type="dxa" w:w="17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Inter</w:t>
            </w:r>
          </w:p>
        </w:tc>
        <w:tc>
          <w:tcPr>
            <w:tcW w:type="dxa" w:w="2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14 / 20 px</w:t>
            </w:r>
          </w:p>
        </w:tc>
        <w:tc>
          <w:tcPr>
            <w:tcW w:type="dxa" w:w="1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400</w:t>
            </w:r>
          </w:p>
        </w:tc>
        <w:tc>
          <w:tcPr>
            <w:tcW w:type="dxa" w:w="30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Specs, notas, pie de tabla.</w:t>
            </w:r>
          </w:p>
        </w:tc>
      </w:tr>
      <w:tr>
        <w:tc>
          <w:tcPr>
            <w:tcW w:type="dxa" w:w="1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Etiqueta</w:t>
            </w:r>
          </w:p>
        </w:tc>
        <w:tc>
          <w:tcPr>
            <w:tcW w:type="dxa" w:w="17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Inter</w:t>
            </w:r>
          </w:p>
        </w:tc>
        <w:tc>
          <w:tcPr>
            <w:tcW w:type="dxa" w:w="2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12 / 16 px, +8 % espaciado</w:t>
            </w:r>
          </w:p>
        </w:tc>
        <w:tc>
          <w:tcPr>
            <w:tcW w:type="dxa" w:w="10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600</w:t>
            </w:r>
          </w:p>
        </w:tc>
        <w:tc>
          <w:tcPr>
            <w:tcW w:type="dxa" w:w="30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MAYÚSCULAS: tagline, chips.</w:t>
            </w:r>
          </w:p>
        </w:tc>
      </w:tr>
      <w:tr>
        <w:tc>
          <w:tcPr>
            <w:tcW w:type="dxa" w:w="1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Nombre chino</w:t>
            </w:r>
          </w:p>
        </w:tc>
        <w:tc>
          <w:tcPr>
            <w:tcW w:type="dxa" w:w="17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Noto Sans SC</w:t>
            </w:r>
          </w:p>
        </w:tc>
        <w:tc>
          <w:tcPr>
            <w:tcW w:type="dxa" w:w="2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20 / 28 px, +20 % espaciado</w:t>
            </w:r>
          </w:p>
        </w:tc>
        <w:tc>
          <w:tcPr>
            <w:tcW w:type="dxa" w:w="10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700</w:t>
            </w:r>
          </w:p>
        </w:tc>
        <w:tc>
          <w:tcPr>
            <w:tcW w:type="dxa" w:w="30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Junto al logo.</w:t>
            </w:r>
          </w:p>
        </w:tc>
      </w:tr>
    </w:tbl>
    <w:p>
      <w:pPr>
        <w:spacing w:after="200"/>
      </w:pPr>
    </w:p>
    <w:p>
      <w:pPr>
        <w:pStyle w:val="ListParagraph"/>
        <w:numPr>
          <w:ilvl w:val="0"/>
          <w:numId w:val="2"/>
        </w:numPr>
        <w:spacing w:after="80"/>
      </w:pPr>
      <w:r>
        <w:t xml:space="preserve">Un solo estilo Display por pieza.</w:t>
      </w:r>
    </w:p>
    <w:p>
      <w:pPr>
        <w:pStyle w:val="ListParagraph"/>
        <w:numPr>
          <w:ilvl w:val="0"/>
          <w:numId w:val="2"/>
        </w:numPr>
        <w:spacing w:after="80"/>
      </w:pPr>
      <w:r>
        <w:t xml:space="preserve">Mayúsculas solo en Etiqueta, siempre con su espaciado.</w:t>
      </w:r>
    </w:p>
    <w:p>
      <w:pPr>
        <w:pStyle w:val="ListParagraph"/>
        <w:numPr>
          <w:ilvl w:val="0"/>
          <w:numId w:val="2"/>
        </w:numPr>
        <w:spacing w:after="80"/>
      </w:pPr>
      <w:r>
        <w:t xml:space="preserve">Precios y cantidades con números tabulares.</w:t>
      </w:r>
    </w:p>
    <w:p>
      <w:pPr>
        <w:pStyle w:val="ListParagraph"/>
        <w:numPr>
          <w:ilvl w:val="0"/>
          <w:numId w:val="2"/>
        </w:numPr>
        <w:spacing w:after="80"/>
      </w:pPr>
      <w:r>
        <w:t xml:space="preserve">No mezcles otras tipografías.</w:t>
      </w:r>
    </w:p>
    <w:p>
      <w:pPr>
        <w:pStyle w:val="Heading1"/>
        <w:pageBreakBefore/>
      </w:pPr>
      <w:r>
        <w:t xml:space="preserve">5. Voz y tono</w:t>
      </w:r>
    </w:p>
    <w:p>
      <w:pPr>
        <w:spacing w:after="140"/>
      </w:pPr>
      <w:r>
        <w:rPr>
          <w:color w:val="5B6170"/>
          <w:sz w:val="24"/>
          <w:szCs w:val="24"/>
        </w:rPr>
        <w:t xml:space="preserve">Hablamos en español rioplatense, de vos, como un despachante que además es amigo: claro, concreto y sin vender humo.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Así sí</w:t>
            </w:r>
          </w:p>
        </w:tc>
        <w:tc>
          <w:tcPr>
            <w:tcW w:type="dxa" w:w="4819"/>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Así no</w:t>
            </w:r>
          </w:p>
        </w:tc>
      </w:tr>
      <w:tr>
        <w:tc>
          <w:tcPr>
            <w:tcW w:type="dxa" w:w="4819"/>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"Te conseguimos el proveedor, negociamos el precio en origen y te entregamos la mercadería nacionalizada."</w:t>
            </w:r>
          </w:p>
        </w:tc>
        <w:tc>
          <w:tcPr>
            <w:tcW w:type="dxa" w:w="4819"/>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"¡¡Las MEJORES oportunidades del mercado asiático!! 🚀🔥"</w:t>
            </w:r>
          </w:p>
        </w:tc>
      </w:tr>
      <w:tr>
        <w:tc>
          <w:tcPr>
            <w:tcW w:type="dxa" w:w="4819"/>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"Contenedor 40' HC · Shenzhen → Buenos Aires · 35 días de tránsito."</w:t>
            </w:r>
          </w:p>
        </w:tc>
        <w:tc>
          <w:tcPr>
            <w:tcW w:type="dxa" w:w="4819"/>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"Envíos rapidísimos a todo el país."</w:t>
            </w:r>
          </w:p>
        </w:tc>
      </w:tr>
      <w:tr>
        <w:tc>
          <w:tcPr>
            <w:tcW w:type="dxa" w:w="4819"/>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"El MOQ (pedido mínimo) es de 500 unidades."</w:t>
            </w:r>
          </w:p>
        </w:tc>
        <w:tc>
          <w:tcPr>
            <w:tcW w:type="dxa" w:w="4819"/>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"MOQ 500, FOB, CIF, DJAI incluida." (sin explicar)</w:t>
            </w:r>
          </w:p>
        </w:tc>
      </w:tr>
      <w:tr>
        <w:tc>
          <w:tcPr>
            <w:tcW w:type="dxa" w:w="4819"/>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"Si el contenedor se demora, te avisamos ese mismo día."</w:t>
            </w:r>
          </w:p>
        </w:tc>
        <w:tc>
          <w:tcPr>
            <w:tcW w:type="dxa" w:w="4819"/>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"Garantizamos cero problemas."</w:t>
            </w:r>
          </w:p>
        </w:tc>
      </w:tr>
    </w:tbl>
    <w:p>
      <w:pPr>
        <w:spacing w:after="200"/>
      </w:pPr>
    </w:p>
    <w:p>
      <w:pPr>
        <w:pStyle w:val="Heading2"/>
      </w:pPr>
      <w:r>
        <w:t xml:space="preserve">Principios</w:t>
      </w:r>
    </w:p>
    <w:p>
      <w:pPr>
        <w:pStyle w:val="ListParagraph"/>
        <w:numPr>
          <w:ilvl w:val="0"/>
          <w:numId w:val="2"/>
        </w:numPr>
        <w:spacing w:after="80"/>
      </w:pPr>
      <w:r>
        <w:rPr>
          <w:b/>
          <w:bCs/>
        </w:rPr>
        <w:t xml:space="preserve">Números antes que adjetivos.</w:t>
      </w:r>
      <w:r>
        <w:t xml:space="preserve"> Precio, plazo, cantidad mínima, tiempo de tránsito.</w:t>
      </w:r>
    </w:p>
    <w:p>
      <w:pPr>
        <w:pStyle w:val="ListParagraph"/>
        <w:numPr>
          <w:ilvl w:val="0"/>
          <w:numId w:val="2"/>
        </w:numPr>
        <w:spacing w:after="80"/>
      </w:pPr>
      <w:r>
        <w:rPr>
          <w:b/>
          <w:bCs/>
        </w:rPr>
        <w:t xml:space="preserve">Jerga explicada.</w:t>
      </w:r>
      <w:r>
        <w:t xml:space="preserve"> FOB, CIF, MOQ o despacho se explican la primera vez que aparecen en una pieza para público general.</w:t>
      </w:r>
    </w:p>
    <w:p>
      <w:pPr>
        <w:pStyle w:val="ListParagraph"/>
        <w:numPr>
          <w:ilvl w:val="0"/>
          <w:numId w:val="2"/>
        </w:numPr>
        <w:spacing w:after="80"/>
      </w:pPr>
      <w:r>
        <w:rPr>
          <w:b/>
          <w:bCs/>
        </w:rPr>
        <w:t xml:space="preserve">Honestidad con los plazos.</w:t>
      </w:r>
      <w:r>
        <w:t xml:space="preserve"> Mejor un plazo largo cumplido que uno corto que se estira.</w:t>
      </w:r>
    </w:p>
    <w:p>
      <w:pPr>
        <w:pStyle w:val="ListParagraph"/>
        <w:numPr>
          <w:ilvl w:val="0"/>
          <w:numId w:val="2"/>
        </w:numPr>
        <w:spacing w:after="80"/>
      </w:pPr>
      <w:r>
        <w:rPr>
          <w:b/>
          <w:bCs/>
        </w:rPr>
        <w:t xml:space="preserve">Emojis:</w:t>
      </w:r>
      <w:r>
        <w:t xml:space="preserve"> ninguno en piezas institucionales. En redes, como mucho uno por posteo y nunca como viñeta.</w:t>
      </w:r>
    </w:p>
    <w:p>
      <w:pPr>
        <w:pStyle w:val="Heading1"/>
        <w:pageBreakBefore/>
      </w:pPr>
      <w:r>
        <w:t xml:space="preserve">6. Iconografía, fotografía y formas</w:t>
      </w:r>
    </w:p>
    <w:p>
      <w:pPr>
        <w:pStyle w:val="Heading2"/>
      </w:pPr>
      <w:r>
        <w:t xml:space="preserve">Iconografía</w:t>
      </w:r>
    </w:p>
    <w:p>
      <w:pPr>
        <w:spacing w:after="140"/>
      </w:pPr>
      <w:r>
        <w:t xml:space="preserve">Íconos de línea de 2 px con terminaciones redondeadas, de </w:t>
      </w:r>
      <w:r>
        <w:rPr>
          <w:b/>
          <w:bCs/>
        </w:rPr>
        <w:t xml:space="preserve">Lucide</w:t>
      </w:r>
      <w:r>
        <w:t xml:space="preserve"> o </w:t>
      </w:r>
      <w:r>
        <w:rPr>
          <w:b/>
          <w:bCs/>
        </w:rPr>
        <w:t xml:space="preserve">Phosphor Regular</w:t>
      </w:r>
      <w:r>
        <w:t xml:space="preserve"> (ambos libres). Color tinta por defecto y naranja para el ícono destacado de un bloque. Temas típicos: contenedor, barco, avión, caja, aduana, fábrica, documento, calculadora.</w:t>
      </w:r>
    </w:p>
    <w:p>
      <w:pPr>
        <w:spacing w:after="140"/>
      </w:pPr>
      <w:r>
        <w:t xml:space="preserve">No uses emojis como íconos ni ilustraciones 3D genéricas.</w:t>
      </w:r>
    </w:p>
    <w:p>
      <w:pPr>
        <w:pStyle w:val="Heading2"/>
      </w:pPr>
      <w:r>
        <w:t xml:space="preserve">Fotografía</w:t>
      </w:r>
    </w:p>
    <w:p>
      <w:pPr>
        <w:pStyle w:val="ListParagraph"/>
        <w:numPr>
          <w:ilvl w:val="0"/>
          <w:numId w:val="2"/>
        </w:numPr>
        <w:spacing w:after="80"/>
      </w:pPr>
      <w:r>
        <w:t xml:space="preserve">Producto sobre fondo blanco o gris niebla, bien iluminado, estilo catálogo de marketplace.</w:t>
      </w:r>
    </w:p>
    <w:p>
      <w:pPr>
        <w:pStyle w:val="ListParagraph"/>
        <w:numPr>
          <w:ilvl w:val="0"/>
          <w:numId w:val="2"/>
        </w:numPr>
        <w:spacing w:after="80"/>
      </w:pPr>
      <w:r>
        <w:t xml:space="preserve">Fotos reales de puerto, contenedores, fábricas y ferias. Mejor fotos propias de viajes y proveedores que fotos de stock.</w:t>
      </w:r>
    </w:p>
    <w:p>
      <w:pPr>
        <w:pStyle w:val="ListParagraph"/>
        <w:numPr>
          <w:ilvl w:val="0"/>
          <w:numId w:val="2"/>
        </w:numPr>
        <w:spacing w:after="80"/>
      </w:pPr>
      <w:r>
        <w:t xml:space="preserve">Evitá el stock de apretones de manos, globos terráqueos y dragones.</w:t>
      </w:r>
    </w:p>
    <w:p>
      <w:pPr>
        <w:pStyle w:val="ListParagraph"/>
        <w:numPr>
          <w:ilvl w:val="0"/>
          <w:numId w:val="2"/>
        </w:numPr>
        <w:spacing w:after="80"/>
      </w:pPr>
      <w:r>
        <w:t xml:space="preserve">Si una foto lleva el logo encima, usá la versión negativo sobre una zona oscura y limpia.</w:t>
      </w:r>
    </w:p>
    <w:p>
      <w:pPr>
        <w:pStyle w:val="Heading2"/>
      </w:pPr>
      <w:r>
        <w:t xml:space="preserve">Formas y composición</w:t>
      </w:r>
    </w:p>
    <w:p>
      <w:pPr>
        <w:pStyle w:val="ListParagraph"/>
        <w:numPr>
          <w:ilvl w:val="0"/>
          <w:numId w:val="2"/>
        </w:numPr>
        <w:spacing w:after="80"/>
      </w:pPr>
      <w:r>
        <w:t xml:space="preserve">El </w:t>
      </w:r>
      <w:r>
        <w:rPr>
          <w:b/>
          <w:bCs/>
        </w:rPr>
        <w:t xml:space="preserve">círculo</w:t>
      </w:r>
      <w:r>
        <w:t xml:space="preserve"> es el recurso gráfico de la marca: botones con forma de píldora, avatares redondos, sellos circulares de "Nuevo" u "Oferta" en rojo laca.</w:t>
      </w:r>
    </w:p>
    <w:p>
      <w:pPr>
        <w:pStyle w:val="ListParagraph"/>
        <w:numPr>
          <w:ilvl w:val="0"/>
          <w:numId w:val="2"/>
        </w:numPr>
        <w:spacing w:after="80"/>
      </w:pPr>
      <w:r>
        <w:t xml:space="preserve">Cards con esquinas de 8 px, borde gris claro y sin sombras pesadas.</w:t>
      </w:r>
    </w:p>
    <w:p>
      <w:pPr>
        <w:pStyle w:val="ListParagraph"/>
        <w:numPr>
          <w:ilvl w:val="0"/>
          <w:numId w:val="2"/>
        </w:numPr>
        <w:spacing w:after="80"/>
      </w:pPr>
      <w:r>
        <w:t xml:space="preserve">Grillas densas tipo catálogo, con aire entre bloques: 24 px entre cards y 48 px entre secciones.</w:t>
      </w:r>
    </w:p>
    <w:p>
      <w:pPr>
        <w:pStyle w:val="ListParagraph"/>
        <w:numPr>
          <w:ilvl w:val="0"/>
          <w:numId w:val="2"/>
        </w:numPr>
        <w:spacing w:after="80"/>
      </w:pPr>
      <w:r>
        <w:t xml:space="preserve">Espaciado en múltiplos de 4 px: 4, 8, 16, 24, 32, 48.</w:t>
      </w:r>
    </w:p>
    <w:p>
      <w:pPr>
        <w:pStyle w:val="Heading1"/>
        <w:pageBreakBefore/>
      </w:pPr>
      <w:r>
        <w:t xml:space="preserve">7. Aplicaciones</w:t>
      </w:r>
    </w:p>
    <w:p>
      <w:pPr>
        <w:pStyle w:val="Heading2"/>
      </w:pPr>
      <w:r>
        <w:t xml:space="preserve">Tarjeta personal (90 × 50 mm)</w:t>
      </w:r>
    </w:p>
    <w:p>
      <w:pPr>
        <w:pStyle w:val="ListParagraph"/>
        <w:numPr>
          <w:ilvl w:val="0"/>
          <w:numId w:val="2"/>
        </w:numPr>
        <w:spacing w:after="80"/>
      </w:pPr>
      <w:r>
        <w:rPr>
          <w:b/>
          <w:bCs/>
        </w:rPr>
        <w:t xml:space="preserve">Frente:</w:t>
      </w:r>
      <w:r>
        <w:t xml:space="preserve"> fondo naranja pleno con el isotipo naranja centrado a 24 mm. Como el disco es del mismo naranja que el fondo, solo se ve el dibujo blanco.</w:t>
      </w:r>
    </w:p>
    <w:p>
      <w:pPr>
        <w:pStyle w:val="ListParagraph"/>
        <w:numPr>
          <w:ilvl w:val="0"/>
          <w:numId w:val="2"/>
        </w:numPr>
        <w:spacing w:after="80"/>
      </w:pPr>
      <w:r>
        <w:rPr>
          <w:b/>
          <w:bCs/>
        </w:rPr>
        <w:t xml:space="preserve">Dorso:</w:t>
      </w:r>
      <w:r>
        <w:t xml:space="preserve"> fondo blanco, logo horizontal arriba a la izquierda a 40 mm de ancho. Nombre en Poppins Bold 10 pt, cargo en Inter 7 pt gris piedra, datos en Inter 7.5 pt y 东方桥 abajo a la derecha en naranja texto.</w:t>
      </w:r>
    </w:p>
    <w:p>
      <w:pPr>
        <w:pStyle w:val="ListParagraph"/>
        <w:numPr>
          <w:ilvl w:val="0"/>
          <w:numId w:val="2"/>
        </w:numPr>
        <w:spacing w:after="80"/>
      </w:pPr>
      <w:r>
        <w:t xml:space="preserve">Papel ilustración 350 g mate. Con presupuesto, laca sectorizada en el isotipo.</w:t>
      </w:r>
    </w:p>
    <w:p>
      <w:pPr>
        <w:pStyle w:val="Heading2"/>
      </w:pPr>
      <w:r>
        <w:t xml:space="preserve">Firma de mail</w:t>
      </w:r>
    </w:p>
    <w:p>
      <w:pPr>
        <w:spacing w:after="140"/>
      </w:pPr>
      <w:r>
        <w:t xml:space="preserve">Logo horizontal exportado a 280 px de ancho (se ve a 140 px), nombre en negrita, cargo y teléfono en una línea gris, web en naranja texto. Sin frases motivacionales ni banners animados.</w:t>
      </w:r>
    </w:p>
    <w:p>
      <w:pPr>
        <w:pStyle w:val="Heading2"/>
      </w:pPr>
      <w:r>
        <w:t xml:space="preserve">Redes sociales</w:t>
      </w:r>
    </w:p>
    <w:p>
      <w:pPr>
        <w:pStyle w:val="ListParagraph"/>
        <w:numPr>
          <w:ilvl w:val="0"/>
          <w:numId w:val="2"/>
        </w:numPr>
        <w:spacing w:after="80"/>
      </w:pPr>
      <w:r>
        <w:rPr>
          <w:b/>
          <w:bCs/>
        </w:rPr>
        <w:t xml:space="preserve">Avatar:</w:t>
      </w:r>
      <w:r>
        <w:t xml:space="preserve"> isotipo naranja. Al ser redondo, encaja directo en el recorte circular de Instagram, WhatsApp y LinkedIn.</w:t>
      </w:r>
    </w:p>
    <w:p>
      <w:pPr>
        <w:pStyle w:val="ListParagraph"/>
        <w:numPr>
          <w:ilvl w:val="0"/>
          <w:numId w:val="2"/>
        </w:numPr>
        <w:spacing w:after="80"/>
      </w:pPr>
      <w:r>
        <w:rPr>
          <w:b/>
          <w:bCs/>
        </w:rPr>
        <w:t xml:space="preserve">Posteos:</w:t>
      </w:r>
      <w:r>
        <w:t xml:space="preserve"> fondo blanco o arena, titular en Poppins Bold tinta, un dato duro grande en naranja y logo vertical chico abajo a la derecha. Un solo sello rojo laca si hay oferta.</w:t>
      </w:r>
    </w:p>
    <w:p>
      <w:pPr>
        <w:pStyle w:val="ListParagraph"/>
        <w:numPr>
          <w:ilvl w:val="0"/>
          <w:numId w:val="2"/>
        </w:numPr>
        <w:spacing w:after="80"/>
      </w:pPr>
      <w:r>
        <w:rPr>
          <w:b/>
          <w:bCs/>
        </w:rPr>
        <w:t xml:space="preserve">Historias:</w:t>
      </w:r>
      <w:r>
        <w:t xml:space="preserve"> franja inferior naranja con texto tinta.</w:t>
      </w:r>
    </w:p>
    <w:p>
      <w:pPr>
        <w:pStyle w:val="Heading2"/>
      </w:pPr>
      <w:r>
        <w:t xml:space="preserve">Web y tienda online</w:t>
      </w:r>
    </w:p>
    <w:p>
      <w:pPr>
        <w:pStyle w:val="ListParagraph"/>
        <w:numPr>
          <w:ilvl w:val="0"/>
          <w:numId w:val="2"/>
        </w:numPr>
        <w:spacing w:after="80"/>
      </w:pPr>
      <w:r>
        <w:t xml:space="preserve">Header blanco con el logo horizontal. Buscador con forma de píldora, borde naranja y botón de búsqueda relleno naranja, como en los marketplaces B2B.</w:t>
      </w:r>
    </w:p>
    <w:p>
      <w:pPr>
        <w:pStyle w:val="ListParagraph"/>
        <w:numPr>
          <w:ilvl w:val="0"/>
          <w:numId w:val="2"/>
        </w:numPr>
        <w:spacing w:after="80"/>
      </w:pPr>
      <w:r>
        <w:t xml:space="preserve">Cards de producto en gris niebla: foto, título, precio en naranja texto, pedido mínimo y tiempo de tránsito en texto chico.</w:t>
      </w:r>
    </w:p>
    <w:p>
      <w:pPr>
        <w:pStyle w:val="ListParagraph"/>
        <w:numPr>
          <w:ilvl w:val="0"/>
          <w:numId w:val="2"/>
        </w:numPr>
        <w:spacing w:after="80"/>
      </w:pPr>
      <w:r>
        <w:t xml:space="preserve">Favicon: isotipo simplificado (incluido en 16, 32, 48, 180 y 512 px y en .ico).</w:t>
      </w:r>
    </w:p>
    <w:p>
      <w:pPr>
        <w:pStyle w:val="Heading2"/>
      </w:pPr>
      <w:r>
        <w:t xml:space="preserve">Cajas, pallets y contenedores</w:t>
      </w:r>
    </w:p>
    <w:p>
      <w:pPr>
        <w:pStyle w:val="ListParagraph"/>
        <w:numPr>
          <w:ilvl w:val="0"/>
          <w:numId w:val="2"/>
        </w:numPr>
        <w:spacing w:after="80"/>
      </w:pPr>
      <w:r>
        <w:t xml:space="preserve">Isotipo mono de una tinta como stencil o sello de goma, en negro o naranja.</w:t>
      </w:r>
    </w:p>
    <w:p>
      <w:pPr>
        <w:pStyle w:val="ListParagraph"/>
        <w:numPr>
          <w:ilvl w:val="0"/>
          <w:numId w:val="2"/>
        </w:numPr>
        <w:spacing w:after="80"/>
      </w:pPr>
      <w:r>
        <w:t xml:space="preserve">Etiqueta de despacho con logo horizontal, 东方桥 y datos del envío en Inter, todo en tinta sobre blanco para que escanee bien.</w:t>
      </w:r>
    </w:p>
    <w:p>
      <w:pPr>
        <w:pStyle w:val="Heading2"/>
      </w:pPr>
      <w:r>
        <w:t xml:space="preserve">Documentos comerciales</w:t>
      </w:r>
    </w:p>
    <w:p>
      <w:pPr>
        <w:spacing w:after="140"/>
      </w:pPr>
      <w:r>
        <w:t xml:space="preserve">Cotizaciones, proformas y presentaciones: hoja blanca, logo horizontal arriba a la izquierda, línea fina naranja bajo el encabezado, tablas en Inter con números tabulares y filas alternas en gris niebla.</w:t>
      </w:r>
    </w:p>
    <w:p>
      <w:pPr>
        <w:pStyle w:val="Heading1"/>
        <w:pageBreakBefore/>
      </w:pPr>
      <w:r>
        <w:t xml:space="preserve">8. Prompts para Gemini</w:t>
      </w:r>
    </w:p>
    <w:p>
      <w:pPr>
        <w:spacing w:after="140"/>
      </w:pPr>
      <w:r>
        <w:t xml:space="preserve">El master del logo son los archivos SVG de esta guía. Gemini genera imágenes rasterizadas: sirve para </w:t>
      </w:r>
      <w:r>
        <w:rPr>
          <w:b/>
          <w:bCs/>
        </w:rPr>
        <w:t xml:space="preserve">explorar variantes y hacer mockups</w:t>
      </w:r>
      <w:r>
        <w:t xml:space="preserve">, pero cualquier logo que salga de ahí hay que redibujarlo o vectorizarlo antes de usarlo. Los prompts están en inglés porque los modelos de imagen responden con más precisión.</w:t>
      </w:r>
    </w:p>
    <w:p>
      <w:pPr>
        <w:pStyle w:val="Heading2"/>
      </w:pPr>
      <w:r>
        <w:t xml:space="preserve">Isotipo (exploración de variantes)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F4F5F7" w:color="auto" w:val="clear"/>
            <w:tcMar>
              <w:top w:type="dxa" w:w="160"/>
              <w:left w:type="dxa" w:w="220"/>
              <w:bottom w:type="dxa" w:w="160"/>
              <w:right w:type="dxa" w:w="220"/>
            </w:tcMar>
          </w:tcPr>
          <w:p>
            <w:pPr>
              <w:spacing w:after="0" w:line="260" w:lineRule="auto"/>
            </w:pPr>
            <w:r>
              <w:rPr>
                <w:rFonts w:ascii="Consolas" w:cs="Consolas" w:eastAsia="Consolas" w:hAnsi="Consolas"/>
                <w:color w:val="1E2230"/>
                <w:sz w:val="17"/>
                <w:szCs w:val="17"/>
              </w:rPr>
              <w:t xml:space="preserve">Flat vector logo icon for an import company called "Puente Oriente" (Spanish for "Eastern Bridge").</w:t>
            </w:r>
          </w:p>
          <w:p>
            <w:pPr>
              <w:spacing w:after="0" w:line="260" w:lineRule="auto"/>
            </w:pPr>
            <w:r>
              <w:rPr>
                <w:rFonts w:ascii="Consolas" w:cs="Consolas" w:eastAsia="Consolas" w:hAnsi="Consolas"/>
                <w:color w:val="1E2230"/>
                <w:sz w:val="17"/>
                <w:szCs w:val="17"/>
              </w:rPr>
              <w:t xml:space="preserve"> </w:t>
            </w:r>
          </w:p>
          <w:p>
            <w:pPr>
              <w:spacing w:after="0" w:line="260" w:lineRule="auto"/>
            </w:pPr>
            <w:r>
              <w:rPr>
                <w:rFonts w:ascii="Consolas" w:cs="Consolas" w:eastAsia="Consolas" w:hAnsi="Consolas"/>
                <w:color w:val="1E2230"/>
                <w:sz w:val="17"/>
                <w:szCs w:val="17"/>
              </w:rPr>
              <w:t xml:space="preserve">Shape: a perfect circle designed like an ancient Chinese cash coin (a round coin with a square hole in the center).</w:t>
            </w:r>
          </w:p>
          <w:p>
            <w:pPr>
              <w:spacing w:after="0" w:line="260" w:lineRule="auto"/>
            </w:pPr>
            <w:r>
              <w:rPr>
                <w:rFonts w:ascii="Consolas" w:cs="Consolas" w:eastAsia="Consolas" w:hAnsi="Consolas"/>
                <w:color w:val="1E2230"/>
                <w:sz w:val="17"/>
                <w:szCs w:val="17"/>
              </w:rPr>
              <w:t xml:space="preserve"> </w:t>
            </w:r>
          </w:p>
          <w:p>
            <w:pPr>
              <w:spacing w:after="0" w:line="260" w:lineRule="auto"/>
            </w:pPr>
            <w:r>
              <w:rPr>
                <w:rFonts w:ascii="Consolas" w:cs="Consolas" w:eastAsia="Consolas" w:hAnsi="Consolas"/>
                <w:color w:val="1E2230"/>
                <w:sz w:val="17"/>
                <w:szCs w:val="17"/>
              </w:rPr>
              <w:t xml:space="preserve">Colors: only two flat colors. Solid bright orange #FF6A1A for the coin disc, pure white #FFFFFF for every line and shape inside it.</w:t>
            </w:r>
          </w:p>
          <w:p>
            <w:pPr>
              <w:spacing w:after="0" w:line="260" w:lineRule="auto"/>
            </w:pPr>
            <w:r>
              <w:rPr>
                <w:rFonts w:ascii="Consolas" w:cs="Consolas" w:eastAsia="Consolas" w:hAnsi="Consolas"/>
                <w:color w:val="1E2230"/>
                <w:sz w:val="17"/>
                <w:szCs w:val="17"/>
              </w:rPr>
              <w:t xml:space="preserve"> </w:t>
            </w:r>
          </w:p>
          <w:p>
            <w:pPr>
              <w:spacing w:after="0" w:line="260" w:lineRule="auto"/>
            </w:pPr>
            <w:r>
              <w:rPr>
                <w:rFonts w:ascii="Consolas" w:cs="Consolas" w:eastAsia="Consolas" w:hAnsi="Consolas"/>
                <w:color w:val="1E2230"/>
                <w:sz w:val="17"/>
                <w:szCs w:val="17"/>
              </w:rPr>
              <w:t xml:space="preserve">Composition, all in white on the orange disc:</w:t>
            </w:r>
          </w:p>
          <w:p>
            <w:pPr>
              <w:spacing w:after="0" w:line="260" w:lineRule="auto"/>
            </w:pPr>
            <w:r>
              <w:rPr>
                <w:rFonts w:ascii="Consolas" w:cs="Consolas" w:eastAsia="Consolas" w:hAnsi="Consolas"/>
                <w:color w:val="1E2230"/>
                <w:sz w:val="17"/>
                <w:szCs w:val="17"/>
              </w:rPr>
              <w:t xml:space="preserve">- A thin white ring just inside the edge of the disc, like the raised rim of a coin.</w:t>
            </w:r>
          </w:p>
          <w:p>
            <w:pPr>
              <w:spacing w:after="0" w:line="260" w:lineRule="auto"/>
            </w:pPr>
            <w:r>
              <w:rPr>
                <w:rFonts w:ascii="Consolas" w:cs="Consolas" w:eastAsia="Consolas" w:hAnsi="Consolas"/>
                <w:color w:val="1E2230"/>
                <w:sz w:val="17"/>
                <w:szCs w:val="17"/>
              </w:rPr>
              <w:t xml:space="preserve">- In the exact center, the coin's square hole drawn as a thick white square frame.</w:t>
            </w:r>
          </w:p>
          <w:p>
            <w:pPr>
              <w:spacing w:after="0" w:line="260" w:lineRule="auto"/>
            </w:pPr>
            <w:r>
              <w:rPr>
                <w:rFonts w:ascii="Consolas" w:cs="Consolas" w:eastAsia="Consolas" w:hAnsi="Consolas"/>
                <w:color w:val="1E2230"/>
                <w:sz w:val="17"/>
                <w:szCs w:val="17"/>
              </w:rPr>
              <w:t xml:space="preserve">- That square also works as the small pavilion standing on top of a traditional Chinese arched bridge.</w:t>
            </w:r>
          </w:p>
          <w:p>
            <w:pPr>
              <w:spacing w:after="0" w:line="260" w:lineRule="auto"/>
            </w:pPr>
            <w:r>
              <w:rPr>
                <w:rFonts w:ascii="Consolas" w:cs="Consolas" w:eastAsia="Consolas" w:hAnsi="Consolas"/>
                <w:color w:val="1E2230"/>
                <w:sz w:val="17"/>
                <w:szCs w:val="17"/>
              </w:rPr>
              <w:t xml:space="preserve">- The bridge is a thick white curved deck spanning the lower half of the coin from rim to rim, peaking right under the square.</w:t>
            </w:r>
          </w:p>
          <w:p>
            <w:pPr>
              <w:spacing w:after="0" w:line="260" w:lineRule="auto"/>
            </w:pPr>
            <w:r>
              <w:rPr>
                <w:rFonts w:ascii="Consolas" w:cs="Consolas" w:eastAsia="Consolas" w:hAnsi="Consolas"/>
                <w:color w:val="1E2230"/>
                <w:sz w:val="17"/>
                <w:szCs w:val="17"/>
              </w:rPr>
              <w:t xml:space="preserve">- A simple railing: one thin rail and four short posts topped with small round ball finials, two on each side of the square.</w:t>
            </w:r>
          </w:p>
          <w:p>
            <w:pPr>
              <w:spacing w:after="0" w:line="260" w:lineRule="auto"/>
            </w:pPr>
            <w:r>
              <w:rPr>
                <w:rFonts w:ascii="Consolas" w:cs="Consolas" w:eastAsia="Consolas" w:hAnsi="Consolas"/>
                <w:color w:val="1E2230"/>
                <w:sz w:val="17"/>
                <w:szCs w:val="17"/>
              </w:rPr>
              <w:t xml:space="preserve">- Two short horizontal white lines under the bridge suggesting water.</w:t>
            </w:r>
          </w:p>
          <w:p>
            <w:pPr>
              <w:spacing w:after="0" w:line="260" w:lineRule="auto"/>
            </w:pPr>
            <w:r>
              <w:rPr>
                <w:rFonts w:ascii="Consolas" w:cs="Consolas" w:eastAsia="Consolas" w:hAnsi="Consolas"/>
                <w:color w:val="1E2230"/>
                <w:sz w:val="17"/>
                <w:szCs w:val="17"/>
              </w:rPr>
              <w:t xml:space="preserve"> </w:t>
            </w:r>
          </w:p>
          <w:p>
            <w:pPr>
              <w:spacing w:after="0" w:line="260" w:lineRule="auto"/>
            </w:pPr>
            <w:r>
              <w:rPr>
                <w:rFonts w:ascii="Consolas" w:cs="Consolas" w:eastAsia="Consolas" w:hAnsi="Consolas"/>
                <w:color w:val="1E2230"/>
                <w:sz w:val="17"/>
                <w:szCs w:val="17"/>
              </w:rPr>
              <w:t xml:space="preserve">Style: geometric, perfectly symmetrical, bold simple shapes, clean edges, minimalist corporate icon in the style of B2B e-commerce marketplace app icons. Must stay readable at 32 px.</w:t>
            </w:r>
          </w:p>
          <w:p>
            <w:pPr>
              <w:spacing w:after="0" w:line="260" w:lineRule="auto"/>
            </w:pPr>
            <w:r>
              <w:rPr>
                <w:rFonts w:ascii="Consolas" w:cs="Consolas" w:eastAsia="Consolas" w:hAnsi="Consolas"/>
                <w:color w:val="1E2230"/>
                <w:sz w:val="17"/>
                <w:szCs w:val="17"/>
              </w:rPr>
              <w:t xml:space="preserve"> </w:t>
            </w:r>
          </w:p>
          <w:p>
            <w:pPr>
              <w:spacing w:after="0" w:line="260" w:lineRule="auto"/>
            </w:pPr>
            <w:r>
              <w:rPr>
                <w:rFonts w:ascii="Consolas" w:cs="Consolas" w:eastAsia="Consolas" w:hAnsi="Consolas"/>
                <w:color w:val="1E2230"/>
                <w:sz w:val="17"/>
                <w:szCs w:val="17"/>
              </w:rPr>
              <w:t xml:space="preserve">Avoid: gradients, shadows, 3D, bevels, texture, glow, outlines around the circle, any text, letters or Chinese characters, extra decorations, dragons, lanterns.</w:t>
            </w:r>
          </w:p>
          <w:p>
            <w:pPr>
              <w:spacing w:after="0" w:line="260" w:lineRule="auto"/>
            </w:pPr>
            <w:r>
              <w:rPr>
                <w:rFonts w:ascii="Consolas" w:cs="Consolas" w:eastAsia="Consolas" w:hAnsi="Consolas"/>
                <w:color w:val="1E2230"/>
                <w:sz w:val="17"/>
                <w:szCs w:val="17"/>
              </w:rPr>
              <w:t xml:space="preserve"> </w:t>
            </w:r>
          </w:p>
          <w:p>
            <w:pPr>
              <w:spacing w:after="0" w:line="260" w:lineRule="auto"/>
            </w:pPr>
            <w:r>
              <w:rPr>
                <w:rFonts w:ascii="Consolas" w:cs="Consolas" w:eastAsia="Consolas" w:hAnsi="Consolas"/>
                <w:color w:val="1E2230"/>
                <w:sz w:val="17"/>
                <w:szCs w:val="17"/>
              </w:rPr>
              <w:t xml:space="preserve">Output: the icon centered on a plain white background, square 1:1 format, high resolution.</w:t>
            </w:r>
          </w:p>
        </w:tc>
      </w:tr>
    </w:tbl>
    <w:p>
      <w:pPr>
        <w:spacing w:after="200"/>
      </w:pPr>
    </w:p>
    <w:p>
      <w:pPr>
        <w:pStyle w:val="Heading2"/>
      </w:pPr>
      <w:r>
        <w:t xml:space="preserve">Versión minimalista (favicon o sello)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F4F5F7" w:color="auto" w:val="clear"/>
            <w:tcMar>
              <w:top w:type="dxa" w:w="160"/>
              <w:left w:type="dxa" w:w="220"/>
              <w:bottom w:type="dxa" w:w="160"/>
              <w:right w:type="dxa" w:w="220"/>
            </w:tcMar>
          </w:tcPr>
          <w:p>
            <w:pPr>
              <w:spacing w:after="0" w:line="260" w:lineRule="auto"/>
            </w:pPr>
            <w:r>
              <w:rPr>
                <w:rFonts w:ascii="Consolas" w:cs="Consolas" w:eastAsia="Consolas" w:hAnsi="Consolas"/>
                <w:color w:val="1E2230"/>
                <w:sz w:val="17"/>
                <w:szCs w:val="17"/>
              </w:rPr>
              <w:t xml:space="preserve">Ultra-minimal flat icon: an orange (#FF6A1A) circle shaped like a Chinese cash coin, with a white rim ring, a white square frame in the center, and a single thick white arch (a bridge) under the square spanning the lower half of the circle. Two colors only, no text, no gradients, no shadows, perfectly symmetrical, bold shapes readable at 16 px, centered on a white background, 1:1.</w:t>
            </w:r>
          </w:p>
        </w:tc>
      </w:tr>
    </w:tbl>
    <w:p>
      <w:pPr>
        <w:spacing w:after="200"/>
      </w:pPr>
    </w:p>
    <w:p>
      <w:pPr>
        <w:pStyle w:val="Heading2"/>
      </w:pPr>
      <w:r>
        <w:t xml:space="preserve">Mockups con el logo real</w:t>
      </w:r>
    </w:p>
    <w:p>
      <w:pPr>
        <w:spacing w:after="140"/>
      </w:pPr>
      <w:r>
        <w:t xml:space="preserve">Adjuntá </w:t>
      </w:r>
      <w:r>
        <w:rPr>
          <w:rFonts w:ascii="Consolas" w:cs="Consolas" w:eastAsia="Consolas" w:hAnsi="Consolas"/>
          <w:color w:val="C2410C"/>
        </w:rPr>
        <w:t xml:space="preserve">isotipo-naranja.png</w:t>
      </w:r>
      <w:r>
        <w:t xml:space="preserve"> o </w:t>
      </w:r>
      <w:r>
        <w:rPr>
          <w:rFonts w:ascii="Consolas" w:cs="Consolas" w:eastAsia="Consolas" w:hAnsi="Consolas"/>
          <w:color w:val="C2410C"/>
        </w:rPr>
        <w:t xml:space="preserve">logo-horizontal.png</w:t>
      </w:r>
      <w:r>
        <w:t xml:space="preserve"> y elegí una de las opciones entre corchetes: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F4F5F7" w:color="auto" w:val="clear"/>
            <w:tcMar>
              <w:top w:type="dxa" w:w="160"/>
              <w:left w:type="dxa" w:w="220"/>
              <w:bottom w:type="dxa" w:w="160"/>
              <w:right w:type="dxa" w:w="220"/>
            </w:tcMar>
          </w:tcPr>
          <w:p>
            <w:pPr>
              <w:spacing w:after="0" w:line="260" w:lineRule="auto"/>
            </w:pPr>
            <w:r>
              <w:rPr>
                <w:rFonts w:ascii="Consolas" w:cs="Consolas" w:eastAsia="Consolas" w:hAnsi="Consolas"/>
                <w:color w:val="1E2230"/>
                <w:sz w:val="17"/>
                <w:szCs w:val="17"/>
              </w:rPr>
              <w:t xml:space="preserve">Use the attached logo exactly as it is, without redrawing or changing it. Create a realistic photo mockup of [a business card on a dark stone desk / a cardboard shipping box with the logo stenciled in one color / a shipping container door with the logo painted on it / a storefront sign]. Brand colors: orange #FF6A1A, dark navy ink #1E2230, white. Soft natural light, shallow depth of field, professional product photography, no extra text.</w:t>
            </w:r>
          </w:p>
        </w:tc>
      </w:tr>
    </w:tbl>
    <w:p>
      <w:pPr>
        <w:spacing w:after="200"/>
      </w:pPr>
    </w:p>
    <w:p>
      <w:pPr>
        <w:pStyle w:val="Heading2"/>
      </w:pPr>
      <w:r>
        <w:t xml:space="preserve">Consejos</w:t>
      </w:r>
    </w:p>
    <w:p>
      <w:pPr>
        <w:pStyle w:val="ListParagraph"/>
        <w:numPr>
          <w:ilvl w:val="0"/>
          <w:numId w:val="2"/>
        </w:numPr>
        <w:spacing w:after="80"/>
      </w:pPr>
      <w:r>
        <w:t xml:space="preserve">Pedí cuatro variantes por vez y quedate con ideas, no con archivos: la geometría final se ajusta en vector.</w:t>
      </w:r>
    </w:p>
    <w:p>
      <w:pPr>
        <w:pStyle w:val="ListParagraph"/>
        <w:numPr>
          <w:ilvl w:val="0"/>
          <w:numId w:val="2"/>
        </w:numPr>
        <w:spacing w:after="80"/>
      </w:pPr>
      <w:r>
        <w:t xml:space="preserve">No le pidas el logotipo con texto: los modelos de imagen deforman las letras. El wordmark ya está armado en los SVG.</w:t>
      </w:r>
    </w:p>
    <w:p>
      <w:pPr>
        <w:pStyle w:val="ListParagraph"/>
        <w:numPr>
          <w:ilvl w:val="0"/>
          <w:numId w:val="2"/>
        </w:numPr>
        <w:spacing w:after="80"/>
      </w:pPr>
      <w:r>
        <w:t xml:space="preserve">Para vectorizar un resultado: Illustrator (Calco de imagen, modo 2 colores) o Inkscape (Trazar mapa de bits), y después limpiar nodos y simetría a mano.</w:t>
      </w:r>
    </w:p>
    <w:p>
      <w:pPr>
        <w:pStyle w:val="Heading1"/>
        <w:pageBreakBefore/>
      </w:pPr>
      <w:r>
        <w:t xml:space="preserve">9. Archivos entregables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500"/>
        <w:gridCol w:w="4238"/>
      </w:tblGrid>
      <w:tr>
        <w:trPr>
          <w:tblHeader/>
        </w:trPr>
        <w:tc>
          <w:tcPr>
            <w:tcW w:type="dxa" w:w="39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Archivo</w:t>
            </w:r>
          </w:p>
        </w:tc>
        <w:tc>
          <w:tcPr>
            <w:tcW w:type="dxa" w:w="1500"/>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Formato</w:t>
            </w:r>
          </w:p>
        </w:tc>
        <w:tc>
          <w:tcPr>
            <w:tcW w:type="dxa" w:w="4238"/>
            <w:tcBorders>
              <w:top w:val="single" w:color="E3E5EA" w:sz="4"/>
              <w:left w:val="single" w:color="E3E5EA" w:sz="4"/>
              <w:bottom w:val="single" w:color="E3E5EA" w:sz="4"/>
              <w:right w:val="single" w:color="E3E5EA" w:sz="4"/>
            </w:tcBorders>
            <w:shd w:fill="1E2230" w:color="auto" w:val="clear"/>
            <w:tcMar>
              <w:top w:type="dxa" w:w="100"/>
              <w:left w:type="dxa" w:w="140"/>
              <w:bottom w:type="dxa" w:w="100"/>
              <w:right w:type="dxa" w:w="140"/>
            </w:tcMar>
            <w:vAlign w:val="center"/>
          </w:tcPr>
          <w:p>
            <w:r>
              <w:rPr>
                <w:b/>
                <w:bCs/>
                <w:color w:val="FFFFFF"/>
                <w:sz w:val="18"/>
                <w:szCs w:val="18"/>
              </w:rPr>
              <w:t xml:space="preserve">Para qué</w:t>
            </w:r>
          </w:p>
        </w:tc>
      </w:tr>
      <w:tr>
        <w:tc>
          <w:tcPr>
            <w:tcW w:type="dxa" w:w="3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logo-horizontal</w:t>
            </w:r>
          </w:p>
        </w:tc>
        <w:tc>
          <w:tcPr>
            <w:tcW w:type="dxa" w:w="1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SVG · PNG</w:t>
            </w:r>
          </w:p>
        </w:tc>
        <w:tc>
          <w:tcPr>
            <w:tcW w:type="dxa" w:w="4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Versión principal.</w:t>
            </w:r>
          </w:p>
        </w:tc>
      </w:tr>
      <w:tr>
        <w:tc>
          <w:tcPr>
            <w:tcW w:type="dxa" w:w="3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logo-horizontal-naranja</w:t>
            </w:r>
          </w:p>
        </w:tc>
        <w:tc>
          <w:tcPr>
            <w:tcW w:type="dxa" w:w="15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SVG · PNG</w:t>
            </w:r>
          </w:p>
        </w:tc>
        <w:tc>
          <w:tcPr>
            <w:tcW w:type="dxa" w:w="42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Marketing sobre blanco.</w:t>
            </w:r>
          </w:p>
        </w:tc>
      </w:tr>
      <w:tr>
        <w:tc>
          <w:tcPr>
            <w:tcW w:type="dxa" w:w="3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logo-horizontal-negativo</w:t>
            </w:r>
          </w:p>
        </w:tc>
        <w:tc>
          <w:tcPr>
            <w:tcW w:type="dxa" w:w="1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SVG · PNG</w:t>
            </w:r>
          </w:p>
        </w:tc>
        <w:tc>
          <w:tcPr>
            <w:tcW w:type="dxa" w:w="4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Fondos oscuros o de color.</w:t>
            </w:r>
          </w:p>
        </w:tc>
      </w:tr>
      <w:tr>
        <w:tc>
          <w:tcPr>
            <w:tcW w:type="dxa" w:w="3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logo-horizontal-chino</w:t>
            </w:r>
          </w:p>
        </w:tc>
        <w:tc>
          <w:tcPr>
            <w:tcW w:type="dxa" w:w="15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SVG · PNG</w:t>
            </w:r>
          </w:p>
        </w:tc>
        <w:tc>
          <w:tcPr>
            <w:tcW w:type="dxa" w:w="42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Proveedores y ferias.</w:t>
            </w:r>
          </w:p>
        </w:tc>
      </w:tr>
      <w:tr>
        <w:tc>
          <w:tcPr>
            <w:tcW w:type="dxa" w:w="3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logo-vertical / -negativo</w:t>
            </w:r>
          </w:p>
        </w:tc>
        <w:tc>
          <w:tcPr>
            <w:tcW w:type="dxa" w:w="1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SVG · PNG</w:t>
            </w:r>
          </w:p>
        </w:tc>
        <w:tc>
          <w:tcPr>
            <w:tcW w:type="dxa" w:w="4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Formatos cuadrados.</w:t>
            </w:r>
          </w:p>
        </w:tc>
      </w:tr>
      <w:tr>
        <w:tc>
          <w:tcPr>
            <w:tcW w:type="dxa" w:w="3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isotipo-naranja / -negativo / -tinta</w:t>
            </w:r>
          </w:p>
        </w:tc>
        <w:tc>
          <w:tcPr>
            <w:tcW w:type="dxa" w:w="15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SVG · PNG</w:t>
            </w:r>
          </w:p>
        </w:tc>
        <w:tc>
          <w:tcPr>
            <w:tcW w:type="dxa" w:w="42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Isotipo solo.</w:t>
            </w:r>
          </w:p>
        </w:tc>
      </w:tr>
      <w:tr>
        <w:tc>
          <w:tcPr>
            <w:tcW w:type="dxa" w:w="3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isotipo-mono-negro</w:t>
            </w:r>
          </w:p>
        </w:tc>
        <w:tc>
          <w:tcPr>
            <w:tcW w:type="dxa" w:w="1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SVG · PNG</w:t>
            </w:r>
          </w:p>
        </w:tc>
        <w:tc>
          <w:tcPr>
            <w:tcW w:type="dxa" w:w="4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Una tinta: sellos, láser, stencil.</w:t>
            </w:r>
          </w:p>
        </w:tc>
      </w:tr>
      <w:tr>
        <w:tc>
          <w:tcPr>
            <w:tcW w:type="dxa" w:w="39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isotipo-simple-favicon</w:t>
            </w:r>
          </w:p>
        </w:tc>
        <w:tc>
          <w:tcPr>
            <w:tcW w:type="dxa" w:w="1500"/>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SVG · PNG · ICO</w:t>
            </w:r>
          </w:p>
        </w:tc>
        <w:tc>
          <w:tcPr>
            <w:tcW w:type="dxa" w:w="4238"/>
            <w:tcBorders>
              <w:top w:val="single" w:color="E3E5EA" w:sz="4"/>
              <w:left w:val="single" w:color="E3E5EA" w:sz="4"/>
              <w:bottom w:val="single" w:color="E3E5EA" w:sz="4"/>
              <w:right w:val="single" w:color="E3E5EA" w:sz="4"/>
            </w:tcBorders>
            <w:shd w:fill="F4F5F7" w:color="auto" w:val="clear"/>
            <w:tcMar>
              <w:top w:type="dxa" w:w="100"/>
              <w:left w:type="dxa" w:w="140"/>
              <w:bottom w:type="dxa" w:w="100"/>
              <w:right w:type="dxa" w:w="140"/>
            </w:tcMar>
            <w:vAlign w:val="center"/>
          </w:tcPr>
          <w:p>
            <w:pPr>
              <w:spacing w:after="40"/>
            </w:pPr>
            <w:r>
              <w:rPr>
                <w:sz w:val="19"/>
                <w:szCs w:val="19"/>
              </w:rPr>
              <w:t xml:space="preserve">Tamaños chicos y favicon.</w:t>
            </w:r>
          </w:p>
        </w:tc>
      </w:tr>
      <w:tr>
        <w:tc>
          <w:tcPr>
            <w:tcW w:type="dxa" w:w="39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favicon-16 a favicon-512</w:t>
            </w:r>
          </w:p>
        </w:tc>
        <w:tc>
          <w:tcPr>
            <w:tcW w:type="dxa" w:w="1500"/>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PNG</w:t>
            </w:r>
          </w:p>
        </w:tc>
        <w:tc>
          <w:tcPr>
            <w:tcW w:type="dxa" w:w="4238"/>
            <w:tcBorders>
              <w:top w:val="single" w:color="E3E5EA" w:sz="4"/>
              <w:left w:val="single" w:color="E3E5EA" w:sz="4"/>
              <w:bottom w:val="single" w:color="E3E5EA" w:sz="4"/>
              <w:right w:val="single" w:color="E3E5EA" w:sz="4"/>
            </w:tcBorders>
            <w:tcMar>
              <w:top w:type="dxa" w:w="100"/>
              <w:left w:type="dxa" w:w="140"/>
              <w:bottom w:type="dxa" w:w="100"/>
              <w:right w:type="dxa" w:w="140"/>
            </w:tcMar>
            <w:vAlign w:val="center"/>
          </w:tcPr>
          <w:p>
            <w:pPr>
              <w:spacing w:after="40"/>
            </w:pPr>
            <w:r>
              <w:rPr>
                <w:sz w:val="19"/>
                <w:szCs w:val="19"/>
              </w:rPr>
              <w:t xml:space="preserve">Web, apple-touch-icon, PWA.</w:t>
            </w:r>
          </w:p>
        </w:tc>
      </w:tr>
    </w:tbl>
    <w:p>
      <w:pPr>
        <w:spacing w:after="200"/>
      </w:pPr>
    </w:p>
    <w:p>
      <w:pPr>
        <w:spacing w:after="140"/>
      </w:pPr>
      <w:r>
        <w:t xml:space="preserve">Los SVG son el master: usalos para imprenta, cartelería, corte y cualquier ampliación. Los PNG (2048 px, fondo transparente) son para Office, redes y lugares que no aceptan vectores.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170"/>
        <w:sz w:val="16"/>
        <w:szCs w:val="16"/>
      </w:rPr>
      <w:t xml:space="preserve">Versión 1.0 · </w:t>
    </w:r>
    <w:r>
      <w:rPr>
        <w:color w:val="5B61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5EA" w:sz="4" w:space="6"/>
      </w:pBdr>
    </w:pP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color w:val="5B6170"/>
        <w:sz w:val="16"/>
        <w:szCs w:val="16"/>
      </w:rPr>
      <w:t xml:space="preserve">   Puente Oriente · Guía de marca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FF6A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23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6A1A" w:sz="18" w:space="8"/>
      </w:pBdr>
      <w:spacing w:after="240" w:before="0"/>
      <w:outlineLvl w:val="0"/>
    </w:pPr>
    <w:rPr>
      <w:rFonts w:ascii="Poppins" w:cs="Poppins" w:eastAsia="Poppins" w:hAnsi="Poppins"/>
      <w:b/>
      <w:bCs/>
      <w:color w:val="1E2230"/>
      <w:sz w:val="44"/>
      <w:szCs w:val="44"/>
    </w:rPr>
  </w:style>
  <w:style w:type="paragraph" w:styleId="Heading2">
    <w:name w:val="Heading 2"/>
    <w:basedOn w:val="Normal"/>
    <w:next w:val="Normal"/>
    <w:qFormat/>
    <w:pPr>
      <w:keepNext/>
      <w:spacing w:after="140" w:before="320"/>
      <w:outlineLvl w:val="1"/>
    </w:pPr>
    <w:rPr>
      <w:rFonts w:ascii="Poppins" w:cs="Poppins" w:eastAsia="Poppins" w:hAnsi="Poppins"/>
      <w:b/>
      <w:bCs/>
      <w:color w:val="1E22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0552f37c6977f681c16184bf9ed8b17360078e.png"/><Relationship Id="rId10" Type="http://schemas.openxmlformats.org/officeDocument/2006/relationships/image" Target="media/9dc9589a7d8e5cc3c5a6afcfec0de6d87662f1ca.png"/><Relationship Id="rId11" Type="http://schemas.openxmlformats.org/officeDocument/2006/relationships/image" Target="media/7fa4e3ad96fb8a97dc8ab7ec18e87548b53f81e6.png"/><Relationship Id="rId12" Type="http://schemas.openxmlformats.org/officeDocument/2006/relationships/image" Target="media/6491f1b2635df2e706548e794503fb5f99818bdd.png"/><Relationship Id="rId13" Type="http://schemas.openxmlformats.org/officeDocument/2006/relationships/image" Target="media/b4347e0e7260ca48dc00f04f82b9f052f6657dcb.png"/><Relationship Id="rId14" Type="http://schemas.openxmlformats.org/officeDocument/2006/relationships/image" Target="media/90f77e32ad6a42be43a2a7c00ec8521a262e87c4.png"/><Relationship Id="rId15" Type="http://schemas.openxmlformats.org/officeDocument/2006/relationships/image" Target="media/f7a50a74221f513fa353c71bfd160bdbf0cf35ef.png"/><Relationship Id="rId16" Type="http://schemas.openxmlformats.org/officeDocument/2006/relationships/image" Target="media/26cbb11baa414f652a03ae0c3b23390485331492.png"/><Relationship Id="rId17" Type="http://schemas.openxmlformats.org/officeDocument/2006/relationships/image" Target="media/feb175c01726d18f758c94c615c204de48d764df.png"/><Relationship Id="rId18" Type="http://schemas.openxmlformats.org/officeDocument/2006/relationships/image" Target="media/c69f8fdff47521203281e7460b2c3dce0b06eb25.png"/><Relationship Id="rId19" Type="http://schemas.openxmlformats.org/officeDocument/2006/relationships/image" Target="media/48684ab803f4e1651b41967a68469afcb932d9cc.png"/><Relationship Id="rId20" Type="http://schemas.openxmlformats.org/officeDocument/2006/relationships/image" Target="media/a6c8e5837ff2add8c200d8cbb49468ca8055d16b.png"/><Relationship Id="rId21" Type="http://schemas.openxmlformats.org/officeDocument/2006/relationships/image" Target="media/ff663fd0597435b5a5ebe8c2c7488bcaecea1459.png"/><Relationship Id="rId22" Type="http://schemas.openxmlformats.org/officeDocument/2006/relationships/image" Target="media/acccce1c5176a5adad5231437a2ad0c87c3c9ba4.png"/><Relationship Id="rId23" Type="http://schemas.openxmlformats.org/officeDocument/2006/relationships/image" Target="media/85354ce697866f37397a5a0a0fd8a55ac2a16651.png"/><Relationship Id="rId24" Type="http://schemas.openxmlformats.org/officeDocument/2006/relationships/image" Target="media/126ab9162b188873c3e45736570c371a76784652.png"/><Relationship Id="rId25" Type="http://schemas.openxmlformats.org/officeDocument/2006/relationships/image" Target="media/3a9f85914edcc20fe544eb2a5f54a140b4bc9cf0.png"/><Relationship Id="rId26" Type="http://schemas.openxmlformats.org/officeDocument/2006/relationships/image" Target="media/2be9169a0743371b75817875e7d5830592bf553a.png"/><Relationship Id="rId27" Type="http://schemas.openxmlformats.org/officeDocument/2006/relationships/image" Target="media/823e7a9c37ed2054386ea8a605f1423c8526082e.png"/><Relationship Id="rId28" Type="http://schemas.openxmlformats.org/officeDocument/2006/relationships/image" Target="media/faf8d9d8b15173c9f163048c69cdff45f1f56438.png"/><Relationship Id="rId29" Type="http://schemas.openxmlformats.org/officeDocument/2006/relationships/image" Target="media/bd1de49d1ea067a9da6d084ebaf316230c45f70f.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b2cf0f70696c173125bbf9a27e8ef2602af2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Puente Oriente · Guía de marca</dc:title>
  <dc:creator>Puente Oriente</dc:creator>
  <cp:lastModifiedBy>Un-named</cp:lastModifiedBy>
  <cp:revision>1</cp:revision>
  <dcterms:created xsi:type="dcterms:W3CDTF">2026-10-11T13:13:32.206Z</dcterms:created>
  <dcterms:modified xsi:type="dcterms:W3CDTF">2026-10-11T13:13:32.207Z</dcterms:modified>
</cp:coreProperties>
</file>

<file path=docProps/custom.xml><?xml version="1.0" encoding="utf-8"?>
<Properties xmlns="http://schemas.openxmlformats.org/officeDocument/2006/custom-properties" xmlns:vt="http://schemas.openxmlformats.org/officeDocument/2006/docPropsVTypes"/>
</file>